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C8761F">
      <w:pPr>
        <w:pStyle w:val="8"/>
        <w:spacing w:before="93"/>
        <w:rPr>
          <w:rFonts w:ascii="Times New Roman" w:eastAsia="方正小标宋简体"/>
          <w:kern w:val="2"/>
          <w:sz w:val="32"/>
        </w:rPr>
      </w:pPr>
      <w:bookmarkStart w:id="0" w:name="_Toc15378441"/>
      <w:bookmarkStart w:id="1" w:name="_Toc15377425"/>
      <w:bookmarkStart w:id="2" w:name="_Toc15396597"/>
      <w:bookmarkStart w:id="3" w:name="_Toc15396475"/>
      <w:bookmarkStart w:id="4" w:name="_Toc15377193"/>
      <w:bookmarkStart w:id="5" w:name="_Toc15306267"/>
    </w:p>
    <w:p w14:paraId="25004ABA">
      <w:pPr>
        <w:pStyle w:val="8"/>
        <w:spacing w:before="93"/>
        <w:rPr>
          <w:rFonts w:ascii="Times New Roman" w:eastAsia="方正小标宋简体"/>
          <w:kern w:val="2"/>
          <w:sz w:val="32"/>
        </w:rPr>
      </w:pPr>
    </w:p>
    <w:p w14:paraId="5EFC67E1">
      <w:pPr>
        <w:pStyle w:val="8"/>
        <w:spacing w:before="93"/>
        <w:rPr>
          <w:rFonts w:ascii="Times New Roman" w:eastAsia="方正小标宋简体"/>
          <w:kern w:val="2"/>
          <w:sz w:val="32"/>
        </w:rPr>
      </w:pPr>
    </w:p>
    <w:p w14:paraId="09C22F64">
      <w:pPr>
        <w:pStyle w:val="8"/>
        <w:spacing w:before="93"/>
        <w:rPr>
          <w:rFonts w:ascii="Times New Roman" w:eastAsia="方正小标宋简体"/>
          <w:kern w:val="2"/>
          <w:sz w:val="32"/>
        </w:rPr>
      </w:pPr>
    </w:p>
    <w:p w14:paraId="58025922">
      <w:pPr>
        <w:pStyle w:val="8"/>
        <w:spacing w:before="93"/>
        <w:rPr>
          <w:rFonts w:ascii="Times New Roman" w:eastAsia="方正小标宋简体"/>
          <w:kern w:val="2"/>
          <w:sz w:val="32"/>
        </w:rPr>
      </w:pPr>
    </w:p>
    <w:p w14:paraId="5A6982C7">
      <w:pPr>
        <w:pStyle w:val="8"/>
        <w:spacing w:before="93"/>
        <w:rPr>
          <w:rFonts w:ascii="Times New Roman" w:eastAsia="方正小标宋简体"/>
          <w:kern w:val="2"/>
          <w:sz w:val="32"/>
        </w:rPr>
      </w:pPr>
    </w:p>
    <w:p w14:paraId="1E244074">
      <w:pPr>
        <w:pStyle w:val="8"/>
        <w:spacing w:before="93"/>
        <w:rPr>
          <w:rFonts w:ascii="Times New Roman" w:eastAsia="方正小标宋简体"/>
          <w:kern w:val="2"/>
          <w:sz w:val="32"/>
        </w:rPr>
      </w:pPr>
    </w:p>
    <w:bookmarkEnd w:id="0"/>
    <w:bookmarkEnd w:id="1"/>
    <w:bookmarkEnd w:id="2"/>
    <w:bookmarkEnd w:id="3"/>
    <w:bookmarkEnd w:id="4"/>
    <w:p w14:paraId="26074A66">
      <w:pPr>
        <w:pStyle w:val="8"/>
        <w:spacing w:before="93"/>
        <w:ind w:firstLine="880"/>
        <w:jc w:val="center"/>
        <w:rPr>
          <w:rFonts w:hint="eastAsia" w:ascii="Nimbus Roman No9 L" w:hAnsi="Nimbus Roman No9 L" w:eastAsia="方正小标宋简体" w:cs="Nimbus Roman No9 L"/>
          <w:kern w:val="2"/>
          <w:sz w:val="44"/>
          <w:szCs w:val="44"/>
        </w:rPr>
      </w:pPr>
      <w:bookmarkStart w:id="6" w:name="_Toc15396476"/>
      <w:bookmarkStart w:id="7" w:name="_Toc15378442"/>
      <w:bookmarkStart w:id="8" w:name="_Toc15396598"/>
      <w:bookmarkStart w:id="9" w:name="_Toc15377426"/>
      <w:bookmarkStart w:id="10" w:name="_Toc15377194"/>
      <w:r>
        <w:rPr>
          <w:rFonts w:ascii="Nimbus Roman No9 L" w:hAnsi="Nimbus Roman No9 L" w:eastAsia="方正小标宋简体" w:cs="Nimbus Roman No9 L"/>
          <w:kern w:val="2"/>
          <w:sz w:val="44"/>
          <w:szCs w:val="44"/>
        </w:rPr>
        <w:t>2025年度市级单位决算</w:t>
      </w:r>
    </w:p>
    <w:p w14:paraId="3AC1B219">
      <w:pPr>
        <w:pStyle w:val="8"/>
        <w:spacing w:before="93"/>
        <w:ind w:firstLine="880"/>
        <w:jc w:val="center"/>
        <w:rPr>
          <w:rFonts w:hint="eastAsia" w:ascii="Nimbus Roman No9 L" w:hAnsi="Nimbus Roman No9 L" w:eastAsia="方正小标宋简体" w:cs="Nimbus Roman No9 L"/>
          <w:kern w:val="2"/>
          <w:sz w:val="44"/>
          <w:szCs w:val="44"/>
        </w:rPr>
      </w:pPr>
      <w:r>
        <w:rPr>
          <w:rFonts w:ascii="Nimbus Roman No9 L" w:hAnsi="Nimbus Roman No9 L" w:eastAsia="方正小标宋简体" w:cs="Nimbus Roman No9 L"/>
          <w:kern w:val="2"/>
          <w:sz w:val="44"/>
          <w:szCs w:val="44"/>
        </w:rPr>
        <w:t>公开文字说明</w:t>
      </w:r>
    </w:p>
    <w:p w14:paraId="57D473E8">
      <w:pPr>
        <w:pStyle w:val="8"/>
        <w:spacing w:beforeLines="0" w:line="600" w:lineRule="exact"/>
        <w:ind w:firstLine="880"/>
        <w:jc w:val="center"/>
        <w:rPr>
          <w:rFonts w:ascii="方正小标宋_GBK" w:eastAsia="方正小标宋_GBK"/>
          <w:kern w:val="2"/>
          <w:sz w:val="44"/>
          <w:szCs w:val="44"/>
        </w:rPr>
      </w:pPr>
    </w:p>
    <w:p w14:paraId="36B8648A">
      <w:pPr>
        <w:pStyle w:val="8"/>
        <w:spacing w:beforeLines="0" w:line="600" w:lineRule="exact"/>
        <w:ind w:firstLine="880"/>
        <w:jc w:val="center"/>
        <w:rPr>
          <w:rFonts w:ascii="方正小标宋_GBK" w:eastAsia="方正小标宋_GBK"/>
          <w:kern w:val="2"/>
          <w:sz w:val="44"/>
          <w:szCs w:val="44"/>
        </w:rPr>
      </w:pPr>
    </w:p>
    <w:p w14:paraId="5BA90890">
      <w:pPr>
        <w:pStyle w:val="8"/>
        <w:spacing w:beforeLines="0" w:line="600" w:lineRule="exact"/>
        <w:ind w:firstLine="880"/>
        <w:jc w:val="center"/>
        <w:rPr>
          <w:rFonts w:ascii="方正小标宋_GBK" w:eastAsia="方正小标宋_GBK"/>
          <w:kern w:val="2"/>
          <w:sz w:val="44"/>
          <w:szCs w:val="44"/>
        </w:rPr>
      </w:pPr>
    </w:p>
    <w:p w14:paraId="1ABD6AD7">
      <w:pPr>
        <w:pStyle w:val="8"/>
        <w:spacing w:beforeLines="0" w:line="600" w:lineRule="exact"/>
        <w:ind w:firstLine="880"/>
        <w:jc w:val="center"/>
        <w:rPr>
          <w:rFonts w:ascii="方正小标宋_GBK" w:eastAsia="方正小标宋_GBK"/>
          <w:kern w:val="2"/>
          <w:sz w:val="44"/>
          <w:szCs w:val="44"/>
        </w:rPr>
      </w:pPr>
    </w:p>
    <w:p w14:paraId="2E02A583">
      <w:pPr>
        <w:pStyle w:val="8"/>
        <w:spacing w:beforeLines="0" w:line="600" w:lineRule="exact"/>
        <w:ind w:firstLine="880"/>
        <w:jc w:val="center"/>
        <w:rPr>
          <w:rFonts w:ascii="方正小标宋_GBK" w:eastAsia="方正小标宋_GBK"/>
          <w:kern w:val="2"/>
          <w:sz w:val="44"/>
          <w:szCs w:val="44"/>
        </w:rPr>
      </w:pPr>
    </w:p>
    <w:p w14:paraId="0133ADD6">
      <w:pPr>
        <w:pStyle w:val="8"/>
        <w:spacing w:beforeLines="0" w:line="600" w:lineRule="exact"/>
        <w:ind w:firstLine="880"/>
        <w:jc w:val="center"/>
        <w:rPr>
          <w:rFonts w:ascii="方正小标宋_GBK" w:eastAsia="方正小标宋_GBK"/>
          <w:kern w:val="2"/>
          <w:sz w:val="44"/>
          <w:szCs w:val="44"/>
        </w:rPr>
      </w:pPr>
    </w:p>
    <w:p w14:paraId="780EEBFF">
      <w:pPr>
        <w:pStyle w:val="8"/>
        <w:spacing w:beforeLines="0" w:line="600" w:lineRule="exact"/>
        <w:ind w:firstLine="880"/>
        <w:jc w:val="center"/>
        <w:rPr>
          <w:rFonts w:ascii="方正小标宋_GBK" w:eastAsia="方正小标宋_GBK"/>
          <w:kern w:val="2"/>
          <w:sz w:val="44"/>
          <w:szCs w:val="44"/>
        </w:rPr>
      </w:pPr>
    </w:p>
    <w:p w14:paraId="50E084DC">
      <w:pPr>
        <w:pStyle w:val="8"/>
        <w:spacing w:beforeLines="0" w:line="600" w:lineRule="exact"/>
        <w:ind w:firstLine="880"/>
        <w:jc w:val="center"/>
        <w:rPr>
          <w:rFonts w:ascii="方正小标宋_GBK" w:eastAsia="方正小标宋_GBK"/>
          <w:kern w:val="2"/>
          <w:sz w:val="44"/>
          <w:szCs w:val="44"/>
        </w:rPr>
      </w:pPr>
    </w:p>
    <w:p w14:paraId="6346DD5E">
      <w:pPr>
        <w:pStyle w:val="8"/>
        <w:spacing w:beforeLines="0" w:line="600" w:lineRule="exact"/>
        <w:ind w:firstLine="880"/>
        <w:jc w:val="center"/>
        <w:rPr>
          <w:rFonts w:ascii="方正小标宋_GBK" w:eastAsia="方正小标宋_GBK"/>
          <w:kern w:val="2"/>
          <w:sz w:val="44"/>
          <w:szCs w:val="44"/>
        </w:rPr>
      </w:pPr>
    </w:p>
    <w:p w14:paraId="477B1276">
      <w:pPr>
        <w:pStyle w:val="8"/>
        <w:spacing w:beforeLines="0" w:line="600" w:lineRule="exact"/>
        <w:ind w:firstLine="880"/>
        <w:jc w:val="center"/>
        <w:rPr>
          <w:rFonts w:ascii="方正小标宋_GBK" w:eastAsia="方正小标宋_GBK"/>
          <w:kern w:val="2"/>
          <w:sz w:val="44"/>
          <w:szCs w:val="44"/>
        </w:rPr>
      </w:pPr>
    </w:p>
    <w:p w14:paraId="44A13A2D">
      <w:pPr>
        <w:pStyle w:val="8"/>
        <w:spacing w:beforeLines="0" w:line="600" w:lineRule="exact"/>
        <w:ind w:firstLine="880"/>
        <w:jc w:val="center"/>
        <w:rPr>
          <w:rFonts w:ascii="方正小标宋_GBK" w:eastAsia="方正小标宋_GBK"/>
          <w:kern w:val="2"/>
          <w:sz w:val="44"/>
          <w:szCs w:val="44"/>
        </w:rPr>
      </w:pPr>
    </w:p>
    <w:p w14:paraId="5666950B">
      <w:pPr>
        <w:pStyle w:val="8"/>
        <w:spacing w:beforeLines="0" w:line="600" w:lineRule="exact"/>
        <w:ind w:firstLine="880"/>
        <w:jc w:val="center"/>
        <w:rPr>
          <w:rFonts w:ascii="方正小标宋_GBK" w:eastAsia="方正小标宋_GBK"/>
          <w:kern w:val="2"/>
          <w:sz w:val="44"/>
          <w:szCs w:val="44"/>
        </w:rPr>
      </w:pPr>
    </w:p>
    <w:p w14:paraId="14D456B8">
      <w:pPr>
        <w:pStyle w:val="8"/>
        <w:spacing w:beforeLines="0" w:line="600" w:lineRule="exact"/>
        <w:ind w:firstLine="880"/>
        <w:jc w:val="center"/>
        <w:rPr>
          <w:rFonts w:ascii="方正小标宋_GBK" w:eastAsia="方正小标宋_GBK"/>
          <w:kern w:val="2"/>
          <w:sz w:val="44"/>
          <w:szCs w:val="44"/>
        </w:rPr>
      </w:pPr>
    </w:p>
    <w:p w14:paraId="439D3225">
      <w:pPr>
        <w:pStyle w:val="8"/>
        <w:spacing w:beforeLines="0" w:line="600" w:lineRule="exact"/>
        <w:ind w:firstLine="880"/>
        <w:jc w:val="center"/>
        <w:rPr>
          <w:rFonts w:ascii="方正小标宋_GBK" w:eastAsia="方正小标宋_GBK"/>
          <w:kern w:val="2"/>
          <w:sz w:val="44"/>
          <w:szCs w:val="44"/>
        </w:rPr>
      </w:pPr>
    </w:p>
    <w:p w14:paraId="77BF61E8">
      <w:pPr>
        <w:pStyle w:val="8"/>
        <w:spacing w:beforeLines="0" w:line="600" w:lineRule="exact"/>
        <w:ind w:firstLine="880"/>
        <w:jc w:val="center"/>
        <w:rPr>
          <w:rFonts w:ascii="方正小标宋_GBK" w:eastAsia="方正小标宋_GBK"/>
          <w:kern w:val="2"/>
          <w:sz w:val="44"/>
          <w:szCs w:val="44"/>
        </w:rPr>
      </w:pPr>
    </w:p>
    <w:p w14:paraId="3863A317">
      <w:pPr>
        <w:pStyle w:val="8"/>
        <w:spacing w:beforeLines="0" w:line="600" w:lineRule="exact"/>
        <w:ind w:firstLine="880"/>
        <w:jc w:val="center"/>
        <w:rPr>
          <w:rFonts w:ascii="方正小标宋_GBK" w:eastAsia="方正小标宋_GBK"/>
          <w:kern w:val="2"/>
          <w:sz w:val="44"/>
          <w:szCs w:val="44"/>
        </w:rPr>
      </w:pPr>
    </w:p>
    <w:p w14:paraId="6267E34A">
      <w:pPr>
        <w:pStyle w:val="8"/>
        <w:spacing w:beforeLines="0" w:line="600" w:lineRule="exact"/>
        <w:ind w:firstLine="880"/>
        <w:jc w:val="center"/>
        <w:rPr>
          <w:rFonts w:ascii="方正小标宋_GBK" w:eastAsia="方正小标宋_GBK"/>
          <w:kern w:val="2"/>
          <w:sz w:val="44"/>
          <w:szCs w:val="44"/>
        </w:rPr>
      </w:pPr>
    </w:p>
    <w:p w14:paraId="423EE12D">
      <w:pPr>
        <w:pStyle w:val="8"/>
        <w:spacing w:before="93"/>
        <w:ind w:firstLine="0" w:firstLineChars="0"/>
        <w:jc w:val="center"/>
        <w:rPr>
          <w:rFonts w:hint="eastAsia" w:ascii="Nimbus Roman No9 L" w:hAnsi="Nimbus Roman No9 L" w:eastAsia="方正小标宋简体" w:cs="Nimbus Roman No9 L"/>
          <w:kern w:val="2"/>
          <w:sz w:val="44"/>
          <w:szCs w:val="44"/>
        </w:rPr>
      </w:pPr>
      <w:r>
        <w:rPr>
          <w:rFonts w:ascii="Nimbus Roman No9 L" w:hAnsi="Nimbus Roman No9 L" w:eastAsia="方正小标宋简体" w:cs="Nimbus Roman No9 L"/>
          <w:kern w:val="2"/>
          <w:sz w:val="44"/>
          <w:szCs w:val="44"/>
        </w:rPr>
        <w:t>2025年度四川省</w:t>
      </w:r>
      <w:bookmarkStart w:id="11" w:name="_Toc15306268"/>
      <w:r>
        <w:rPr>
          <w:rFonts w:ascii="Nimbus Roman No9 L" w:hAnsi="Nimbus Roman No9 L" w:eastAsia="方正小标宋简体" w:cs="Nimbus Roman No9 L"/>
          <w:kern w:val="2"/>
          <w:sz w:val="44"/>
          <w:szCs w:val="44"/>
        </w:rPr>
        <w:t>攀枝花市</w:t>
      </w:r>
      <w:r>
        <w:rPr>
          <w:rFonts w:hint="eastAsia" w:ascii="Nimbus Roman No9 L" w:hAnsi="Nimbus Roman No9 L" w:eastAsia="方正小标宋简体" w:cs="Nimbus Roman No9 L"/>
          <w:kern w:val="2"/>
          <w:sz w:val="44"/>
          <w:szCs w:val="44"/>
        </w:rPr>
        <w:t>生产力促进</w:t>
      </w:r>
      <w:r>
        <w:rPr>
          <w:rFonts w:ascii="Nimbus Roman No9 L" w:hAnsi="Nimbus Roman No9 L" w:eastAsia="方正小标宋简体" w:cs="Nimbus Roman No9 L"/>
          <w:kern w:val="2"/>
          <w:sz w:val="44"/>
          <w:szCs w:val="44"/>
        </w:rPr>
        <w:t>中心</w:t>
      </w:r>
    </w:p>
    <w:p w14:paraId="2E67A335">
      <w:pPr>
        <w:pStyle w:val="8"/>
        <w:spacing w:before="93"/>
        <w:ind w:firstLine="0" w:firstLineChars="0"/>
        <w:jc w:val="center"/>
        <w:rPr>
          <w:rFonts w:hint="eastAsia" w:ascii="Nimbus Roman No9 L" w:hAnsi="Nimbus Roman No9 L" w:eastAsia="方正小标宋简体" w:cs="Nimbus Roman No9 L"/>
          <w:kern w:val="2"/>
          <w:sz w:val="44"/>
          <w:szCs w:val="44"/>
        </w:rPr>
      </w:pPr>
      <w:r>
        <w:rPr>
          <w:rFonts w:ascii="Nimbus Roman No9 L" w:hAnsi="Nimbus Roman No9 L" w:eastAsia="方正小标宋简体" w:cs="Nimbus Roman No9 L"/>
          <w:kern w:val="2"/>
          <w:sz w:val="44"/>
          <w:szCs w:val="44"/>
        </w:rPr>
        <w:t>单位决算</w:t>
      </w:r>
      <w:bookmarkEnd w:id="11"/>
    </w:p>
    <w:p w14:paraId="3EB6B75A">
      <w:pPr>
        <w:pStyle w:val="8"/>
        <w:spacing w:beforeLines="0" w:line="600" w:lineRule="exact"/>
        <w:ind w:firstLine="880"/>
        <w:jc w:val="center"/>
        <w:rPr>
          <w:rFonts w:ascii="方正小标宋_GBK" w:eastAsia="方正小标宋_GBK"/>
          <w:kern w:val="2"/>
          <w:sz w:val="44"/>
          <w:szCs w:val="44"/>
        </w:rPr>
      </w:pPr>
    </w:p>
    <w:p w14:paraId="2856FB5A">
      <w:pPr>
        <w:pStyle w:val="8"/>
        <w:spacing w:beforeLines="0" w:line="600" w:lineRule="exact"/>
        <w:ind w:firstLine="880"/>
        <w:jc w:val="center"/>
        <w:rPr>
          <w:rFonts w:ascii="方正小标宋_GBK" w:eastAsia="方正小标宋_GBK"/>
          <w:kern w:val="2"/>
          <w:sz w:val="44"/>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docGrid w:type="lines" w:linePitch="312" w:charSpace="0"/>
        </w:sectPr>
      </w:pPr>
    </w:p>
    <w:bookmarkEnd w:id="5"/>
    <w:bookmarkEnd w:id="6"/>
    <w:bookmarkEnd w:id="7"/>
    <w:bookmarkEnd w:id="8"/>
    <w:bookmarkEnd w:id="9"/>
    <w:bookmarkEnd w:id="10"/>
    <w:p w14:paraId="435632FB">
      <w:pPr>
        <w:widowControl/>
        <w:ind w:firstLine="960"/>
        <w:jc w:val="center"/>
        <w:rPr>
          <w:rFonts w:hint="eastAsia" w:ascii="Nimbus Roman No9 L" w:hAnsi="Nimbus Roman No9 L" w:eastAsia="黑体" w:cs="Nimbus Roman No9 L"/>
          <w:sz w:val="48"/>
          <w:szCs w:val="48"/>
        </w:rPr>
      </w:pPr>
      <w:r>
        <w:rPr>
          <w:rFonts w:ascii="Nimbus Roman No9 L" w:hAnsi="Nimbus Roman No9 L" w:eastAsia="黑体" w:cs="Nimbus Roman No9 L"/>
          <w:sz w:val="48"/>
          <w:szCs w:val="48"/>
        </w:rPr>
        <w:t>目录</w:t>
      </w:r>
    </w:p>
    <w:p w14:paraId="229C9DAE">
      <w:pPr>
        <w:widowControl/>
        <w:ind w:firstLine="560"/>
        <w:jc w:val="center"/>
        <w:rPr>
          <w:rFonts w:hint="eastAsia" w:ascii="Nimbus Roman No9 L" w:hAnsi="Nimbus Roman No9 L" w:eastAsia="黑体" w:cs="Nimbus Roman No9 L"/>
          <w:sz w:val="28"/>
          <w:szCs w:val="28"/>
        </w:rPr>
      </w:pPr>
    </w:p>
    <w:p w14:paraId="601C8173">
      <w:pPr>
        <w:pStyle w:val="14"/>
        <w:tabs>
          <w:tab w:val="right" w:leader="dot" w:pos="8296"/>
        </w:tabs>
        <w:ind w:firstLine="643"/>
        <w:rPr>
          <w:rFonts w:hint="eastAsia" w:ascii="Nimbus Roman No9 L" w:hAnsi="Nimbus Roman No9 L" w:eastAsia="仿宋_GB2312" w:cs="Nimbus Roman No9 L"/>
          <w:sz w:val="32"/>
          <w:szCs w:val="32"/>
        </w:rPr>
      </w:pPr>
      <w:r>
        <w:rPr>
          <w:rFonts w:ascii="Nimbus Roman No9 L" w:hAnsi="Nimbus Roman No9 L" w:eastAsia="仿宋_GB2312" w:cs="Nimbus Roman No9 L"/>
          <w:sz w:val="32"/>
          <w:szCs w:val="32"/>
        </w:rPr>
        <w:t>公开时间：2026年9月</w:t>
      </w:r>
      <w:r>
        <w:rPr>
          <w:rFonts w:hint="eastAsia" w:ascii="Nimbus Roman No9 L" w:hAnsi="Nimbus Roman No9 L" w:eastAsia="仿宋_GB2312" w:cs="Nimbus Roman No9 L"/>
          <w:sz w:val="32"/>
          <w:szCs w:val="32"/>
          <w:lang w:val="en-US" w:eastAsia="zh-CN"/>
        </w:rPr>
        <w:t>1</w:t>
      </w:r>
      <w:r>
        <w:rPr>
          <w:rFonts w:hint="default" w:ascii="Nimbus Roman No9 L" w:hAnsi="Nimbus Roman No9 L" w:eastAsia="仿宋_GB2312" w:cs="Nimbus Roman No9 L"/>
          <w:sz w:val="32"/>
          <w:szCs w:val="32"/>
          <w:lang w:val="en-US"/>
        </w:rPr>
        <w:t>4</w:t>
      </w:r>
      <w:r>
        <w:rPr>
          <w:rFonts w:ascii="Nimbus Roman No9 L" w:hAnsi="Nimbus Roman No9 L" w:eastAsia="仿宋_GB2312" w:cs="Nimbus Roman No9 L"/>
          <w:sz w:val="32"/>
          <w:szCs w:val="32"/>
        </w:rPr>
        <w:t>日</w:t>
      </w:r>
    </w:p>
    <w:p w14:paraId="2CF23FC2">
      <w:pPr>
        <w:rPr>
          <w:rFonts w:hint="eastAsia" w:ascii="Nimbus Roman No9 L" w:hAnsi="Nimbus Roman No9 L" w:cs="Nimbus Roman No9 L"/>
        </w:rPr>
      </w:pPr>
    </w:p>
    <w:p w14:paraId="6F94FF56">
      <w:pPr>
        <w:pStyle w:val="14"/>
        <w:tabs>
          <w:tab w:val="right" w:leader="dot" w:pos="8296"/>
        </w:tabs>
        <w:spacing w:line="560" w:lineRule="exact"/>
        <w:jc w:val="left"/>
        <w:rPr>
          <w:rFonts w:hint="eastAsia" w:ascii="Nimbus Roman No9 L" w:hAnsi="Nimbus Roman No9 L" w:eastAsia="黑体" w:cs="Nimbus Roman No9 L"/>
          <w:b w:val="0"/>
          <w:bCs/>
          <w:sz w:val="32"/>
          <w:szCs w:val="32"/>
        </w:rPr>
      </w:pPr>
      <w:r>
        <w:rPr>
          <w:rFonts w:ascii="Nimbus Roman No9 L" w:hAnsi="Nimbus Roman No9 L" w:eastAsia="黑体" w:cs="Nimbus Roman No9 L"/>
          <w:b w:val="0"/>
          <w:bCs/>
          <w:sz w:val="32"/>
          <w:szCs w:val="32"/>
        </w:rPr>
        <w:t>第一部分 部门概况.......................</w:t>
      </w:r>
      <w:r>
        <w:rPr>
          <w:rFonts w:hint="eastAsia" w:ascii="Nimbus Roman No9 L" w:hAnsi="Nimbus Roman No9 L" w:eastAsia="黑体" w:cs="Nimbus Roman No9 L"/>
          <w:b w:val="0"/>
          <w:bCs/>
          <w:sz w:val="32"/>
          <w:szCs w:val="32"/>
        </w:rPr>
        <w:t>.........</w:t>
      </w:r>
      <w:r>
        <w:rPr>
          <w:rFonts w:ascii="Nimbus Roman No9 L" w:hAnsi="Nimbus Roman No9 L" w:eastAsia="黑体" w:cs="Nimbus Roman No9 L"/>
          <w:b w:val="0"/>
          <w:bCs/>
          <w:sz w:val="32"/>
          <w:szCs w:val="32"/>
        </w:rPr>
        <w:t>...........................5</w:t>
      </w:r>
    </w:p>
    <w:p w14:paraId="3AC7C2B0">
      <w:pPr>
        <w:pStyle w:val="15"/>
        <w:spacing w:line="560" w:lineRule="exact"/>
        <w:ind w:left="0" w:leftChars="0"/>
        <w:jc w:val="left"/>
        <w:rPr>
          <w:rFonts w:hint="eastAsia" w:ascii="Nimbus Roman No9 L" w:hAnsi="Nimbus Roman No9 L" w:eastAsia="仿宋_GB2312" w:cs="Nimbus Roman No9 L"/>
          <w:bCs/>
        </w:rPr>
      </w:pPr>
      <w:r>
        <w:rPr>
          <w:rFonts w:ascii="Nimbus Roman No9 L" w:hAnsi="Nimbus Roman No9 L" w:eastAsia="仿宋_GB2312" w:cs="Nimbus Roman No9 L"/>
          <w:bCs/>
        </w:rPr>
        <w:t>一、部门职责.....................................................................5</w:t>
      </w:r>
    </w:p>
    <w:p w14:paraId="528C80B1">
      <w:pPr>
        <w:pStyle w:val="15"/>
        <w:spacing w:line="560" w:lineRule="exact"/>
        <w:ind w:left="0" w:leftChars="0"/>
        <w:jc w:val="left"/>
        <w:rPr>
          <w:rFonts w:hint="eastAsia" w:ascii="Nimbus Roman No9 L" w:hAnsi="Nimbus Roman No9 L" w:eastAsia="仿宋_GB2312" w:cs="Nimbus Roman No9 L"/>
          <w:bCs/>
        </w:rPr>
      </w:pPr>
      <w:r>
        <w:rPr>
          <w:rFonts w:ascii="Nimbus Roman No9 L" w:hAnsi="Nimbus Roman No9 L" w:eastAsia="仿宋_GB2312" w:cs="Nimbus Roman No9 L"/>
          <w:bCs/>
        </w:rPr>
        <w:t>二、机构设置.....................................................................5</w:t>
      </w:r>
    </w:p>
    <w:p w14:paraId="392171A0">
      <w:pPr>
        <w:pStyle w:val="14"/>
        <w:tabs>
          <w:tab w:val="right" w:leader="dot" w:pos="8296"/>
        </w:tabs>
        <w:spacing w:line="560" w:lineRule="exact"/>
        <w:jc w:val="left"/>
        <w:rPr>
          <w:rFonts w:hint="eastAsia" w:ascii="Nimbus Roman No9 L" w:hAnsi="Nimbus Roman No9 L" w:eastAsia="黑体" w:cs="Nimbus Roman No9 L"/>
          <w:b w:val="0"/>
          <w:bCs/>
          <w:sz w:val="32"/>
          <w:szCs w:val="32"/>
        </w:rPr>
      </w:pPr>
      <w:r>
        <w:rPr>
          <w:rFonts w:ascii="Nimbus Roman No9 L" w:hAnsi="Nimbus Roman No9 L" w:eastAsia="黑体" w:cs="Nimbus Roman No9 L"/>
          <w:b w:val="0"/>
          <w:bCs/>
          <w:sz w:val="32"/>
          <w:szCs w:val="32"/>
        </w:rPr>
        <w:t>第二部分 2025年度部门决算情况说明.........................6</w:t>
      </w:r>
    </w:p>
    <w:p w14:paraId="6FF817F0">
      <w:pPr>
        <w:pStyle w:val="15"/>
        <w:spacing w:line="560" w:lineRule="exact"/>
        <w:ind w:left="0" w:leftChars="0"/>
        <w:jc w:val="left"/>
        <w:rPr>
          <w:rFonts w:hint="eastAsia" w:ascii="Nimbus Roman No9 L" w:hAnsi="Nimbus Roman No9 L" w:eastAsia="仿宋_GB2312" w:cs="Nimbus Roman No9 L"/>
          <w:bCs/>
        </w:rPr>
      </w:pPr>
      <w:r>
        <w:rPr>
          <w:rFonts w:ascii="Nimbus Roman No9 L" w:hAnsi="Nimbus Roman No9 L" w:eastAsia="仿宋_GB2312" w:cs="Nimbus Roman No9 L"/>
          <w:bCs/>
        </w:rPr>
        <w:t>一、收入支出决算总体情况说明.....................................6</w:t>
      </w:r>
    </w:p>
    <w:p w14:paraId="1931DF26">
      <w:pPr>
        <w:pStyle w:val="15"/>
        <w:spacing w:line="560" w:lineRule="exact"/>
        <w:ind w:left="0" w:leftChars="0"/>
        <w:jc w:val="left"/>
        <w:rPr>
          <w:rFonts w:hint="eastAsia" w:ascii="Nimbus Roman No9 L" w:hAnsi="Nimbus Roman No9 L" w:eastAsia="仿宋_GB2312" w:cs="Nimbus Roman No9 L"/>
          <w:bCs/>
        </w:rPr>
      </w:pPr>
      <w:r>
        <w:rPr>
          <w:rFonts w:ascii="Nimbus Roman No9 L" w:hAnsi="Nimbus Roman No9 L" w:eastAsia="仿宋_GB2312" w:cs="Nimbus Roman No9 L"/>
          <w:bCs/>
        </w:rPr>
        <w:t>二、收入决算情况说明.....................................................6</w:t>
      </w:r>
    </w:p>
    <w:p w14:paraId="4E40FF2F">
      <w:pPr>
        <w:pStyle w:val="15"/>
        <w:spacing w:line="560" w:lineRule="exact"/>
        <w:ind w:left="0" w:leftChars="0"/>
        <w:jc w:val="left"/>
        <w:rPr>
          <w:rFonts w:hint="eastAsia" w:ascii="Nimbus Roman No9 L" w:hAnsi="Nimbus Roman No9 L" w:eastAsia="仿宋_GB2312" w:cs="Nimbus Roman No9 L"/>
          <w:bCs/>
        </w:rPr>
      </w:pPr>
      <w:r>
        <w:rPr>
          <w:rFonts w:ascii="Nimbus Roman No9 L" w:hAnsi="Nimbus Roman No9 L" w:eastAsia="仿宋_GB2312" w:cs="Nimbus Roman No9 L"/>
          <w:bCs/>
        </w:rPr>
        <w:t>三、支出决算情况说明.....................................................7</w:t>
      </w:r>
    </w:p>
    <w:p w14:paraId="43FBD6A7">
      <w:pPr>
        <w:pStyle w:val="15"/>
        <w:spacing w:line="560" w:lineRule="exact"/>
        <w:ind w:left="0" w:leftChars="0"/>
        <w:jc w:val="left"/>
        <w:rPr>
          <w:rFonts w:hint="eastAsia" w:ascii="Nimbus Roman No9 L" w:hAnsi="Nimbus Roman No9 L" w:eastAsia="仿宋_GB2312" w:cs="Nimbus Roman No9 L"/>
          <w:bCs/>
        </w:rPr>
      </w:pPr>
      <w:r>
        <w:rPr>
          <w:rFonts w:ascii="Nimbus Roman No9 L" w:hAnsi="Nimbus Roman No9 L" w:eastAsia="仿宋_GB2312" w:cs="Nimbus Roman No9 L"/>
          <w:bCs/>
        </w:rPr>
        <w:t>四、财政拨款收入支出决算总体情况说明.....................7</w:t>
      </w:r>
    </w:p>
    <w:p w14:paraId="08100FBA">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五、一般公共预算财政拨款支出决算情况说明.............</w:t>
      </w:r>
      <w:r>
        <w:rPr>
          <w:rFonts w:hint="eastAsia" w:ascii="Nimbus Roman No9 L" w:hAnsi="Nimbus Roman No9 L" w:eastAsia="仿宋_GB2312" w:cs="Nimbus Roman No9 L"/>
          <w:bCs/>
          <w:lang w:val="en-US" w:eastAsia="zh-CN"/>
        </w:rPr>
        <w:t>7</w:t>
      </w:r>
    </w:p>
    <w:p w14:paraId="042AE874">
      <w:pPr>
        <w:pStyle w:val="15"/>
        <w:spacing w:line="560" w:lineRule="exact"/>
        <w:ind w:left="0" w:leftChars="0"/>
        <w:jc w:val="left"/>
        <w:rPr>
          <w:rFonts w:hint="eastAsia" w:ascii="Nimbus Roman No9 L" w:hAnsi="Nimbus Roman No9 L" w:eastAsia="仿宋_GB2312" w:cs="Nimbus Roman No9 L"/>
          <w:bCs/>
        </w:rPr>
      </w:pPr>
      <w:r>
        <w:rPr>
          <w:rFonts w:ascii="Nimbus Roman No9 L" w:hAnsi="Nimbus Roman No9 L" w:eastAsia="仿宋_GB2312" w:cs="Nimbus Roman No9 L"/>
          <w:bCs/>
        </w:rPr>
        <w:t>六、一般公共预算财政拨款基本支出决算情况说明.....10</w:t>
      </w:r>
    </w:p>
    <w:p w14:paraId="701E9BF3">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七、财政拨款“三公”经费支出决算情况说明.......</w:t>
      </w:r>
      <w:r>
        <w:rPr>
          <w:rFonts w:hint="eastAsia" w:ascii="Nimbus Roman No9 L" w:hAnsi="Nimbus Roman No9 L" w:eastAsia="仿宋_GB2312" w:cs="Nimbus Roman No9 L"/>
          <w:bCs/>
        </w:rPr>
        <w:t>.....</w:t>
      </w:r>
      <w:r>
        <w:rPr>
          <w:rFonts w:ascii="Nimbus Roman No9 L" w:hAnsi="Nimbus Roman No9 L" w:eastAsia="仿宋_GB2312" w:cs="Nimbus Roman No9 L"/>
          <w:bCs/>
        </w:rPr>
        <w:t>....1</w:t>
      </w:r>
      <w:r>
        <w:rPr>
          <w:rFonts w:hint="eastAsia" w:ascii="Nimbus Roman No9 L" w:hAnsi="Nimbus Roman No9 L" w:eastAsia="仿宋_GB2312" w:cs="Nimbus Roman No9 L"/>
          <w:bCs/>
          <w:lang w:val="en-US" w:eastAsia="zh-CN"/>
        </w:rPr>
        <w:t>0</w:t>
      </w:r>
    </w:p>
    <w:p w14:paraId="1F3AE88F">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八、政府性基金预算支出决算情况说明.......................1</w:t>
      </w:r>
      <w:r>
        <w:rPr>
          <w:rFonts w:hint="eastAsia" w:ascii="Nimbus Roman No9 L" w:hAnsi="Nimbus Roman No9 L" w:eastAsia="仿宋_GB2312" w:cs="Nimbus Roman No9 L"/>
          <w:bCs/>
          <w:lang w:val="en-US" w:eastAsia="zh-CN"/>
        </w:rPr>
        <w:t>2</w:t>
      </w:r>
    </w:p>
    <w:p w14:paraId="7E8DF41C">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九、国有资本经营预算支出决算情况说明...................1</w:t>
      </w:r>
      <w:r>
        <w:rPr>
          <w:rFonts w:hint="eastAsia" w:ascii="Nimbus Roman No9 L" w:hAnsi="Nimbus Roman No9 L" w:eastAsia="仿宋_GB2312" w:cs="Nimbus Roman No9 L"/>
          <w:bCs/>
          <w:lang w:val="en-US" w:eastAsia="zh-CN"/>
        </w:rPr>
        <w:t>2</w:t>
      </w:r>
    </w:p>
    <w:p w14:paraId="524BFA0C">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十、其他重要事项的情况说明.......................................1</w:t>
      </w:r>
      <w:r>
        <w:rPr>
          <w:rFonts w:hint="eastAsia" w:ascii="Nimbus Roman No9 L" w:hAnsi="Nimbus Roman No9 L" w:eastAsia="仿宋_GB2312" w:cs="Nimbus Roman No9 L"/>
          <w:bCs/>
          <w:lang w:val="en-US" w:eastAsia="zh-CN"/>
        </w:rPr>
        <w:t>2</w:t>
      </w:r>
    </w:p>
    <w:p w14:paraId="34E2696D">
      <w:pPr>
        <w:pStyle w:val="14"/>
        <w:tabs>
          <w:tab w:val="right" w:leader="dot" w:pos="8296"/>
        </w:tabs>
        <w:spacing w:line="560" w:lineRule="exact"/>
        <w:jc w:val="left"/>
        <w:rPr>
          <w:rFonts w:hint="eastAsia" w:ascii="Nimbus Roman No9 L" w:hAnsi="Nimbus Roman No9 L" w:eastAsia="黑体" w:cs="Nimbus Roman No9 L"/>
          <w:b w:val="0"/>
          <w:bCs/>
          <w:sz w:val="32"/>
          <w:szCs w:val="32"/>
          <w:lang w:eastAsia="zh-CN"/>
        </w:rPr>
      </w:pPr>
      <w:r>
        <w:rPr>
          <w:rFonts w:ascii="Nimbus Roman No9 L" w:hAnsi="Nimbus Roman No9 L" w:eastAsia="黑体" w:cs="Nimbus Roman No9 L"/>
          <w:b w:val="0"/>
          <w:bCs/>
          <w:sz w:val="32"/>
          <w:szCs w:val="32"/>
        </w:rPr>
        <w:t>第三部分 名词解释.................................................</w:t>
      </w:r>
      <w:r>
        <w:rPr>
          <w:rFonts w:hint="eastAsia" w:ascii="Nimbus Roman No9 L" w:hAnsi="Nimbus Roman No9 L" w:eastAsia="黑体" w:cs="Nimbus Roman No9 L"/>
          <w:b w:val="0"/>
          <w:bCs/>
          <w:sz w:val="32"/>
          <w:szCs w:val="32"/>
        </w:rPr>
        <w:t>..</w:t>
      </w:r>
      <w:r>
        <w:rPr>
          <w:rFonts w:ascii="Nimbus Roman No9 L" w:hAnsi="Nimbus Roman No9 L" w:eastAsia="黑体" w:cs="Nimbus Roman No9 L"/>
          <w:b w:val="0"/>
          <w:bCs/>
          <w:sz w:val="32"/>
          <w:szCs w:val="32"/>
        </w:rPr>
        <w:t>......1</w:t>
      </w:r>
      <w:r>
        <w:rPr>
          <w:rFonts w:hint="eastAsia" w:ascii="Nimbus Roman No9 L" w:hAnsi="Nimbus Roman No9 L" w:eastAsia="黑体" w:cs="Nimbus Roman No9 L"/>
          <w:b w:val="0"/>
          <w:bCs/>
          <w:sz w:val="32"/>
          <w:szCs w:val="32"/>
          <w:lang w:val="en-US" w:eastAsia="zh-CN"/>
        </w:rPr>
        <w:t>4</w:t>
      </w:r>
    </w:p>
    <w:p w14:paraId="4FE1CA93">
      <w:pPr>
        <w:pStyle w:val="14"/>
        <w:tabs>
          <w:tab w:val="right" w:leader="dot" w:pos="8296"/>
        </w:tabs>
        <w:spacing w:line="560" w:lineRule="exact"/>
        <w:jc w:val="left"/>
        <w:rPr>
          <w:rFonts w:hint="eastAsia" w:ascii="Nimbus Roman No9 L" w:hAnsi="Nimbus Roman No9 L" w:eastAsia="黑体" w:cs="Nimbus Roman No9 L"/>
          <w:b w:val="0"/>
          <w:bCs/>
          <w:sz w:val="32"/>
          <w:szCs w:val="32"/>
          <w:lang w:eastAsia="zh-CN"/>
        </w:rPr>
      </w:pPr>
      <w:r>
        <w:rPr>
          <w:rFonts w:ascii="Nimbus Roman No9 L" w:hAnsi="Nimbus Roman No9 L" w:eastAsia="黑体" w:cs="Nimbus Roman No9 L"/>
          <w:b w:val="0"/>
          <w:bCs/>
          <w:sz w:val="32"/>
          <w:szCs w:val="32"/>
        </w:rPr>
        <w:t>第四部分 附件.......................................</w:t>
      </w:r>
      <w:r>
        <w:rPr>
          <w:rFonts w:hint="eastAsia" w:ascii="Nimbus Roman No9 L" w:hAnsi="Nimbus Roman No9 L" w:eastAsia="黑体" w:cs="Nimbus Roman No9 L"/>
          <w:b w:val="0"/>
          <w:bCs/>
          <w:sz w:val="32"/>
          <w:szCs w:val="32"/>
        </w:rPr>
        <w:t>...</w:t>
      </w:r>
      <w:r>
        <w:rPr>
          <w:rFonts w:ascii="Nimbus Roman No9 L" w:hAnsi="Nimbus Roman No9 L" w:eastAsia="黑体" w:cs="Nimbus Roman No9 L"/>
          <w:b w:val="0"/>
          <w:bCs/>
          <w:sz w:val="32"/>
          <w:szCs w:val="32"/>
        </w:rPr>
        <w:t>.................</w:t>
      </w:r>
      <w:r>
        <w:rPr>
          <w:rFonts w:hint="eastAsia" w:ascii="Nimbus Roman No9 L" w:hAnsi="Nimbus Roman No9 L" w:eastAsia="黑体" w:cs="Nimbus Roman No9 L"/>
          <w:b w:val="0"/>
          <w:bCs/>
          <w:sz w:val="32"/>
          <w:szCs w:val="32"/>
        </w:rPr>
        <w:t>.</w:t>
      </w:r>
      <w:r>
        <w:rPr>
          <w:rFonts w:ascii="Nimbus Roman No9 L" w:hAnsi="Nimbus Roman No9 L" w:eastAsia="黑体" w:cs="Nimbus Roman No9 L"/>
          <w:b w:val="0"/>
          <w:bCs/>
          <w:sz w:val="32"/>
          <w:szCs w:val="32"/>
        </w:rPr>
        <w:t>.....1</w:t>
      </w:r>
      <w:r>
        <w:rPr>
          <w:rFonts w:hint="eastAsia" w:ascii="Nimbus Roman No9 L" w:hAnsi="Nimbus Roman No9 L" w:eastAsia="黑体" w:cs="Nimbus Roman No9 L"/>
          <w:b w:val="0"/>
          <w:bCs/>
          <w:sz w:val="32"/>
          <w:szCs w:val="32"/>
          <w:lang w:val="en-US" w:eastAsia="zh-CN"/>
        </w:rPr>
        <w:t>6</w:t>
      </w:r>
    </w:p>
    <w:p w14:paraId="2B83A2DB">
      <w:pPr>
        <w:pStyle w:val="14"/>
        <w:tabs>
          <w:tab w:val="right" w:leader="dot" w:pos="8296"/>
        </w:tabs>
        <w:spacing w:line="560" w:lineRule="exact"/>
        <w:jc w:val="left"/>
        <w:rPr>
          <w:rFonts w:hint="eastAsia" w:ascii="Nimbus Roman No9 L" w:hAnsi="Nimbus Roman No9 L" w:eastAsia="黑体" w:cs="Nimbus Roman No9 L"/>
          <w:b w:val="0"/>
          <w:bCs/>
          <w:sz w:val="32"/>
          <w:szCs w:val="32"/>
          <w:lang w:eastAsia="zh-CN"/>
        </w:rPr>
      </w:pPr>
      <w:r>
        <w:rPr>
          <w:rFonts w:ascii="Nimbus Roman No9 L" w:hAnsi="Nimbus Roman No9 L" w:eastAsia="黑体" w:cs="Nimbus Roman No9 L"/>
          <w:b w:val="0"/>
          <w:bCs/>
          <w:sz w:val="32"/>
          <w:szCs w:val="32"/>
        </w:rPr>
        <w:t>第五部分 附表.......................................................</w:t>
      </w:r>
      <w:r>
        <w:rPr>
          <w:rFonts w:hint="eastAsia" w:ascii="Nimbus Roman No9 L" w:hAnsi="Nimbus Roman No9 L" w:eastAsia="黑体" w:cs="Nimbus Roman No9 L"/>
          <w:b w:val="0"/>
          <w:bCs/>
          <w:sz w:val="32"/>
          <w:szCs w:val="32"/>
        </w:rPr>
        <w:t>..</w:t>
      </w:r>
      <w:r>
        <w:rPr>
          <w:rFonts w:ascii="Nimbus Roman No9 L" w:hAnsi="Nimbus Roman No9 L" w:eastAsia="黑体" w:cs="Nimbus Roman No9 L"/>
          <w:b w:val="0"/>
          <w:bCs/>
          <w:sz w:val="32"/>
          <w:szCs w:val="32"/>
        </w:rPr>
        <w:t>..</w:t>
      </w:r>
      <w:r>
        <w:rPr>
          <w:rFonts w:hint="eastAsia" w:ascii="Nimbus Roman No9 L" w:hAnsi="Nimbus Roman No9 L" w:eastAsia="黑体" w:cs="Nimbus Roman No9 L"/>
          <w:b w:val="0"/>
          <w:bCs/>
          <w:sz w:val="32"/>
          <w:szCs w:val="32"/>
        </w:rPr>
        <w:t>.</w:t>
      </w:r>
      <w:r>
        <w:rPr>
          <w:rFonts w:ascii="Nimbus Roman No9 L" w:hAnsi="Nimbus Roman No9 L" w:eastAsia="黑体" w:cs="Nimbus Roman No9 L"/>
          <w:b w:val="0"/>
          <w:bCs/>
          <w:sz w:val="32"/>
          <w:szCs w:val="32"/>
        </w:rPr>
        <w:t>.....1</w:t>
      </w:r>
      <w:r>
        <w:rPr>
          <w:rFonts w:hint="eastAsia" w:ascii="Nimbus Roman No9 L" w:hAnsi="Nimbus Roman No9 L" w:eastAsia="黑体" w:cs="Nimbus Roman No9 L"/>
          <w:b w:val="0"/>
          <w:bCs/>
          <w:sz w:val="32"/>
          <w:szCs w:val="32"/>
          <w:lang w:val="en-US" w:eastAsia="zh-CN"/>
        </w:rPr>
        <w:t>7</w:t>
      </w:r>
    </w:p>
    <w:p w14:paraId="22E5802C">
      <w:pPr>
        <w:pStyle w:val="15"/>
        <w:spacing w:line="560" w:lineRule="exact"/>
        <w:ind w:left="0" w:leftChars="0"/>
        <w:jc w:val="left"/>
        <w:rPr>
          <w:rFonts w:hint="eastAsia" w:ascii="Nimbus Roman No9 L" w:hAnsi="Nimbus Roman No9 L" w:eastAsia="黑体" w:cs="Nimbus Roman No9 L"/>
          <w:bCs/>
          <w:lang w:eastAsia="zh-CN"/>
        </w:rPr>
      </w:pPr>
      <w:r>
        <w:rPr>
          <w:rFonts w:ascii="Nimbus Roman No9 L" w:hAnsi="Nimbus Roman No9 L" w:eastAsia="仿宋_GB2312" w:cs="Nimbus Roman No9 L"/>
          <w:bCs/>
        </w:rPr>
        <w:t>一、收入支出决算总表</w:t>
      </w:r>
      <w:r>
        <w:rPr>
          <w:rFonts w:ascii="Nimbus Roman No9 L" w:hAnsi="Nimbus Roman No9 L" w:eastAsia="黑体" w:cs="Nimbus Roman No9 L"/>
          <w:bCs/>
        </w:rPr>
        <w:t>...................................................1</w:t>
      </w:r>
      <w:r>
        <w:rPr>
          <w:rFonts w:hint="eastAsia" w:ascii="Nimbus Roman No9 L" w:hAnsi="Nimbus Roman No9 L" w:eastAsia="黑体" w:cs="Nimbus Roman No9 L"/>
          <w:bCs/>
          <w:lang w:val="en-US" w:eastAsia="zh-CN"/>
        </w:rPr>
        <w:t>7</w:t>
      </w:r>
    </w:p>
    <w:p w14:paraId="643AB73A">
      <w:pPr>
        <w:pStyle w:val="15"/>
        <w:spacing w:line="560" w:lineRule="exact"/>
        <w:ind w:left="0" w:leftChars="0"/>
        <w:jc w:val="left"/>
        <w:rPr>
          <w:rFonts w:hint="eastAsia" w:ascii="Nimbus Roman No9 L" w:hAnsi="Nimbus Roman No9 L" w:eastAsia="黑体" w:cs="Nimbus Roman No9 L"/>
          <w:bCs/>
          <w:lang w:eastAsia="zh-CN"/>
        </w:rPr>
      </w:pPr>
      <w:r>
        <w:rPr>
          <w:rFonts w:ascii="Nimbus Roman No9 L" w:hAnsi="Nimbus Roman No9 L" w:eastAsia="仿宋_GB2312" w:cs="Nimbus Roman No9 L"/>
          <w:bCs/>
        </w:rPr>
        <w:t>二、收入决算表</w:t>
      </w:r>
      <w:r>
        <w:rPr>
          <w:rFonts w:ascii="Nimbus Roman No9 L" w:hAnsi="Nimbus Roman No9 L" w:eastAsia="黑体" w:cs="Nimbus Roman No9 L"/>
          <w:bCs/>
        </w:rPr>
        <w:t>...............................................................1</w:t>
      </w:r>
      <w:r>
        <w:rPr>
          <w:rFonts w:hint="eastAsia" w:ascii="Nimbus Roman No9 L" w:hAnsi="Nimbus Roman No9 L" w:eastAsia="黑体" w:cs="Nimbus Roman No9 L"/>
          <w:bCs/>
          <w:lang w:val="en-US" w:eastAsia="zh-CN"/>
        </w:rPr>
        <w:t>7</w:t>
      </w:r>
    </w:p>
    <w:p w14:paraId="19426AFF">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三、支出决算表...............................................................1</w:t>
      </w:r>
      <w:r>
        <w:rPr>
          <w:rFonts w:hint="eastAsia" w:ascii="Nimbus Roman No9 L" w:hAnsi="Nimbus Roman No9 L" w:eastAsia="仿宋_GB2312" w:cs="Nimbus Roman No9 L"/>
          <w:bCs/>
          <w:lang w:val="en-US" w:eastAsia="zh-CN"/>
        </w:rPr>
        <w:t>7</w:t>
      </w:r>
    </w:p>
    <w:p w14:paraId="49C240BB">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四、财政拨款收入支出决算总表................................1</w:t>
      </w:r>
      <w:r>
        <w:rPr>
          <w:rFonts w:hint="eastAsia" w:ascii="Nimbus Roman No9 L" w:hAnsi="Nimbus Roman No9 L" w:eastAsia="仿宋_GB2312" w:cs="Nimbus Roman No9 L"/>
          <w:bCs/>
          <w:lang w:val="en-US" w:eastAsia="zh-CN"/>
        </w:rPr>
        <w:t>7</w:t>
      </w:r>
    </w:p>
    <w:p w14:paraId="665F0F5B">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五、财政拨款支出决算明细表....................................1</w:t>
      </w:r>
      <w:r>
        <w:rPr>
          <w:rFonts w:hint="eastAsia" w:ascii="Nimbus Roman No9 L" w:hAnsi="Nimbus Roman No9 L" w:eastAsia="仿宋_GB2312" w:cs="Nimbus Roman No9 L"/>
          <w:bCs/>
          <w:lang w:val="en-US" w:eastAsia="zh-CN"/>
        </w:rPr>
        <w:t>7</w:t>
      </w:r>
    </w:p>
    <w:p w14:paraId="53D6AD9B">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六、一般公共预算财政拨款支出决算表....................1</w:t>
      </w:r>
      <w:r>
        <w:rPr>
          <w:rFonts w:hint="eastAsia" w:ascii="Nimbus Roman No9 L" w:hAnsi="Nimbus Roman No9 L" w:eastAsia="仿宋_GB2312" w:cs="Nimbus Roman No9 L"/>
          <w:bCs/>
          <w:lang w:val="en-US" w:eastAsia="zh-CN"/>
        </w:rPr>
        <w:t>7</w:t>
      </w:r>
    </w:p>
    <w:p w14:paraId="67C1129D">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七、一般公共预算财政拨款支出决算明细表............1</w:t>
      </w:r>
      <w:r>
        <w:rPr>
          <w:rFonts w:hint="eastAsia" w:ascii="Nimbus Roman No9 L" w:hAnsi="Nimbus Roman No9 L" w:eastAsia="仿宋_GB2312" w:cs="Nimbus Roman No9 L"/>
          <w:bCs/>
          <w:lang w:val="en-US" w:eastAsia="zh-CN"/>
        </w:rPr>
        <w:t>7</w:t>
      </w:r>
    </w:p>
    <w:p w14:paraId="5A4BEA8F">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八、一般公共预算财政拨款基本支出决算明细表....1</w:t>
      </w:r>
      <w:r>
        <w:rPr>
          <w:rFonts w:hint="eastAsia" w:ascii="Nimbus Roman No9 L" w:hAnsi="Nimbus Roman No9 L" w:eastAsia="仿宋_GB2312" w:cs="Nimbus Roman No9 L"/>
          <w:bCs/>
          <w:lang w:val="en-US" w:eastAsia="zh-CN"/>
        </w:rPr>
        <w:t>7</w:t>
      </w:r>
    </w:p>
    <w:p w14:paraId="6CAB3031">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九、一般公共预算财政拨款项目支出决算表............1</w:t>
      </w:r>
      <w:r>
        <w:rPr>
          <w:rFonts w:hint="eastAsia" w:ascii="Nimbus Roman No9 L" w:hAnsi="Nimbus Roman No9 L" w:eastAsia="仿宋_GB2312" w:cs="Nimbus Roman No9 L"/>
          <w:bCs/>
          <w:lang w:val="en-US" w:eastAsia="zh-CN"/>
        </w:rPr>
        <w:t>7</w:t>
      </w:r>
    </w:p>
    <w:p w14:paraId="74F08BA8">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十、政府性基金预算财政拨款收入支出决算表........1</w:t>
      </w:r>
      <w:r>
        <w:rPr>
          <w:rFonts w:hint="eastAsia" w:ascii="Nimbus Roman No9 L" w:hAnsi="Nimbus Roman No9 L" w:eastAsia="仿宋_GB2312" w:cs="Nimbus Roman No9 L"/>
          <w:bCs/>
          <w:lang w:val="en-US" w:eastAsia="zh-CN"/>
        </w:rPr>
        <w:t>7</w:t>
      </w:r>
    </w:p>
    <w:p w14:paraId="67F36807">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十一、国有资本经营预算财政拨款收入支出决算表.1</w:t>
      </w:r>
      <w:r>
        <w:rPr>
          <w:rFonts w:hint="eastAsia" w:ascii="Nimbus Roman No9 L" w:hAnsi="Nimbus Roman No9 L" w:eastAsia="仿宋_GB2312" w:cs="Nimbus Roman No9 L"/>
          <w:bCs/>
          <w:lang w:val="en-US" w:eastAsia="zh-CN"/>
        </w:rPr>
        <w:t>7</w:t>
      </w:r>
    </w:p>
    <w:p w14:paraId="0CDEDBA5">
      <w:pPr>
        <w:pStyle w:val="15"/>
        <w:spacing w:line="560" w:lineRule="exact"/>
        <w:ind w:left="0" w:leftChars="0"/>
        <w:jc w:val="left"/>
        <w:rPr>
          <w:rFonts w:hint="eastAsia" w:ascii="Nimbus Roman No9 L" w:hAnsi="Nimbus Roman No9 L" w:eastAsia="仿宋_GB2312" w:cs="Nimbus Roman No9 L"/>
          <w:bCs/>
          <w:lang w:eastAsia="zh-CN"/>
        </w:rPr>
      </w:pPr>
      <w:r>
        <w:rPr>
          <w:rFonts w:ascii="Nimbus Roman No9 L" w:hAnsi="Nimbus Roman No9 L" w:eastAsia="仿宋_GB2312" w:cs="Nimbus Roman No9 L"/>
          <w:bCs/>
        </w:rPr>
        <w:t>十二、国有资本经营预算财政拨款支出决算表........1</w:t>
      </w:r>
      <w:r>
        <w:rPr>
          <w:rFonts w:hint="eastAsia" w:ascii="Nimbus Roman No9 L" w:hAnsi="Nimbus Roman No9 L" w:eastAsia="仿宋_GB2312" w:cs="Nimbus Roman No9 L"/>
          <w:bCs/>
          <w:lang w:val="en-US" w:eastAsia="zh-CN"/>
        </w:rPr>
        <w:t>7</w:t>
      </w:r>
    </w:p>
    <w:p w14:paraId="6CD96DED">
      <w:pPr>
        <w:pStyle w:val="15"/>
        <w:spacing w:line="560" w:lineRule="exact"/>
        <w:ind w:left="0" w:leftChars="0"/>
        <w:jc w:val="left"/>
        <w:rPr>
          <w:rFonts w:hint="eastAsia" w:ascii="Nimbus Roman No9 L" w:hAnsi="Nimbus Roman No9 L" w:eastAsia="仿宋_GB2312" w:cs="Nimbus Roman No9 L"/>
          <w:lang w:eastAsia="zh-CN"/>
        </w:rPr>
      </w:pPr>
      <w:r>
        <w:rPr>
          <w:rFonts w:ascii="Nimbus Roman No9 L" w:hAnsi="Nimbus Roman No9 L" w:eastAsia="仿宋_GB2312" w:cs="Nimbus Roman No9 L"/>
        </w:rPr>
        <w:t>十三、财政拨款“三公”经费支出决算表.......</w:t>
      </w:r>
      <w:r>
        <w:rPr>
          <w:rFonts w:hint="eastAsia" w:ascii="Nimbus Roman No9 L" w:hAnsi="Nimbus Roman No9 L" w:eastAsia="仿宋_GB2312" w:cs="Nimbus Roman No9 L"/>
        </w:rPr>
        <w:t>.....</w:t>
      </w:r>
      <w:r>
        <w:rPr>
          <w:rFonts w:ascii="Nimbus Roman No9 L" w:hAnsi="Nimbus Roman No9 L" w:eastAsia="仿宋_GB2312" w:cs="Nimbus Roman No9 L"/>
        </w:rPr>
        <w:t>.........1</w:t>
      </w:r>
      <w:r>
        <w:rPr>
          <w:rFonts w:hint="eastAsia" w:ascii="Nimbus Roman No9 L" w:hAnsi="Nimbus Roman No9 L" w:eastAsia="仿宋_GB2312" w:cs="Nimbus Roman No9 L"/>
          <w:lang w:val="en-US" w:eastAsia="zh-CN"/>
        </w:rPr>
        <w:t>7</w:t>
      </w:r>
    </w:p>
    <w:p w14:paraId="16FA7DDC">
      <w:pPr>
        <w:pStyle w:val="8"/>
        <w:spacing w:before="93"/>
        <w:ind w:firstLine="600"/>
      </w:pPr>
    </w:p>
    <w:p w14:paraId="5055496C">
      <w:pPr>
        <w:widowControl/>
        <w:spacing w:line="560" w:lineRule="exact"/>
        <w:rPr>
          <w:rFonts w:eastAsia="仿宋_GB2312"/>
          <w:bCs/>
          <w:kern w:val="44"/>
        </w:rPr>
      </w:pPr>
    </w:p>
    <w:p w14:paraId="54347C0D">
      <w:pPr>
        <w:pStyle w:val="8"/>
        <w:spacing w:before="93"/>
        <w:ind w:firstLine="600"/>
      </w:pPr>
    </w:p>
    <w:p w14:paraId="5201896E">
      <w:pPr>
        <w:pStyle w:val="8"/>
        <w:spacing w:beforeLines="0" w:line="600" w:lineRule="exact"/>
        <w:jc w:val="center"/>
        <w:rPr>
          <w:rFonts w:ascii="方正小标宋_GBK" w:eastAsia="方正小标宋_GBK"/>
          <w:kern w:val="2"/>
          <w:sz w:val="32"/>
        </w:rPr>
        <w:sectPr>
          <w:footerReference r:id="rId11" w:type="default"/>
          <w:pgSz w:w="11906" w:h="16838"/>
          <w:pgMar w:top="1440" w:right="1800" w:bottom="1440" w:left="1800" w:header="851" w:footer="992" w:gutter="0"/>
          <w:cols w:space="425" w:num="1"/>
          <w:docGrid w:type="lines" w:linePitch="312" w:charSpace="0"/>
        </w:sectPr>
      </w:pPr>
    </w:p>
    <w:p w14:paraId="761DAE50">
      <w:pPr>
        <w:pStyle w:val="5"/>
        <w:keepNext/>
        <w:keepLines/>
        <w:adjustRightInd/>
        <w:snapToGrid/>
        <w:spacing w:after="330" w:line="578" w:lineRule="auto"/>
        <w:ind w:firstLine="0" w:firstLineChars="0"/>
        <w:rPr>
          <w:rFonts w:hint="eastAsia" w:ascii="Nimbus Roman No9 L" w:hAnsi="Nimbus Roman No9 L" w:eastAsia="方正小标宋简体" w:cs="Nimbus Roman No9 L"/>
          <w:bCs/>
          <w:kern w:val="44"/>
          <w:sz w:val="44"/>
          <w:szCs w:val="44"/>
        </w:rPr>
      </w:pPr>
      <w:r>
        <w:rPr>
          <w:rFonts w:ascii="Nimbus Roman No9 L" w:hAnsi="Nimbus Roman No9 L" w:eastAsia="方正小标宋简体" w:cs="Nimbus Roman No9 L"/>
          <w:bCs/>
          <w:kern w:val="44"/>
          <w:sz w:val="44"/>
          <w:szCs w:val="44"/>
        </w:rPr>
        <w:t>第一部分</w:t>
      </w:r>
      <w:r>
        <w:rPr>
          <w:rFonts w:hint="eastAsia" w:ascii="Nimbus Roman No9 L" w:hAnsi="Nimbus Roman No9 L" w:eastAsia="方正小标宋简体" w:cs="Nimbus Roman No9 L"/>
          <w:bCs/>
          <w:kern w:val="44"/>
          <w:sz w:val="44"/>
          <w:szCs w:val="44"/>
          <w:lang w:val="en-US" w:eastAsia="zh-CN"/>
        </w:rPr>
        <w:t xml:space="preserve"> </w:t>
      </w:r>
      <w:r>
        <w:rPr>
          <w:rFonts w:ascii="Nimbus Roman No9 L" w:hAnsi="Nimbus Roman No9 L" w:eastAsia="方正小标宋简体" w:cs="Nimbus Roman No9 L"/>
          <w:bCs/>
          <w:kern w:val="44"/>
          <w:sz w:val="44"/>
          <w:szCs w:val="44"/>
        </w:rPr>
        <w:t>单位概况</w:t>
      </w:r>
    </w:p>
    <w:p w14:paraId="201A664A">
      <w:pPr>
        <w:pStyle w:val="6"/>
        <w:spacing w:before="0" w:after="0" w:line="560" w:lineRule="exact"/>
      </w:pPr>
      <w:bookmarkStart w:id="12" w:name="_Toc15396600"/>
      <w:bookmarkStart w:id="13" w:name="_Toc15377197"/>
      <w:r>
        <w:t>一、</w:t>
      </w:r>
      <w:bookmarkEnd w:id="12"/>
      <w:bookmarkEnd w:id="13"/>
      <w:r>
        <w:t>单位职责</w:t>
      </w:r>
    </w:p>
    <w:p w14:paraId="3583EDAB">
      <w:pPr>
        <w:spacing w:line="560" w:lineRule="exact"/>
      </w:pPr>
      <w:r>
        <w:t>攀枝花市生产力促进中心是于1999年12月经四川省科技厅、攀枝花市人民政府批准成立，是不以</w:t>
      </w:r>
      <w:r>
        <w:rPr>
          <w:rFonts w:hint="eastAsia"/>
          <w:lang w:val="en-US" w:eastAsia="zh-CN"/>
        </w:rPr>
        <w:t>营利</w:t>
      </w:r>
      <w:r>
        <w:t>为目的科技中介服务机构，隶属于攀枝花市科学技术局。我中心主要任务是在市攀枝花市科学技术局指导、支持下为中小企业提供科技服务，扶持中小企业技术创新、成果转化，努力架设企业与科技界、企业与政府、企业与市场的信息桥梁，提高中小企业的科技水平、管理水平和经济效益。中心本着“背靠政府、面向社会、服务企业”的原则，为本地区中小企业提供优质服务。坚持"急企业之所急、想企业之所想、解企业之所忧"的服务宗旨，用心用智促进企业全面发展。</w:t>
      </w:r>
      <w:bookmarkStart w:id="67" w:name="_GoBack"/>
      <w:bookmarkEnd w:id="67"/>
    </w:p>
    <w:p w14:paraId="43CB25DE">
      <w:pPr>
        <w:pStyle w:val="6"/>
        <w:spacing w:before="0" w:after="0" w:line="560" w:lineRule="exact"/>
      </w:pPr>
      <w:bookmarkStart w:id="14" w:name="_Toc15396601"/>
      <w:bookmarkStart w:id="15" w:name="_Toc15377200"/>
      <w:r>
        <w:t>二、机构设置</w:t>
      </w:r>
      <w:bookmarkEnd w:id="14"/>
      <w:bookmarkEnd w:id="15"/>
    </w:p>
    <w:p w14:paraId="355EC712">
      <w:r>
        <w:t>攀枝花市生产力促进中心下属二级预算单位</w:t>
      </w:r>
      <w:r>
        <w:rPr>
          <w:rFonts w:eastAsia="仿宋_GB2312"/>
        </w:rPr>
        <w:t>0</w:t>
      </w:r>
      <w:r>
        <w:t>个，其中行政单位</w:t>
      </w:r>
      <w:r>
        <w:rPr>
          <w:rFonts w:eastAsia="仿宋_GB2312"/>
        </w:rPr>
        <w:t>0</w:t>
      </w:r>
      <w:r>
        <w:t>个，参照公务员法管理的事业单位</w:t>
      </w:r>
      <w:r>
        <w:rPr>
          <w:rFonts w:eastAsia="仿宋_GB2312"/>
        </w:rPr>
        <w:t>0</w:t>
      </w:r>
      <w:r>
        <w:t>个，其他事业单位</w:t>
      </w:r>
      <w:r>
        <w:rPr>
          <w:rFonts w:eastAsia="仿宋_GB2312"/>
        </w:rPr>
        <w:t>0</w:t>
      </w:r>
      <w:r>
        <w:t>个。</w:t>
      </w:r>
    </w:p>
    <w:p w14:paraId="7E26A7EB">
      <w:pPr>
        <w:pStyle w:val="8"/>
        <w:spacing w:before="93" w:line="600" w:lineRule="exact"/>
        <w:rPr>
          <w:rFonts w:ascii="Times New Roman"/>
          <w:sz w:val="32"/>
        </w:rPr>
      </w:pPr>
    </w:p>
    <w:p w14:paraId="294BB9DF">
      <w:pPr>
        <w:widowControl/>
        <w:rPr>
          <w:rFonts w:eastAsia="仿宋"/>
          <w:kern w:val="0"/>
        </w:rPr>
      </w:pPr>
    </w:p>
    <w:p w14:paraId="4E7B2FA6">
      <w:pPr>
        <w:pStyle w:val="2"/>
        <w:rPr>
          <w:rFonts w:eastAsia="仿宋"/>
          <w:kern w:val="0"/>
          <w:sz w:val="32"/>
          <w:szCs w:val="32"/>
        </w:rPr>
      </w:pPr>
    </w:p>
    <w:p w14:paraId="2C01A6A0">
      <w:pPr>
        <w:pStyle w:val="3"/>
        <w:ind w:left="640" w:firstLine="640"/>
        <w:rPr>
          <w:rFonts w:eastAsia="仿宋"/>
          <w:kern w:val="0"/>
        </w:rPr>
      </w:pPr>
    </w:p>
    <w:p w14:paraId="06ECC074"/>
    <w:p w14:paraId="072B47A4">
      <w:pPr>
        <w:pStyle w:val="5"/>
        <w:keepNext/>
        <w:keepLines/>
        <w:adjustRightInd/>
        <w:snapToGrid/>
        <w:spacing w:line="560" w:lineRule="exact"/>
        <w:ind w:firstLine="0" w:firstLineChars="0"/>
        <w:rPr>
          <w:rFonts w:hint="eastAsia" w:ascii="Nimbus Roman No9 L" w:hAnsi="Nimbus Roman No9 L" w:eastAsia="方正小标宋简体" w:cs="Nimbus Roman No9 L"/>
          <w:bCs/>
          <w:kern w:val="44"/>
          <w:sz w:val="44"/>
          <w:szCs w:val="44"/>
        </w:rPr>
      </w:pPr>
      <w:bookmarkStart w:id="16" w:name="_Toc15377204"/>
      <w:bookmarkStart w:id="17" w:name="_Toc15396602"/>
      <w:r>
        <w:rPr>
          <w:rFonts w:ascii="Nimbus Roman No9 L" w:hAnsi="Nimbus Roman No9 L" w:eastAsia="方正小标宋简体" w:cs="Nimbus Roman No9 L"/>
          <w:bCs/>
          <w:kern w:val="44"/>
          <w:sz w:val="44"/>
          <w:szCs w:val="44"/>
        </w:rPr>
        <w:t>第二部分202</w:t>
      </w:r>
      <w:r>
        <w:rPr>
          <w:rFonts w:hint="eastAsia" w:ascii="Nimbus Roman No9 L" w:hAnsi="Nimbus Roman No9 L" w:eastAsia="方正小标宋简体" w:cs="Nimbus Roman No9 L"/>
          <w:bCs/>
          <w:kern w:val="44"/>
          <w:sz w:val="44"/>
          <w:szCs w:val="44"/>
        </w:rPr>
        <w:t>5</w:t>
      </w:r>
      <w:r>
        <w:rPr>
          <w:rFonts w:ascii="Nimbus Roman No9 L" w:hAnsi="Nimbus Roman No9 L" w:eastAsia="方正小标宋简体" w:cs="Nimbus Roman No9 L"/>
          <w:bCs/>
          <w:kern w:val="44"/>
          <w:sz w:val="44"/>
          <w:szCs w:val="44"/>
        </w:rPr>
        <w:t>年度单位决算情况说明</w:t>
      </w:r>
      <w:bookmarkEnd w:id="16"/>
      <w:bookmarkEnd w:id="17"/>
    </w:p>
    <w:p w14:paraId="5BC591AD">
      <w:pPr>
        <w:pStyle w:val="6"/>
        <w:spacing w:before="0" w:after="0" w:line="560" w:lineRule="exact"/>
      </w:pPr>
      <w:bookmarkStart w:id="18" w:name="_Toc15377205"/>
      <w:bookmarkStart w:id="19" w:name="_Toc15396603"/>
    </w:p>
    <w:p w14:paraId="5468B83C">
      <w:pPr>
        <w:pStyle w:val="6"/>
        <w:spacing w:before="0" w:after="0" w:line="560" w:lineRule="exact"/>
      </w:pPr>
      <w:r>
        <w:t>一、收入支出决算总体情况说明</w:t>
      </w:r>
      <w:bookmarkEnd w:id="18"/>
      <w:bookmarkEnd w:id="19"/>
    </w:p>
    <w:p w14:paraId="4F34C07D">
      <w:pPr>
        <w:spacing w:line="560" w:lineRule="exact"/>
      </w:pPr>
      <w:r>
        <w:t>202</w:t>
      </w:r>
      <w:r>
        <w:rPr>
          <w:rFonts w:hint="eastAsia"/>
        </w:rPr>
        <w:t>5</w:t>
      </w:r>
      <w:r>
        <w:t>年度收入、支出总计均为2</w:t>
      </w:r>
      <w:r>
        <w:rPr>
          <w:rFonts w:hint="eastAsia"/>
        </w:rPr>
        <w:t>31.27</w:t>
      </w:r>
      <w:r>
        <w:t>万元。与202</w:t>
      </w:r>
      <w:r>
        <w:rPr>
          <w:rFonts w:hint="eastAsia"/>
        </w:rPr>
        <w:t>4</w:t>
      </w:r>
      <w:r>
        <w:t>年度相比，收入、支出总计各减少</w:t>
      </w:r>
      <w:r>
        <w:rPr>
          <w:rFonts w:hint="eastAsia"/>
        </w:rPr>
        <w:t>5.07</w:t>
      </w:r>
      <w:r>
        <w:t>万元，下降</w:t>
      </w:r>
      <w:r>
        <w:rPr>
          <w:rFonts w:hint="eastAsia"/>
        </w:rPr>
        <w:t>2.1</w:t>
      </w:r>
      <w:r>
        <w:t>%。主要变动原因是202</w:t>
      </w:r>
      <w:r>
        <w:rPr>
          <w:rFonts w:hint="eastAsia"/>
        </w:rPr>
        <w:t>5</w:t>
      </w:r>
      <w:r>
        <w:t>年人员经费调整。</w:t>
      </w:r>
    </w:p>
    <w:p w14:paraId="4305D8F4">
      <w:pPr>
        <w:pStyle w:val="28"/>
        <w:spacing w:line="560" w:lineRule="exact"/>
        <w:ind w:firstLine="640"/>
        <w:outlineLvl w:val="1"/>
        <w:rPr>
          <w:rFonts w:eastAsia="仿宋_GB2312"/>
        </w:rPr>
      </w:pPr>
    </w:p>
    <w:p w14:paraId="15C2447F">
      <w:pPr>
        <w:pStyle w:val="28"/>
        <w:spacing w:line="560" w:lineRule="exact"/>
        <w:ind w:firstLine="640"/>
        <w:outlineLvl w:val="1"/>
        <w:rPr>
          <w:rFonts w:eastAsia="仿宋_GB2312"/>
        </w:rPr>
      </w:pPr>
    </w:p>
    <w:p w14:paraId="54FF61B3">
      <w:pPr>
        <w:pStyle w:val="28"/>
        <w:spacing w:line="560" w:lineRule="exact"/>
        <w:ind w:firstLine="640"/>
        <w:outlineLvl w:val="1"/>
        <w:rPr>
          <w:rFonts w:eastAsia="仿宋_GB2312"/>
        </w:rPr>
      </w:pPr>
    </w:p>
    <w:p w14:paraId="06C54060">
      <w:pPr>
        <w:pStyle w:val="28"/>
        <w:tabs>
          <w:tab w:val="left" w:pos="4946"/>
        </w:tabs>
        <w:spacing w:line="560" w:lineRule="exact"/>
        <w:ind w:firstLine="640"/>
        <w:outlineLvl w:val="1"/>
        <w:rPr>
          <w:rFonts w:eastAsia="仿宋_GB2312"/>
        </w:rPr>
      </w:pPr>
      <w:r>
        <w:rPr>
          <w:rFonts w:eastAsia="仿宋_GB2312"/>
        </w:rPr>
        <w:tab/>
      </w:r>
    </w:p>
    <w:p w14:paraId="7E68F4D2">
      <w:pPr>
        <w:pStyle w:val="28"/>
        <w:spacing w:line="560" w:lineRule="exact"/>
        <w:ind w:firstLine="640"/>
        <w:outlineLvl w:val="1"/>
        <w:rPr>
          <w:rFonts w:eastAsia="仿宋_GB2312"/>
        </w:rPr>
      </w:pPr>
    </w:p>
    <w:p w14:paraId="7DAB614C">
      <w:pPr>
        <w:pStyle w:val="28"/>
        <w:spacing w:line="560" w:lineRule="exact"/>
        <w:ind w:firstLine="640"/>
        <w:outlineLvl w:val="1"/>
        <w:rPr>
          <w:rFonts w:eastAsia="仿宋_GB2312"/>
        </w:rPr>
      </w:pPr>
    </w:p>
    <w:p w14:paraId="0803EB9E">
      <w:pPr>
        <w:pStyle w:val="28"/>
        <w:spacing w:line="560" w:lineRule="exact"/>
        <w:ind w:firstLine="640"/>
        <w:outlineLvl w:val="1"/>
        <w:rPr>
          <w:rFonts w:eastAsia="仿宋_GB2312"/>
        </w:rPr>
      </w:pPr>
      <w:r>
        <w:rPr>
          <w:rFonts w:eastAsia="仿宋_GB2312"/>
        </w:rPr>
        <w:drawing>
          <wp:anchor distT="0" distB="0" distL="114300" distR="114300" simplePos="0" relativeHeight="251664384" behindDoc="0" locked="0" layoutInCell="1" allowOverlap="1">
            <wp:simplePos x="0" y="0"/>
            <wp:positionH relativeFrom="column">
              <wp:posOffset>428625</wp:posOffset>
            </wp:positionH>
            <wp:positionV relativeFrom="paragraph">
              <wp:posOffset>-1962150</wp:posOffset>
            </wp:positionV>
            <wp:extent cx="4552950" cy="2247900"/>
            <wp:effectExtent l="19050" t="0" r="19050" b="0"/>
            <wp:wrapSquare wrapText="bothSides"/>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B8D33A3">
      <w:pPr>
        <w:spacing w:line="560" w:lineRule="exact"/>
        <w:rPr>
          <w:rFonts w:eastAsia="仿宋_GB2312"/>
        </w:rPr>
      </w:pPr>
      <w:r>
        <w:rPr>
          <w:rFonts w:eastAsia="仿宋_GB2312"/>
        </w:rPr>
        <w:t>（图1：收入、支出决算总计变动情况图）（柱状图）</w:t>
      </w:r>
    </w:p>
    <w:p w14:paraId="55899F22">
      <w:pPr>
        <w:pStyle w:val="6"/>
        <w:spacing w:before="0" w:after="0" w:line="560" w:lineRule="exact"/>
      </w:pPr>
      <w:bookmarkStart w:id="20" w:name="_Toc15396604"/>
      <w:bookmarkStart w:id="21" w:name="_Toc15377206"/>
      <w:r>
        <w:t>二、收入决算情况说明</w:t>
      </w:r>
      <w:bookmarkEnd w:id="20"/>
      <w:bookmarkEnd w:id="21"/>
    </w:p>
    <w:p w14:paraId="03792D60">
      <w:pPr>
        <w:spacing w:line="560" w:lineRule="exact"/>
        <w:rPr>
          <w:rFonts w:eastAsia="仿宋_GB2312"/>
          <w:b/>
          <w:bCs/>
        </w:rPr>
      </w:pPr>
      <w:r>
        <w:rPr>
          <w:rFonts w:eastAsia="仿宋_GB2312"/>
        </w:rPr>
        <w:t>202</w:t>
      </w:r>
      <w:r>
        <w:rPr>
          <w:rFonts w:hint="eastAsia" w:eastAsia="仿宋_GB2312"/>
        </w:rPr>
        <w:t>5</w:t>
      </w:r>
      <w:r>
        <w:rPr>
          <w:rFonts w:hAnsi="仿宋_GB2312" w:eastAsia="仿宋_GB2312"/>
        </w:rPr>
        <w:t>年度本年收入合计</w:t>
      </w:r>
      <w:r>
        <w:rPr>
          <w:rFonts w:hint="eastAsia" w:eastAsia="仿宋_GB2312"/>
        </w:rPr>
        <w:t>231.27</w:t>
      </w:r>
      <w:r>
        <w:rPr>
          <w:rFonts w:hAnsi="仿宋_GB2312" w:eastAsia="仿宋_GB2312"/>
        </w:rPr>
        <w:t>万元，其中：一般公共预算财政拨款收入</w:t>
      </w:r>
      <w:r>
        <w:rPr>
          <w:rFonts w:hint="eastAsia" w:eastAsia="仿宋_GB2312"/>
        </w:rPr>
        <w:t>231.27</w:t>
      </w:r>
      <w:r>
        <w:rPr>
          <w:rFonts w:hAnsi="仿宋_GB2312" w:eastAsia="仿宋_GB2312"/>
        </w:rPr>
        <w:t>万元，占</w:t>
      </w:r>
      <w:r>
        <w:rPr>
          <w:rFonts w:eastAsia="仿宋_GB2312"/>
        </w:rPr>
        <w:t>100%</w:t>
      </w:r>
      <w:r>
        <w:rPr>
          <w:rFonts w:eastAsia="仿宋_GB2312"/>
          <w:b/>
          <w:bCs/>
        </w:rPr>
        <w:t>。</w:t>
      </w:r>
    </w:p>
    <w:p w14:paraId="0025E70F">
      <w:pPr>
        <w:pStyle w:val="28"/>
        <w:spacing w:line="560" w:lineRule="exact"/>
        <w:ind w:firstLine="643"/>
        <w:outlineLvl w:val="1"/>
        <w:rPr>
          <w:rFonts w:eastAsia="仿宋_GB2312"/>
          <w:b/>
          <w:bCs/>
        </w:rPr>
      </w:pPr>
      <w:r>
        <w:rPr>
          <w:rFonts w:eastAsia="仿宋_GB2312"/>
          <w:b/>
          <w:bCs/>
        </w:rPr>
        <w:drawing>
          <wp:anchor distT="0" distB="0" distL="114300" distR="114300" simplePos="0" relativeHeight="251659264" behindDoc="0" locked="0" layoutInCell="1" allowOverlap="1">
            <wp:simplePos x="0" y="0"/>
            <wp:positionH relativeFrom="column">
              <wp:posOffset>428625</wp:posOffset>
            </wp:positionH>
            <wp:positionV relativeFrom="paragraph">
              <wp:posOffset>170180</wp:posOffset>
            </wp:positionV>
            <wp:extent cx="4362450" cy="1913255"/>
            <wp:effectExtent l="4445" t="4445" r="14605" b="635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51B04C9">
      <w:pPr>
        <w:pStyle w:val="28"/>
        <w:spacing w:line="560" w:lineRule="exact"/>
        <w:ind w:firstLine="643"/>
        <w:outlineLvl w:val="1"/>
        <w:rPr>
          <w:rFonts w:eastAsia="仿宋_GB2312"/>
          <w:b/>
          <w:bCs/>
        </w:rPr>
      </w:pPr>
    </w:p>
    <w:p w14:paraId="24160E5A">
      <w:pPr>
        <w:pStyle w:val="28"/>
        <w:spacing w:line="560" w:lineRule="exact"/>
        <w:ind w:firstLine="643"/>
        <w:outlineLvl w:val="1"/>
        <w:rPr>
          <w:rFonts w:eastAsia="仿宋_GB2312"/>
          <w:b/>
          <w:bCs/>
        </w:rPr>
      </w:pPr>
    </w:p>
    <w:p w14:paraId="7B7420E5">
      <w:pPr>
        <w:pStyle w:val="28"/>
        <w:spacing w:line="560" w:lineRule="exact"/>
        <w:ind w:firstLine="643"/>
        <w:outlineLvl w:val="1"/>
        <w:rPr>
          <w:rFonts w:eastAsia="仿宋_GB2312"/>
          <w:b/>
          <w:bCs/>
        </w:rPr>
      </w:pPr>
    </w:p>
    <w:p w14:paraId="0ACF1DBE">
      <w:pPr>
        <w:spacing w:line="560" w:lineRule="exact"/>
        <w:rPr>
          <w:rFonts w:eastAsia="仿宋_GB2312"/>
        </w:rPr>
      </w:pPr>
      <w:r>
        <w:rPr>
          <w:rFonts w:eastAsia="仿宋_GB2312"/>
        </w:rPr>
        <w:t>（图2：收入决算结构图）（饼状图）</w:t>
      </w:r>
    </w:p>
    <w:p w14:paraId="2803CFE7">
      <w:pPr>
        <w:pStyle w:val="6"/>
        <w:spacing w:before="0" w:after="0" w:line="560" w:lineRule="exact"/>
      </w:pPr>
      <w:bookmarkStart w:id="22" w:name="_Toc15396605"/>
      <w:bookmarkStart w:id="23" w:name="_Toc15377207"/>
      <w:r>
        <w:t>三、支出决算情况说明</w:t>
      </w:r>
      <w:bookmarkEnd w:id="22"/>
      <w:bookmarkEnd w:id="23"/>
    </w:p>
    <w:p w14:paraId="629FF6D5">
      <w:pPr>
        <w:spacing w:line="560" w:lineRule="exact"/>
        <w:rPr>
          <w:rFonts w:eastAsia="仿宋_GB2312"/>
          <w:b/>
          <w:bCs/>
        </w:rPr>
      </w:pPr>
      <w:r>
        <w:rPr>
          <w:rFonts w:eastAsia="仿宋_GB2312"/>
        </w:rPr>
        <w:t>202</w:t>
      </w:r>
      <w:r>
        <w:rPr>
          <w:rFonts w:hint="eastAsia" w:eastAsia="仿宋_GB2312"/>
        </w:rPr>
        <w:t>5</w:t>
      </w:r>
      <w:r>
        <w:rPr>
          <w:rFonts w:hAnsi="仿宋_GB2312" w:eastAsia="仿宋_GB2312"/>
        </w:rPr>
        <w:t>年度本年支出合计</w:t>
      </w:r>
      <w:r>
        <w:rPr>
          <w:rFonts w:hint="eastAsia" w:eastAsia="仿宋_GB2312"/>
        </w:rPr>
        <w:t>231.27</w:t>
      </w:r>
      <w:r>
        <w:rPr>
          <w:rFonts w:hAnsi="仿宋_GB2312" w:eastAsia="仿宋_GB2312"/>
        </w:rPr>
        <w:t>万元，其中：基本支出</w:t>
      </w:r>
      <w:r>
        <w:rPr>
          <w:rFonts w:eastAsia="仿宋_GB2312"/>
        </w:rPr>
        <w:t>20</w:t>
      </w:r>
      <w:r>
        <w:rPr>
          <w:rFonts w:hint="eastAsia" w:eastAsia="仿宋_GB2312"/>
        </w:rPr>
        <w:t>5.18</w:t>
      </w:r>
      <w:r>
        <w:rPr>
          <w:rFonts w:hAnsi="仿宋_GB2312" w:eastAsia="仿宋_GB2312"/>
        </w:rPr>
        <w:t>万元，占</w:t>
      </w:r>
      <w:r>
        <w:rPr>
          <w:rFonts w:eastAsia="仿宋_GB2312"/>
        </w:rPr>
        <w:t>88.</w:t>
      </w:r>
      <w:r>
        <w:rPr>
          <w:rFonts w:hint="eastAsia" w:eastAsia="仿宋_GB2312"/>
        </w:rPr>
        <w:t>7</w:t>
      </w:r>
      <w:r>
        <w:rPr>
          <w:rFonts w:eastAsia="仿宋_GB2312"/>
        </w:rPr>
        <w:t>%</w:t>
      </w:r>
      <w:r>
        <w:rPr>
          <w:rFonts w:hAnsi="仿宋_GB2312" w:eastAsia="仿宋_GB2312"/>
        </w:rPr>
        <w:t>；项目支出</w:t>
      </w:r>
      <w:r>
        <w:rPr>
          <w:rFonts w:hint="eastAsia" w:eastAsia="仿宋_GB2312"/>
        </w:rPr>
        <w:t>26.1</w:t>
      </w:r>
      <w:r>
        <w:rPr>
          <w:rFonts w:hAnsi="仿宋_GB2312" w:eastAsia="仿宋_GB2312"/>
        </w:rPr>
        <w:t>万元，占</w:t>
      </w:r>
      <w:r>
        <w:rPr>
          <w:rFonts w:eastAsia="仿宋_GB2312"/>
        </w:rPr>
        <w:t>11.</w:t>
      </w:r>
      <w:r>
        <w:rPr>
          <w:rFonts w:hint="eastAsia" w:eastAsia="仿宋_GB2312"/>
        </w:rPr>
        <w:t>3</w:t>
      </w:r>
      <w:r>
        <w:rPr>
          <w:rFonts w:eastAsia="仿宋_GB2312"/>
        </w:rPr>
        <w:t>%</w:t>
      </w:r>
      <w:r>
        <w:rPr>
          <w:rFonts w:hAnsi="仿宋_GB2312" w:eastAsia="仿宋_GB2312"/>
        </w:rPr>
        <w:t>。</w:t>
      </w:r>
    </w:p>
    <w:p w14:paraId="73AAD2A8">
      <w:pPr>
        <w:pStyle w:val="28"/>
        <w:spacing w:line="560" w:lineRule="exact"/>
        <w:ind w:firstLine="643"/>
        <w:outlineLvl w:val="1"/>
        <w:rPr>
          <w:rFonts w:eastAsia="仿宋_GB2312"/>
          <w:b/>
          <w:bCs/>
        </w:rPr>
      </w:pPr>
    </w:p>
    <w:p w14:paraId="2A121783">
      <w:pPr>
        <w:pStyle w:val="28"/>
        <w:spacing w:line="560" w:lineRule="exact"/>
        <w:ind w:firstLine="643"/>
        <w:outlineLvl w:val="1"/>
        <w:rPr>
          <w:rFonts w:eastAsia="仿宋_GB2312"/>
          <w:b/>
          <w:bCs/>
        </w:rPr>
      </w:pPr>
    </w:p>
    <w:p w14:paraId="0BFE9A85">
      <w:pPr>
        <w:pStyle w:val="28"/>
        <w:spacing w:line="560" w:lineRule="exact"/>
        <w:ind w:firstLine="640"/>
        <w:outlineLvl w:val="1"/>
        <w:rPr>
          <w:rFonts w:eastAsia="仿宋_GB2312"/>
        </w:rPr>
      </w:pPr>
    </w:p>
    <w:p w14:paraId="6B76DB7A">
      <w:pPr>
        <w:pStyle w:val="28"/>
        <w:spacing w:line="560" w:lineRule="exact"/>
        <w:ind w:firstLine="640"/>
        <w:outlineLvl w:val="1"/>
        <w:rPr>
          <w:rFonts w:eastAsia="仿宋_GB2312"/>
        </w:rPr>
      </w:pPr>
    </w:p>
    <w:p w14:paraId="2FEF82E9">
      <w:pPr>
        <w:pStyle w:val="28"/>
        <w:spacing w:line="560" w:lineRule="exact"/>
        <w:ind w:firstLine="640"/>
        <w:outlineLvl w:val="1"/>
        <w:rPr>
          <w:rFonts w:eastAsia="仿宋_GB2312"/>
        </w:rPr>
      </w:pPr>
    </w:p>
    <w:p w14:paraId="7A3C0FC1">
      <w:pPr>
        <w:pStyle w:val="28"/>
        <w:spacing w:line="560" w:lineRule="exact"/>
        <w:ind w:firstLine="640"/>
        <w:outlineLvl w:val="1"/>
        <w:rPr>
          <w:rFonts w:eastAsia="仿宋_GB2312"/>
        </w:rPr>
      </w:pPr>
      <w:r>
        <w:rPr>
          <w:rFonts w:eastAsia="仿宋_GB2312"/>
        </w:rPr>
        <w:drawing>
          <wp:anchor distT="0" distB="0" distL="114300" distR="114300" simplePos="0" relativeHeight="251660288" behindDoc="0" locked="0" layoutInCell="1" allowOverlap="1">
            <wp:simplePos x="0" y="0"/>
            <wp:positionH relativeFrom="column">
              <wp:posOffset>428625</wp:posOffset>
            </wp:positionH>
            <wp:positionV relativeFrom="paragraph">
              <wp:posOffset>-1666240</wp:posOffset>
            </wp:positionV>
            <wp:extent cx="3943350" cy="1971675"/>
            <wp:effectExtent l="19050" t="0" r="19050" b="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0BCD7118">
      <w:pPr>
        <w:spacing w:line="560" w:lineRule="exact"/>
        <w:rPr>
          <w:rFonts w:eastAsia="仿宋_GB2312"/>
        </w:rPr>
      </w:pPr>
      <w:r>
        <w:rPr>
          <w:rFonts w:eastAsia="仿宋_GB2312"/>
        </w:rPr>
        <w:t>（图3：支出决算结构图）（饼状图）</w:t>
      </w:r>
    </w:p>
    <w:p w14:paraId="37E0C0E7">
      <w:pPr>
        <w:pStyle w:val="6"/>
        <w:spacing w:before="0" w:after="0" w:line="560" w:lineRule="exact"/>
      </w:pPr>
      <w:bookmarkStart w:id="24" w:name="_Toc15377208"/>
      <w:bookmarkStart w:id="25" w:name="_Toc15396606"/>
      <w:r>
        <w:t>四、财政拨款收入支出决算总体情况说明</w:t>
      </w:r>
      <w:bookmarkEnd w:id="24"/>
      <w:bookmarkEnd w:id="25"/>
    </w:p>
    <w:p w14:paraId="6FB009C0">
      <w:pPr>
        <w:spacing w:line="560" w:lineRule="exact"/>
        <w:rPr>
          <w:rFonts w:eastAsia="仿宋_GB2312"/>
        </w:rPr>
      </w:pPr>
      <w:r>
        <w:rPr>
          <w:rFonts w:eastAsia="仿宋_GB2312"/>
        </w:rPr>
        <w:t>202</w:t>
      </w:r>
      <w:r>
        <w:rPr>
          <w:rFonts w:hint="eastAsia" w:eastAsia="仿宋_GB2312"/>
        </w:rPr>
        <w:t>5</w:t>
      </w:r>
      <w:r>
        <w:rPr>
          <w:rFonts w:eastAsia="仿宋_GB2312"/>
        </w:rPr>
        <w:t>年度财政拨款收入、支出总计均为</w:t>
      </w:r>
      <w:r>
        <w:rPr>
          <w:rFonts w:hint="eastAsia" w:eastAsia="仿宋_GB2312"/>
        </w:rPr>
        <w:t>231.27</w:t>
      </w:r>
      <w:r>
        <w:rPr>
          <w:rFonts w:eastAsia="仿宋_GB2312"/>
        </w:rPr>
        <w:t>万元。与202</w:t>
      </w:r>
      <w:r>
        <w:rPr>
          <w:rFonts w:hint="eastAsia" w:eastAsia="仿宋_GB2312"/>
        </w:rPr>
        <w:t>4</w:t>
      </w:r>
      <w:r>
        <w:rPr>
          <w:rFonts w:eastAsia="仿宋_GB2312"/>
        </w:rPr>
        <w:t>年度相比，财政拨款收入总计、支出总计各减少</w:t>
      </w:r>
      <w:r>
        <w:rPr>
          <w:rFonts w:hint="eastAsia" w:eastAsia="仿宋_GB2312"/>
        </w:rPr>
        <w:t>5.07</w:t>
      </w:r>
      <w:r>
        <w:rPr>
          <w:rFonts w:eastAsia="仿宋_GB2312"/>
        </w:rPr>
        <w:t>万元，下降</w:t>
      </w:r>
      <w:r>
        <w:rPr>
          <w:rFonts w:hint="eastAsia" w:eastAsia="仿宋_GB2312"/>
        </w:rPr>
        <w:t>2.1</w:t>
      </w:r>
      <w:r>
        <w:rPr>
          <w:rFonts w:eastAsia="仿宋_GB2312"/>
        </w:rPr>
        <w:t>%。主要变动原因是202</w:t>
      </w:r>
      <w:r>
        <w:rPr>
          <w:rFonts w:hint="eastAsia" w:eastAsia="仿宋_GB2312"/>
        </w:rPr>
        <w:t>5</w:t>
      </w:r>
      <w:r>
        <w:rPr>
          <w:rFonts w:eastAsia="仿宋_GB2312"/>
        </w:rPr>
        <w:t>年人员经费调整。</w:t>
      </w:r>
    </w:p>
    <w:p w14:paraId="579F7E8C">
      <w:pPr>
        <w:spacing w:line="560" w:lineRule="exact"/>
        <w:rPr>
          <w:rFonts w:eastAsia="仿宋_GB2312"/>
        </w:rPr>
      </w:pPr>
    </w:p>
    <w:p w14:paraId="378B42B9">
      <w:pPr>
        <w:spacing w:line="560" w:lineRule="exact"/>
        <w:rPr>
          <w:rFonts w:eastAsia="仿宋_GB2312"/>
        </w:rPr>
      </w:pPr>
    </w:p>
    <w:p w14:paraId="3D15E64B">
      <w:pPr>
        <w:pStyle w:val="2"/>
        <w:spacing w:line="560" w:lineRule="exact"/>
        <w:jc w:val="both"/>
        <w:rPr>
          <w:sz w:val="32"/>
          <w:szCs w:val="32"/>
        </w:rPr>
      </w:pPr>
    </w:p>
    <w:p w14:paraId="06071B99">
      <w:pPr>
        <w:pStyle w:val="3"/>
        <w:spacing w:after="0" w:line="560" w:lineRule="exact"/>
        <w:ind w:left="640" w:firstLine="640"/>
        <w:rPr>
          <w:rFonts w:ascii="Times New Roman"/>
        </w:rPr>
      </w:pPr>
    </w:p>
    <w:p w14:paraId="21C733AC">
      <w:pPr>
        <w:pStyle w:val="3"/>
        <w:spacing w:after="0" w:line="560" w:lineRule="exact"/>
        <w:ind w:left="640" w:firstLine="640"/>
        <w:rPr>
          <w:rFonts w:ascii="Times New Roman"/>
        </w:rPr>
      </w:pPr>
    </w:p>
    <w:p w14:paraId="24813337">
      <w:pPr>
        <w:spacing w:line="560" w:lineRule="exact"/>
        <w:rPr>
          <w:rFonts w:eastAsia="仿宋_GB2312"/>
        </w:rPr>
      </w:pPr>
    </w:p>
    <w:p w14:paraId="318413AC">
      <w:pPr>
        <w:spacing w:line="560" w:lineRule="exact"/>
        <w:rPr>
          <w:rFonts w:eastAsia="仿宋_GB2312"/>
        </w:rPr>
      </w:pPr>
      <w:r>
        <w:rPr>
          <w:rFonts w:eastAsia="仿宋_GB2312"/>
        </w:rPr>
        <w:drawing>
          <wp:anchor distT="0" distB="0" distL="114300" distR="114300" simplePos="0" relativeHeight="251665408" behindDoc="0" locked="0" layoutInCell="1" allowOverlap="1">
            <wp:simplePos x="0" y="0"/>
            <wp:positionH relativeFrom="column">
              <wp:posOffset>428625</wp:posOffset>
            </wp:positionH>
            <wp:positionV relativeFrom="paragraph">
              <wp:posOffset>-1901825</wp:posOffset>
            </wp:positionV>
            <wp:extent cx="4695825" cy="2190750"/>
            <wp:effectExtent l="19050" t="0" r="9525" b="0"/>
            <wp:wrapSquare wrapText="bothSides"/>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0DEE37C9">
      <w:pPr>
        <w:spacing w:line="560" w:lineRule="exact"/>
        <w:rPr>
          <w:rFonts w:eastAsia="仿宋_GB2312"/>
        </w:rPr>
      </w:pPr>
      <w:r>
        <w:rPr>
          <w:rFonts w:eastAsia="仿宋_GB2312"/>
        </w:rPr>
        <w:t>（图4：财政拨款收、支决算总计变动情况）（柱状图）</w:t>
      </w:r>
    </w:p>
    <w:p w14:paraId="34838440">
      <w:pPr>
        <w:pStyle w:val="6"/>
        <w:spacing w:before="0" w:after="0" w:line="560" w:lineRule="exact"/>
      </w:pPr>
      <w:bookmarkStart w:id="26" w:name="_Toc15396607"/>
      <w:bookmarkStart w:id="27" w:name="_Toc15377209"/>
      <w:r>
        <w:t>五、一般公共预算财政拨款支出决算情况说明</w:t>
      </w:r>
      <w:bookmarkEnd w:id="26"/>
      <w:bookmarkEnd w:id="27"/>
    </w:p>
    <w:p w14:paraId="0C656DBC">
      <w:pPr>
        <w:spacing w:line="560" w:lineRule="exact"/>
        <w:ind w:firstLine="643"/>
        <w:outlineLvl w:val="2"/>
        <w:rPr>
          <w:rFonts w:eastAsia="楷体_GB2312"/>
          <w:b/>
        </w:rPr>
      </w:pPr>
      <w:bookmarkStart w:id="28" w:name="_Toc15377210"/>
      <w:r>
        <w:rPr>
          <w:rFonts w:eastAsia="楷体_GB2312"/>
          <w:b/>
        </w:rPr>
        <w:t>（一）一般公共预算财政拨款支出决算总体情况</w:t>
      </w:r>
      <w:bookmarkEnd w:id="28"/>
    </w:p>
    <w:p w14:paraId="710E7378">
      <w:pPr>
        <w:spacing w:line="560" w:lineRule="exact"/>
        <w:rPr>
          <w:rFonts w:eastAsia="仿宋_GB2312"/>
        </w:rPr>
      </w:pPr>
      <w:r>
        <w:rPr>
          <w:rFonts w:eastAsia="仿宋_GB2312"/>
        </w:rPr>
        <w:t>202</w:t>
      </w:r>
      <w:r>
        <w:rPr>
          <w:rFonts w:hint="eastAsia" w:eastAsia="仿宋_GB2312"/>
        </w:rPr>
        <w:t>5</w:t>
      </w:r>
      <w:r>
        <w:rPr>
          <w:rFonts w:hAnsi="仿宋_GB2312" w:eastAsia="仿宋_GB2312"/>
        </w:rPr>
        <w:t>年度一般公共预算财政拨款支出</w:t>
      </w:r>
      <w:r>
        <w:rPr>
          <w:rFonts w:hint="eastAsia" w:eastAsia="仿宋_GB2312"/>
        </w:rPr>
        <w:t>231.27</w:t>
      </w:r>
      <w:r>
        <w:rPr>
          <w:rFonts w:hAnsi="仿宋_GB2312" w:eastAsia="仿宋_GB2312"/>
        </w:rPr>
        <w:t>万元，占本年支出合计的</w:t>
      </w:r>
      <w:r>
        <w:rPr>
          <w:rFonts w:eastAsia="仿宋_GB2312"/>
        </w:rPr>
        <w:t>100%</w:t>
      </w:r>
      <w:r>
        <w:rPr>
          <w:rFonts w:hAnsi="仿宋_GB2312" w:eastAsia="仿宋_GB2312"/>
        </w:rPr>
        <w:t>。与</w:t>
      </w:r>
      <w:r>
        <w:rPr>
          <w:rFonts w:eastAsia="仿宋_GB2312"/>
        </w:rPr>
        <w:t>202</w:t>
      </w:r>
      <w:r>
        <w:rPr>
          <w:rFonts w:hint="eastAsia" w:eastAsia="仿宋_GB2312"/>
        </w:rPr>
        <w:t>4</w:t>
      </w:r>
      <w:r>
        <w:rPr>
          <w:rFonts w:hAnsi="仿宋_GB2312" w:eastAsia="仿宋_GB2312"/>
        </w:rPr>
        <w:t>年度相比，一般公共预算财政拨款支出减少</w:t>
      </w:r>
      <w:r>
        <w:rPr>
          <w:rFonts w:hint="eastAsia" w:eastAsia="仿宋_GB2312"/>
        </w:rPr>
        <w:t>4.39</w:t>
      </w:r>
      <w:r>
        <w:rPr>
          <w:rFonts w:hAnsi="仿宋_GB2312" w:eastAsia="仿宋_GB2312"/>
        </w:rPr>
        <w:t>万元，下降</w:t>
      </w:r>
      <w:r>
        <w:rPr>
          <w:rFonts w:hint="eastAsia" w:eastAsia="仿宋_GB2312"/>
        </w:rPr>
        <w:t>1.9</w:t>
      </w:r>
      <w:r>
        <w:rPr>
          <w:rFonts w:eastAsia="仿宋_GB2312"/>
        </w:rPr>
        <w:t>%</w:t>
      </w:r>
      <w:r>
        <w:rPr>
          <w:rFonts w:hAnsi="仿宋_GB2312" w:eastAsia="仿宋_GB2312"/>
        </w:rPr>
        <w:t>。主要变动原因是</w:t>
      </w:r>
      <w:r>
        <w:rPr>
          <w:rFonts w:eastAsia="仿宋_GB2312"/>
        </w:rPr>
        <w:t>202</w:t>
      </w:r>
      <w:r>
        <w:rPr>
          <w:rFonts w:hint="eastAsia" w:eastAsia="仿宋_GB2312"/>
        </w:rPr>
        <w:t>5</w:t>
      </w:r>
      <w:r>
        <w:rPr>
          <w:rFonts w:eastAsia="仿宋_GB2312"/>
        </w:rPr>
        <w:t>年人员经费调整。</w:t>
      </w:r>
    </w:p>
    <w:p w14:paraId="53320B26">
      <w:pPr>
        <w:spacing w:line="560" w:lineRule="exact"/>
        <w:rPr>
          <w:rFonts w:eastAsia="仿宋_GB2312"/>
        </w:rPr>
      </w:pPr>
      <w:r>
        <w:rPr>
          <w:rFonts w:eastAsia="仿宋_GB2312"/>
        </w:rPr>
        <w:drawing>
          <wp:anchor distT="0" distB="0" distL="114300" distR="114300" simplePos="0" relativeHeight="251661312" behindDoc="0" locked="0" layoutInCell="1" allowOverlap="1">
            <wp:simplePos x="0" y="0"/>
            <wp:positionH relativeFrom="column">
              <wp:posOffset>438150</wp:posOffset>
            </wp:positionH>
            <wp:positionV relativeFrom="paragraph">
              <wp:posOffset>121285</wp:posOffset>
            </wp:positionV>
            <wp:extent cx="4572000" cy="1905635"/>
            <wp:effectExtent l="5080" t="4445" r="13970" b="13970"/>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0FE40AF6">
      <w:pPr>
        <w:spacing w:line="560" w:lineRule="exact"/>
        <w:rPr>
          <w:rFonts w:eastAsia="仿宋_GB2312"/>
        </w:rPr>
      </w:pPr>
    </w:p>
    <w:p w14:paraId="34778D01">
      <w:pPr>
        <w:spacing w:line="560" w:lineRule="exact"/>
        <w:rPr>
          <w:rFonts w:eastAsia="仿宋_GB2312"/>
        </w:rPr>
      </w:pPr>
    </w:p>
    <w:p w14:paraId="0AE0DC0E">
      <w:pPr>
        <w:spacing w:line="560" w:lineRule="exact"/>
        <w:rPr>
          <w:rFonts w:eastAsia="仿宋_GB2312"/>
        </w:rPr>
      </w:pPr>
    </w:p>
    <w:p w14:paraId="5C96E650">
      <w:pPr>
        <w:spacing w:line="560" w:lineRule="exact"/>
        <w:rPr>
          <w:rFonts w:eastAsia="仿宋_GB2312"/>
        </w:rPr>
      </w:pPr>
    </w:p>
    <w:p w14:paraId="311B8ADB">
      <w:pPr>
        <w:spacing w:line="560" w:lineRule="exact"/>
        <w:rPr>
          <w:rFonts w:eastAsia="仿宋_GB2312"/>
        </w:rPr>
      </w:pPr>
    </w:p>
    <w:p w14:paraId="0E80C85A">
      <w:pPr>
        <w:spacing w:line="560" w:lineRule="exact"/>
        <w:rPr>
          <w:rFonts w:eastAsia="仿宋_GB2312"/>
        </w:rPr>
      </w:pPr>
      <w:r>
        <w:rPr>
          <w:rFonts w:eastAsia="仿宋_GB2312"/>
        </w:rPr>
        <w:t>（图5：一般公共预算财政拨款支出决算变动情况）（柱状图）</w:t>
      </w:r>
    </w:p>
    <w:p w14:paraId="0074A9D0">
      <w:pPr>
        <w:spacing w:line="560" w:lineRule="exact"/>
        <w:ind w:firstLine="643"/>
        <w:outlineLvl w:val="2"/>
        <w:rPr>
          <w:rFonts w:eastAsia="楷体_GB2312"/>
          <w:b/>
        </w:rPr>
      </w:pPr>
      <w:bookmarkStart w:id="29" w:name="_Toc15377211"/>
      <w:r>
        <w:rPr>
          <w:rFonts w:eastAsia="楷体_GB2312"/>
          <w:b/>
        </w:rPr>
        <w:t>（二）一般公共预算财政拨款支出决算结构情况</w:t>
      </w:r>
      <w:bookmarkEnd w:id="29"/>
    </w:p>
    <w:p w14:paraId="54E555ED">
      <w:pPr>
        <w:spacing w:line="560" w:lineRule="exact"/>
        <w:rPr>
          <w:rFonts w:eastAsia="仿宋_GB2312"/>
        </w:rPr>
      </w:pPr>
      <w:r>
        <w:rPr>
          <w:rFonts w:eastAsia="仿宋_GB2312"/>
        </w:rPr>
        <w:t>202</w:t>
      </w:r>
      <w:r>
        <w:rPr>
          <w:rFonts w:hint="eastAsia" w:eastAsia="仿宋_GB2312"/>
        </w:rPr>
        <w:t>5</w:t>
      </w:r>
      <w:r>
        <w:rPr>
          <w:rFonts w:eastAsia="仿宋_GB2312"/>
        </w:rPr>
        <w:t>年度一般公共预算财政拨款支出23</w:t>
      </w:r>
      <w:r>
        <w:rPr>
          <w:rFonts w:hint="eastAsia" w:eastAsia="仿宋_GB2312"/>
        </w:rPr>
        <w:t>1.27</w:t>
      </w:r>
      <w:r>
        <w:rPr>
          <w:rFonts w:hAnsi="仿宋_GB2312" w:eastAsia="仿宋_GB2312"/>
        </w:rPr>
        <w:t>万元</w:t>
      </w:r>
      <w:r>
        <w:rPr>
          <w:rFonts w:eastAsia="仿宋_GB2312"/>
        </w:rPr>
        <w:t>，主要用于以下方面：科学技术支出</w:t>
      </w:r>
      <w:r>
        <w:rPr>
          <w:rFonts w:hint="eastAsia" w:eastAsia="仿宋_GB2312"/>
        </w:rPr>
        <w:t>144.61</w:t>
      </w:r>
      <w:r>
        <w:rPr>
          <w:rFonts w:eastAsia="仿宋_GB2312"/>
        </w:rPr>
        <w:t>万元，占6</w:t>
      </w:r>
      <w:r>
        <w:rPr>
          <w:rFonts w:hint="eastAsia" w:eastAsia="仿宋_GB2312"/>
        </w:rPr>
        <w:t>2.5</w:t>
      </w:r>
      <w:r>
        <w:rPr>
          <w:rFonts w:eastAsia="仿宋_GB2312"/>
        </w:rPr>
        <w:t>%；社会保障和就业支出</w:t>
      </w:r>
      <w:r>
        <w:rPr>
          <w:rFonts w:hint="eastAsia" w:eastAsia="仿宋_GB2312"/>
        </w:rPr>
        <w:t>65.19</w:t>
      </w:r>
      <w:r>
        <w:rPr>
          <w:rFonts w:eastAsia="仿宋_GB2312"/>
        </w:rPr>
        <w:t>万元，占</w:t>
      </w:r>
      <w:r>
        <w:rPr>
          <w:rFonts w:hint="eastAsia" w:eastAsia="仿宋_GB2312"/>
        </w:rPr>
        <w:t>28.2</w:t>
      </w:r>
      <w:r>
        <w:rPr>
          <w:rFonts w:eastAsia="仿宋_GB2312"/>
        </w:rPr>
        <w:t>%；卫生健康支出</w:t>
      </w:r>
      <w:r>
        <w:rPr>
          <w:rFonts w:hint="eastAsia" w:eastAsia="仿宋_GB2312"/>
        </w:rPr>
        <w:t>9.71</w:t>
      </w:r>
      <w:r>
        <w:rPr>
          <w:rFonts w:eastAsia="仿宋_GB2312"/>
        </w:rPr>
        <w:t>万元，占</w:t>
      </w:r>
      <w:r>
        <w:rPr>
          <w:rFonts w:hint="eastAsia" w:eastAsia="仿宋_GB2312"/>
        </w:rPr>
        <w:t>4.2</w:t>
      </w:r>
      <w:r>
        <w:rPr>
          <w:rFonts w:eastAsia="仿宋_GB2312"/>
        </w:rPr>
        <w:t>%；住房保障支出</w:t>
      </w:r>
      <w:r>
        <w:rPr>
          <w:rFonts w:hint="eastAsia" w:eastAsia="仿宋_GB2312"/>
        </w:rPr>
        <w:t>11.76</w:t>
      </w:r>
      <w:r>
        <w:rPr>
          <w:rFonts w:eastAsia="仿宋_GB2312"/>
        </w:rPr>
        <w:t>万元，占5. 1%。</w:t>
      </w:r>
    </w:p>
    <w:p w14:paraId="1DF803D2">
      <w:pPr>
        <w:spacing w:line="560" w:lineRule="exact"/>
        <w:rPr>
          <w:rFonts w:eastAsia="仿宋_GB2312"/>
        </w:rPr>
      </w:pPr>
      <w:r>
        <w:rPr>
          <w:rFonts w:eastAsia="仿宋_GB2312"/>
        </w:rPr>
        <w:drawing>
          <wp:anchor distT="0" distB="0" distL="114300" distR="114300" simplePos="0" relativeHeight="251662336" behindDoc="0" locked="0" layoutInCell="1" allowOverlap="1">
            <wp:simplePos x="0" y="0"/>
            <wp:positionH relativeFrom="column">
              <wp:posOffset>752475</wp:posOffset>
            </wp:positionH>
            <wp:positionV relativeFrom="paragraph">
              <wp:posOffset>86360</wp:posOffset>
            </wp:positionV>
            <wp:extent cx="3943350" cy="2133600"/>
            <wp:effectExtent l="19050" t="0" r="19050" b="0"/>
            <wp:wrapSquare wrapText="bothSides"/>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14:paraId="382D1644">
      <w:pPr>
        <w:spacing w:line="560" w:lineRule="exact"/>
        <w:rPr>
          <w:rFonts w:eastAsia="仿宋_GB2312"/>
        </w:rPr>
      </w:pPr>
    </w:p>
    <w:p w14:paraId="24BDDB92">
      <w:pPr>
        <w:spacing w:line="560" w:lineRule="exact"/>
        <w:rPr>
          <w:rFonts w:eastAsia="仿宋_GB2312"/>
        </w:rPr>
      </w:pPr>
    </w:p>
    <w:p w14:paraId="44F448E1">
      <w:pPr>
        <w:spacing w:line="560" w:lineRule="exact"/>
        <w:rPr>
          <w:rFonts w:eastAsia="仿宋_GB2312"/>
        </w:rPr>
      </w:pPr>
    </w:p>
    <w:p w14:paraId="2683081C">
      <w:pPr>
        <w:spacing w:line="560" w:lineRule="exact"/>
        <w:rPr>
          <w:rFonts w:eastAsia="仿宋_GB2312"/>
        </w:rPr>
      </w:pPr>
    </w:p>
    <w:p w14:paraId="61623E2B">
      <w:pPr>
        <w:spacing w:line="560" w:lineRule="exact"/>
        <w:rPr>
          <w:rFonts w:eastAsia="仿宋_GB2312"/>
        </w:rPr>
      </w:pPr>
      <w:r>
        <w:rPr>
          <w:rFonts w:eastAsia="仿宋_GB2312"/>
        </w:rPr>
        <w:t>（图6：一般公共预算财政拨款支出决算结构）（饼状图）</w:t>
      </w:r>
    </w:p>
    <w:p w14:paraId="08AD5F11">
      <w:pPr>
        <w:spacing w:line="560" w:lineRule="exact"/>
        <w:ind w:firstLine="643"/>
        <w:outlineLvl w:val="2"/>
        <w:rPr>
          <w:rFonts w:eastAsia="楷体_GB2312"/>
          <w:b/>
        </w:rPr>
      </w:pPr>
      <w:bookmarkStart w:id="30" w:name="_Toc15377212"/>
      <w:r>
        <w:rPr>
          <w:rFonts w:eastAsia="楷体_GB2312"/>
          <w:b/>
        </w:rPr>
        <w:t>（三）一般公共预算财政拨款支出决算具体情况</w:t>
      </w:r>
      <w:bookmarkEnd w:id="30"/>
    </w:p>
    <w:p w14:paraId="64ADD173">
      <w:pPr>
        <w:spacing w:line="560" w:lineRule="exact"/>
      </w:pPr>
      <w:bookmarkStart w:id="31" w:name="_Toc15378460"/>
      <w:bookmarkStart w:id="32" w:name="_Toc15377444"/>
      <w:bookmarkStart w:id="33" w:name="_Toc15377213"/>
      <w:r>
        <w:t>202</w:t>
      </w:r>
      <w:r>
        <w:rPr>
          <w:rFonts w:hint="eastAsia"/>
        </w:rPr>
        <w:t>5</w:t>
      </w:r>
      <w:r>
        <w:t>年度一般公共预算财政拨款支出决算数为23</w:t>
      </w:r>
      <w:r>
        <w:rPr>
          <w:rFonts w:hint="eastAsia"/>
        </w:rPr>
        <w:t>1.27万元，</w:t>
      </w:r>
      <w:r>
        <w:t>完成预算100%。其中：</w:t>
      </w:r>
      <w:bookmarkEnd w:id="31"/>
      <w:bookmarkEnd w:id="32"/>
      <w:bookmarkEnd w:id="33"/>
    </w:p>
    <w:p w14:paraId="40A95D52">
      <w:pPr>
        <w:spacing w:line="560" w:lineRule="exact"/>
      </w:pPr>
      <w:r>
        <w:t>1.科学技术（类）科技条件与服务（款）机构运行（项）: 支出决算为11</w:t>
      </w:r>
      <w:r>
        <w:rPr>
          <w:rFonts w:hint="eastAsia"/>
        </w:rPr>
        <w:t>8.51</w:t>
      </w:r>
      <w:r>
        <w:t>万元，完成预算100%，决算数与预算数持平；技术研究与开发（款）科技成果转化与扩散（项）:支出决算为2</w:t>
      </w:r>
      <w:r>
        <w:rPr>
          <w:rFonts w:hint="eastAsia"/>
        </w:rPr>
        <w:t>6.1</w:t>
      </w:r>
      <w:r>
        <w:t>万元，完成预算100%，决算数与预算数持平。</w:t>
      </w:r>
    </w:p>
    <w:p w14:paraId="763D30F4">
      <w:pPr>
        <w:spacing w:line="560" w:lineRule="exact"/>
      </w:pPr>
      <w:r>
        <w:rPr>
          <w:rFonts w:hint="eastAsia"/>
        </w:rPr>
        <w:t>2</w:t>
      </w:r>
      <w:r>
        <w:t>.社会保障和就业（类）行政事业单位养老支出（款）事业单位离退休（项）：支出决算为</w:t>
      </w:r>
      <w:r>
        <w:rPr>
          <w:rFonts w:hint="eastAsia"/>
        </w:rPr>
        <w:t>38.08</w:t>
      </w:r>
      <w:r>
        <w:t>万元，完成预算100%，决算数与预算数持平；行政事业单位养老支出（款）机关事业单位基本养老保险缴费支出（项）：支出决算为1</w:t>
      </w:r>
      <w:r>
        <w:rPr>
          <w:rFonts w:hint="eastAsia"/>
        </w:rPr>
        <w:t>6.16</w:t>
      </w:r>
      <w:r>
        <w:t>万元，完成预算100%，决算数与预算数持平；</w:t>
      </w:r>
      <w:r>
        <w:rPr>
          <w:rFonts w:hint="eastAsia"/>
        </w:rPr>
        <w:t>抚恤</w:t>
      </w:r>
      <w:r>
        <w:t>（款）</w:t>
      </w:r>
      <w:r>
        <w:rPr>
          <w:rFonts w:hint="eastAsia"/>
        </w:rPr>
        <w:t>死亡抚恤</w:t>
      </w:r>
      <w:r>
        <w:t>（项）：支出决算为</w:t>
      </w:r>
      <w:r>
        <w:rPr>
          <w:rFonts w:hint="eastAsia"/>
        </w:rPr>
        <w:t>6.96</w:t>
      </w:r>
      <w:r>
        <w:t>万元，完成预算100%，决算数与预算数持平</w:t>
      </w:r>
      <w:r>
        <w:rPr>
          <w:rFonts w:hint="eastAsia"/>
        </w:rPr>
        <w:t>人力资源和社会保障管理事务</w:t>
      </w:r>
      <w:r>
        <w:t>（款）</w:t>
      </w:r>
      <w:r>
        <w:rPr>
          <w:rFonts w:hint="eastAsia"/>
        </w:rPr>
        <w:t>其他人力资源和社会保障管理事务支出</w:t>
      </w:r>
      <w:r>
        <w:t>（项）：支出决算为</w:t>
      </w:r>
      <w:r>
        <w:rPr>
          <w:rFonts w:hint="eastAsia"/>
        </w:rPr>
        <w:t>4</w:t>
      </w:r>
      <w:r>
        <w:t>万元，完成预算100%，决算数与预算数持平。</w:t>
      </w:r>
    </w:p>
    <w:p w14:paraId="565F66E3">
      <w:pPr>
        <w:spacing w:line="560" w:lineRule="exact"/>
      </w:pPr>
      <w:r>
        <w:rPr>
          <w:rFonts w:hint="eastAsia"/>
        </w:rPr>
        <w:t>3</w:t>
      </w:r>
      <w:r>
        <w:t>.卫生健康支出（类）行政事业单位医疗（款）事业单位医疗（项）：支出决算为</w:t>
      </w:r>
      <w:r>
        <w:rPr>
          <w:rFonts w:hint="eastAsia"/>
        </w:rPr>
        <w:t>7.78</w:t>
      </w:r>
      <w:r>
        <w:t>万元，完成预算100%，决算数与预算数持平；行政事业单位医疗（款）公务员医疗补助（项）：支出决算为</w:t>
      </w:r>
      <w:r>
        <w:rPr>
          <w:rFonts w:hint="eastAsia"/>
        </w:rPr>
        <w:t>0.94</w:t>
      </w:r>
      <w:r>
        <w:t>万元，完成预算100%，决算数与预算数持平；行政事业单位医疗（款）其他行政事业单位医疗支出（项）：支出决算为</w:t>
      </w:r>
      <w:r>
        <w:rPr>
          <w:rFonts w:hint="eastAsia"/>
        </w:rPr>
        <w:t>0.99</w:t>
      </w:r>
      <w:r>
        <w:t>万元，完成预算100%，决算数与预算数持平。</w:t>
      </w:r>
    </w:p>
    <w:p w14:paraId="76B6CF32">
      <w:pPr>
        <w:spacing w:line="560" w:lineRule="exact"/>
      </w:pPr>
      <w:r>
        <w:rPr>
          <w:rFonts w:hint="eastAsia"/>
        </w:rPr>
        <w:t>4</w:t>
      </w:r>
      <w:r>
        <w:t>.住房保障支出（类）住房改革支出（款）住房公积金（项）:支出决算为</w:t>
      </w:r>
      <w:r>
        <w:rPr>
          <w:rFonts w:hint="eastAsia"/>
        </w:rPr>
        <w:t>11.76</w:t>
      </w:r>
      <w:r>
        <w:t>万元，完成预算100%，决算数与预算数持平。</w:t>
      </w:r>
    </w:p>
    <w:p w14:paraId="4A95D936">
      <w:pPr>
        <w:pStyle w:val="6"/>
        <w:spacing w:before="0" w:after="0" w:line="560" w:lineRule="exact"/>
      </w:pPr>
      <w:bookmarkStart w:id="34" w:name="_Toc15396608"/>
      <w:bookmarkStart w:id="35" w:name="_Toc15377214"/>
      <w:r>
        <w:t>六、一般公共预算财政拨款基本支出决算情况说明</w:t>
      </w:r>
      <w:bookmarkEnd w:id="34"/>
      <w:bookmarkEnd w:id="35"/>
    </w:p>
    <w:p w14:paraId="4A256FC4">
      <w:pPr>
        <w:spacing w:line="560" w:lineRule="exact"/>
      </w:pPr>
      <w:r>
        <w:t>202</w:t>
      </w:r>
      <w:r>
        <w:rPr>
          <w:rFonts w:hint="eastAsia"/>
        </w:rPr>
        <w:t>5</w:t>
      </w:r>
      <w:r>
        <w:t>年度一般公共预算财政拨款基本支出</w:t>
      </w:r>
      <w:r>
        <w:rPr>
          <w:rFonts w:hint="eastAsia"/>
        </w:rPr>
        <w:t>205.18</w:t>
      </w:r>
      <w:r>
        <w:t>万元，其中：</w:t>
      </w:r>
    </w:p>
    <w:p w14:paraId="01E68974">
      <w:pPr>
        <w:spacing w:line="560" w:lineRule="exact"/>
      </w:pPr>
      <w:r>
        <w:t>人员经费</w:t>
      </w:r>
      <w:r>
        <w:rPr>
          <w:rFonts w:hint="eastAsia"/>
        </w:rPr>
        <w:t>197.91</w:t>
      </w:r>
      <w:r>
        <w:t>万元，主要包括：基本工资、津贴补贴、绩效工资、机关事业单位基本养老保险缴费、</w:t>
      </w:r>
      <w:r>
        <w:rPr>
          <w:rFonts w:hint="eastAsia"/>
        </w:rPr>
        <w:t>抚恤金</w:t>
      </w:r>
      <w:r>
        <w:t>、职工基本医疗保险缴费、公务员医疗补助缴费、其他社会保障缴费、生活补助、医疗费补助、</w:t>
      </w:r>
      <w:r>
        <w:rPr>
          <w:rFonts w:hint="eastAsia"/>
        </w:rPr>
        <w:t>其他个人和家庭的补助支出</w:t>
      </w:r>
      <w:r>
        <w:t>、住房公积金。</w:t>
      </w:r>
      <w:r>
        <w:br w:type="textWrapping"/>
      </w:r>
      <w:r>
        <w:t>　　公用经费</w:t>
      </w:r>
      <w:r>
        <w:rPr>
          <w:rFonts w:hint="eastAsia"/>
        </w:rPr>
        <w:t>7.26</w:t>
      </w:r>
      <w:r>
        <w:t>万元，主要包括：办公费、电费、邮电费、物业管理费、差旅费、工会经费、福利费、公务用车运行维护费、</w:t>
      </w:r>
      <w:r>
        <w:rPr>
          <w:rFonts w:hint="eastAsia"/>
        </w:rPr>
        <w:t>其他交通费用、</w:t>
      </w:r>
      <w:r>
        <w:t>其他商品和服务支出。</w:t>
      </w:r>
    </w:p>
    <w:p w14:paraId="58F82EA5">
      <w:pPr>
        <w:pStyle w:val="6"/>
        <w:spacing w:before="0" w:after="0" w:line="560" w:lineRule="exact"/>
      </w:pPr>
      <w:bookmarkStart w:id="36" w:name="_Toc15377215"/>
      <w:bookmarkStart w:id="37" w:name="_Toc15396609"/>
      <w:r>
        <w:t>七、财政拨款“三公”经费支出决算情况说明</w:t>
      </w:r>
      <w:bookmarkEnd w:id="36"/>
      <w:bookmarkEnd w:id="37"/>
    </w:p>
    <w:p w14:paraId="60C103EC">
      <w:pPr>
        <w:spacing w:line="560" w:lineRule="exact"/>
        <w:ind w:firstLine="643"/>
        <w:outlineLvl w:val="2"/>
        <w:rPr>
          <w:rFonts w:eastAsia="楷体_GB2312"/>
          <w:b/>
        </w:rPr>
      </w:pPr>
      <w:bookmarkStart w:id="38" w:name="_Toc15377216"/>
      <w:r>
        <w:rPr>
          <w:rFonts w:eastAsia="楷体_GB2312"/>
          <w:b/>
        </w:rPr>
        <w:t>（一）“三公”经费财政拨款支出决算总体情况说明</w:t>
      </w:r>
      <w:bookmarkEnd w:id="38"/>
    </w:p>
    <w:p w14:paraId="6FF4BC54">
      <w:pPr>
        <w:spacing w:line="560" w:lineRule="exact"/>
        <w:rPr>
          <w:rFonts w:eastAsia="仿宋_GB2312"/>
          <w:b/>
          <w:bCs/>
        </w:rPr>
      </w:pPr>
      <w:r>
        <w:rPr>
          <w:rFonts w:eastAsia="仿宋_GB2312"/>
        </w:rPr>
        <w:t>202</w:t>
      </w:r>
      <w:r>
        <w:rPr>
          <w:rFonts w:hint="eastAsia" w:eastAsia="仿宋_GB2312"/>
        </w:rPr>
        <w:t>5</w:t>
      </w:r>
      <w:r>
        <w:rPr>
          <w:rFonts w:eastAsia="仿宋_GB2312"/>
        </w:rPr>
        <w:t>年度“三公”经费财政拨款支出决算为</w:t>
      </w:r>
      <w:r>
        <w:rPr>
          <w:rFonts w:hint="eastAsia" w:eastAsia="仿宋_GB2312"/>
        </w:rPr>
        <w:t>0.67</w:t>
      </w:r>
      <w:r>
        <w:rPr>
          <w:rFonts w:hAnsi="仿宋_GB2312" w:eastAsia="仿宋_GB2312"/>
        </w:rPr>
        <w:t>万元，完成预算</w:t>
      </w:r>
      <w:r>
        <w:rPr>
          <w:rFonts w:eastAsia="仿宋_GB2312"/>
        </w:rPr>
        <w:t>100%</w:t>
      </w:r>
      <w:r>
        <w:rPr>
          <w:rFonts w:hAnsi="仿宋_GB2312" w:eastAsia="仿宋_GB2312"/>
        </w:rPr>
        <w:t>，</w:t>
      </w:r>
      <w:r>
        <w:rPr>
          <w:rFonts w:eastAsia="仿宋_GB2312"/>
        </w:rPr>
        <w:t>较上年度减少</w:t>
      </w:r>
      <w:r>
        <w:rPr>
          <w:rFonts w:hint="eastAsia" w:eastAsia="仿宋_GB2312"/>
        </w:rPr>
        <w:t>0.49</w:t>
      </w:r>
      <w:r>
        <w:rPr>
          <w:rFonts w:eastAsia="仿宋_GB2312"/>
        </w:rPr>
        <w:t>万元，下降</w:t>
      </w:r>
      <w:r>
        <w:rPr>
          <w:rFonts w:hint="eastAsia" w:eastAsia="仿宋_GB2312"/>
        </w:rPr>
        <w:t>42.2</w:t>
      </w:r>
      <w:r>
        <w:rPr>
          <w:rFonts w:eastAsia="仿宋_GB2312"/>
        </w:rPr>
        <w:t>%。决算数小于预算数的主要原因是</w:t>
      </w:r>
      <w:r>
        <w:rPr>
          <w:rFonts w:hAnsi="仿宋" w:eastAsia="仿宋"/>
        </w:rPr>
        <w:t>严控三公经费支出。</w:t>
      </w:r>
    </w:p>
    <w:p w14:paraId="00F9B97A">
      <w:pPr>
        <w:spacing w:line="560" w:lineRule="exact"/>
        <w:ind w:firstLine="643"/>
        <w:outlineLvl w:val="2"/>
        <w:rPr>
          <w:rFonts w:eastAsia="楷体_GB2312"/>
          <w:b/>
        </w:rPr>
      </w:pPr>
      <w:bookmarkStart w:id="39" w:name="_Toc15377217"/>
      <w:r>
        <w:rPr>
          <w:rFonts w:eastAsia="楷体_GB2312"/>
          <w:b/>
        </w:rPr>
        <w:t>（二）“三公”经费财政拨款支出决算具体情况说明</w:t>
      </w:r>
      <w:bookmarkEnd w:id="39"/>
    </w:p>
    <w:p w14:paraId="50E733E2">
      <w:pPr>
        <w:spacing w:line="560" w:lineRule="exact"/>
        <w:rPr>
          <w:rFonts w:eastAsia="仿宋_GB2312"/>
        </w:rPr>
      </w:pPr>
      <w:r>
        <w:rPr>
          <w:rFonts w:eastAsia="仿宋_GB2312"/>
        </w:rPr>
        <w:t>202</w:t>
      </w:r>
      <w:r>
        <w:rPr>
          <w:rFonts w:hint="eastAsia" w:eastAsia="仿宋_GB2312"/>
        </w:rPr>
        <w:t>5</w:t>
      </w:r>
      <w:r>
        <w:rPr>
          <w:rFonts w:hAnsi="仿宋_GB2312" w:eastAsia="仿宋_GB2312"/>
        </w:rPr>
        <w:t>年度</w:t>
      </w:r>
      <w:r>
        <w:rPr>
          <w:rFonts w:eastAsia="仿宋_GB2312"/>
        </w:rPr>
        <w:t>“</w:t>
      </w:r>
      <w:r>
        <w:rPr>
          <w:rFonts w:hAnsi="仿宋_GB2312" w:eastAsia="仿宋_GB2312"/>
        </w:rPr>
        <w:t>三公</w:t>
      </w:r>
      <w:r>
        <w:rPr>
          <w:rFonts w:eastAsia="仿宋_GB2312"/>
        </w:rPr>
        <w:t>”</w:t>
      </w:r>
      <w:r>
        <w:rPr>
          <w:rFonts w:hAnsi="仿宋_GB2312" w:eastAsia="仿宋_GB2312"/>
        </w:rPr>
        <w:t>经费财政拨款支出决算中，因公出国（境）费支出决算</w:t>
      </w:r>
      <w:r>
        <w:rPr>
          <w:rFonts w:eastAsia="仿宋_GB2312"/>
        </w:rPr>
        <w:t>0</w:t>
      </w:r>
      <w:r>
        <w:rPr>
          <w:rFonts w:hAnsi="仿宋_GB2312" w:eastAsia="仿宋_GB2312"/>
        </w:rPr>
        <w:t>万元，占</w:t>
      </w:r>
      <w:r>
        <w:rPr>
          <w:rFonts w:eastAsia="仿宋_GB2312"/>
        </w:rPr>
        <w:t>0%</w:t>
      </w:r>
      <w:r>
        <w:rPr>
          <w:rFonts w:hAnsi="仿宋_GB2312" w:eastAsia="仿宋_GB2312"/>
        </w:rPr>
        <w:t>；公务用车购置及运行维护费支出决算</w:t>
      </w:r>
      <w:r>
        <w:rPr>
          <w:rFonts w:hint="eastAsia" w:eastAsia="仿宋_GB2312"/>
        </w:rPr>
        <w:t>0.67</w:t>
      </w:r>
      <w:r>
        <w:rPr>
          <w:rFonts w:hAnsi="仿宋_GB2312" w:eastAsia="仿宋_GB2312"/>
        </w:rPr>
        <w:t>万元，占</w:t>
      </w:r>
      <w:r>
        <w:rPr>
          <w:rFonts w:hint="eastAsia" w:eastAsia="仿宋_GB2312"/>
        </w:rPr>
        <w:t>100</w:t>
      </w:r>
      <w:r>
        <w:rPr>
          <w:rFonts w:eastAsia="仿宋_GB2312"/>
        </w:rPr>
        <w:t>%</w:t>
      </w:r>
      <w:r>
        <w:rPr>
          <w:rFonts w:hAnsi="仿宋_GB2312" w:eastAsia="仿宋_GB2312"/>
        </w:rPr>
        <w:t>。具体情况如下：</w:t>
      </w:r>
    </w:p>
    <w:p w14:paraId="2F4B5A9B">
      <w:pPr>
        <w:pStyle w:val="3"/>
        <w:spacing w:after="0" w:line="560" w:lineRule="exact"/>
        <w:ind w:left="640" w:firstLine="640"/>
        <w:rPr>
          <w:rFonts w:ascii="Times New Roman"/>
        </w:rPr>
      </w:pPr>
      <w:r>
        <w:rPr>
          <w:rFonts w:ascii="Times New Roman"/>
        </w:rPr>
        <w:drawing>
          <wp:anchor distT="0" distB="0" distL="0" distR="0" simplePos="0" relativeHeight="251663360" behindDoc="0" locked="0" layoutInCell="1" allowOverlap="1">
            <wp:simplePos x="0" y="0"/>
            <wp:positionH relativeFrom="column">
              <wp:posOffset>810895</wp:posOffset>
            </wp:positionH>
            <wp:positionV relativeFrom="paragraph">
              <wp:posOffset>291465</wp:posOffset>
            </wp:positionV>
            <wp:extent cx="3609975" cy="1885315"/>
            <wp:effectExtent l="4445" t="4445" r="5080" b="15240"/>
            <wp:wrapSquare wrapText="bothSides"/>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14:paraId="0A1918CE">
      <w:pPr>
        <w:spacing w:line="560" w:lineRule="exact"/>
        <w:rPr>
          <w:rFonts w:eastAsia="仿宋_GB2312"/>
        </w:rPr>
      </w:pPr>
    </w:p>
    <w:p w14:paraId="3DDB3161">
      <w:pPr>
        <w:spacing w:line="560" w:lineRule="exact"/>
        <w:rPr>
          <w:rFonts w:eastAsia="仿宋_GB2312"/>
        </w:rPr>
      </w:pPr>
    </w:p>
    <w:p w14:paraId="0AD4A770">
      <w:pPr>
        <w:spacing w:line="560" w:lineRule="exact"/>
        <w:rPr>
          <w:rFonts w:eastAsia="仿宋_GB2312"/>
        </w:rPr>
      </w:pPr>
    </w:p>
    <w:p w14:paraId="407472A4">
      <w:pPr>
        <w:spacing w:line="560" w:lineRule="exact"/>
        <w:rPr>
          <w:rFonts w:eastAsia="仿宋_GB2312"/>
        </w:rPr>
      </w:pPr>
    </w:p>
    <w:p w14:paraId="6719DA53">
      <w:pPr>
        <w:spacing w:line="560" w:lineRule="exact"/>
        <w:rPr>
          <w:rFonts w:eastAsia="仿宋_GB2312"/>
        </w:rPr>
      </w:pPr>
    </w:p>
    <w:p w14:paraId="2200EC13">
      <w:pPr>
        <w:pStyle w:val="2"/>
        <w:ind w:firstLine="360"/>
      </w:pPr>
    </w:p>
    <w:p w14:paraId="7BD6B068">
      <w:pPr>
        <w:spacing w:line="560" w:lineRule="exact"/>
        <w:rPr>
          <w:rFonts w:eastAsia="仿宋_GB2312"/>
        </w:rPr>
      </w:pPr>
      <w:r>
        <w:rPr>
          <w:rFonts w:eastAsia="仿宋_GB2312"/>
        </w:rPr>
        <w:t>（图7：“三公”经费财政拨款支出结构）（饼状图）</w:t>
      </w:r>
    </w:p>
    <w:p w14:paraId="6636C3D1">
      <w:pPr>
        <w:spacing w:line="560" w:lineRule="exact"/>
        <w:ind w:firstLine="643"/>
        <w:rPr>
          <w:rFonts w:eastAsia="仿宋_GB2312"/>
        </w:rPr>
      </w:pPr>
      <w:r>
        <w:rPr>
          <w:rFonts w:eastAsia="仿宋_GB2312"/>
          <w:b/>
          <w:bCs/>
        </w:rPr>
        <w:t>1.因公出国（境）经费支出0万元，完成预算0%。</w:t>
      </w:r>
      <w:r>
        <w:rPr>
          <w:rFonts w:eastAsia="仿宋_GB2312"/>
        </w:rPr>
        <w:t>全年安排因公出国（境）团</w:t>
      </w:r>
      <w:r>
        <w:rPr>
          <w:rFonts w:hAnsi="仿宋_GB2312" w:eastAsia="仿宋_GB2312"/>
        </w:rPr>
        <w:t>组</w:t>
      </w:r>
      <w:r>
        <w:rPr>
          <w:rFonts w:eastAsia="仿宋_GB2312"/>
        </w:rPr>
        <w:t>0次，出国（境）0</w:t>
      </w:r>
      <w:r>
        <w:rPr>
          <w:rFonts w:hAnsi="仿宋_GB2312" w:eastAsia="仿宋_GB2312"/>
        </w:rPr>
        <w:t>人</w:t>
      </w:r>
      <w:r>
        <w:rPr>
          <w:rFonts w:eastAsia="仿宋_GB2312"/>
        </w:rPr>
        <w:t>。因公出国（境）支出决算与202</w:t>
      </w:r>
      <w:r>
        <w:rPr>
          <w:rFonts w:hint="eastAsia" w:eastAsia="仿宋_GB2312"/>
        </w:rPr>
        <w:t>4</w:t>
      </w:r>
      <w:r>
        <w:rPr>
          <w:rFonts w:eastAsia="仿宋_GB2312"/>
        </w:rPr>
        <w:t>年持平。</w:t>
      </w:r>
    </w:p>
    <w:p w14:paraId="2159FF75">
      <w:pPr>
        <w:spacing w:line="560" w:lineRule="exact"/>
        <w:ind w:firstLine="643"/>
        <w:rPr>
          <w:rFonts w:eastAsia="仿宋_GB2312"/>
        </w:rPr>
      </w:pPr>
      <w:r>
        <w:rPr>
          <w:rFonts w:eastAsia="仿宋_GB2312"/>
          <w:b/>
          <w:bCs/>
        </w:rPr>
        <w:t>2.公务用车购置及运行维护费支出</w:t>
      </w:r>
      <w:r>
        <w:rPr>
          <w:rFonts w:hint="eastAsia" w:eastAsia="仿宋_GB2312"/>
          <w:b/>
          <w:bCs/>
        </w:rPr>
        <w:t>0.67</w:t>
      </w:r>
      <w:r>
        <w:rPr>
          <w:rFonts w:hAnsi="仿宋_GB2312" w:eastAsia="仿宋_GB2312"/>
          <w:b/>
          <w:bCs/>
        </w:rPr>
        <w:t>万</w:t>
      </w:r>
      <w:r>
        <w:rPr>
          <w:rFonts w:eastAsia="仿宋_GB2312"/>
          <w:b/>
          <w:bCs/>
        </w:rPr>
        <w:t>元，完成预算100%。</w:t>
      </w:r>
      <w:r>
        <w:rPr>
          <w:rFonts w:eastAsia="仿宋_GB2312"/>
        </w:rPr>
        <w:t>公务用车购置及运行维护费支出决算比202</w:t>
      </w:r>
      <w:r>
        <w:rPr>
          <w:rFonts w:hint="eastAsia" w:eastAsia="仿宋_GB2312"/>
        </w:rPr>
        <w:t>4</w:t>
      </w:r>
      <w:r>
        <w:rPr>
          <w:rFonts w:eastAsia="仿宋_GB2312"/>
        </w:rPr>
        <w:t>年度减少</w:t>
      </w:r>
      <w:r>
        <w:rPr>
          <w:rFonts w:hint="eastAsia" w:eastAsia="仿宋_GB2312"/>
        </w:rPr>
        <w:t>0.37</w:t>
      </w:r>
      <w:r>
        <w:rPr>
          <w:rFonts w:eastAsia="仿宋_GB2312"/>
        </w:rPr>
        <w:t>万元，下降</w:t>
      </w:r>
      <w:r>
        <w:rPr>
          <w:rFonts w:hint="eastAsia" w:eastAsia="仿宋_GB2312"/>
        </w:rPr>
        <w:t>35.8</w:t>
      </w:r>
      <w:r>
        <w:rPr>
          <w:rFonts w:eastAsia="仿宋_GB2312"/>
        </w:rPr>
        <w:t>%。主要原因是</w:t>
      </w:r>
      <w:r>
        <w:rPr>
          <w:rFonts w:hAnsi="仿宋" w:eastAsia="仿宋"/>
        </w:rPr>
        <w:t>严控三公经费支出</w:t>
      </w:r>
      <w:r>
        <w:rPr>
          <w:rFonts w:eastAsia="仿宋_GB2312"/>
        </w:rPr>
        <w:t>。其中：公务用车购置支</w:t>
      </w:r>
      <w:r>
        <w:rPr>
          <w:rFonts w:hAnsi="仿宋_GB2312" w:eastAsia="仿宋_GB2312"/>
        </w:rPr>
        <w:t>出</w:t>
      </w:r>
      <w:r>
        <w:rPr>
          <w:rFonts w:eastAsia="仿宋_GB2312"/>
        </w:rPr>
        <w:t>0万元。全年按规定更新购置公务用车0辆，其中：轿车0辆、金额0万元，越野车0辆、金额0万元，载客汽车0辆、金额0万元。截至202</w:t>
      </w:r>
      <w:r>
        <w:rPr>
          <w:rFonts w:hint="eastAsia" w:eastAsia="仿宋_GB2312"/>
        </w:rPr>
        <w:t>5</w:t>
      </w:r>
      <w:r>
        <w:rPr>
          <w:rFonts w:eastAsia="仿宋_GB2312"/>
        </w:rPr>
        <w:t>年12月31日，单位共有公务用车1辆，其中：轿车1辆、越野车0辆、载客汽车0辆。</w:t>
      </w:r>
    </w:p>
    <w:p w14:paraId="5C32B189">
      <w:pPr>
        <w:spacing w:line="560" w:lineRule="exact"/>
        <w:rPr>
          <w:rFonts w:eastAsia="仿宋_GB2312"/>
        </w:rPr>
      </w:pPr>
      <w:r>
        <w:rPr>
          <w:rFonts w:eastAsia="仿宋_GB2312"/>
        </w:rPr>
        <w:t>公务用车运行维护费支</w:t>
      </w:r>
      <w:r>
        <w:rPr>
          <w:rFonts w:hAnsi="仿宋_GB2312" w:eastAsia="仿宋_GB2312"/>
        </w:rPr>
        <w:t>出</w:t>
      </w:r>
      <w:r>
        <w:rPr>
          <w:rFonts w:hint="eastAsia" w:eastAsia="仿宋_GB2312"/>
        </w:rPr>
        <w:t>0.67</w:t>
      </w:r>
      <w:r>
        <w:rPr>
          <w:rFonts w:eastAsia="仿宋_GB2312"/>
        </w:rPr>
        <w:t>万元。主要用于</w:t>
      </w:r>
      <w:r>
        <w:rPr>
          <w:rFonts w:eastAsia="仿宋_GB2312"/>
          <w:color w:val="000000"/>
        </w:rPr>
        <w:t>科技调研等所需的公务用车燃料费、维修费、过路过桥费、保险费等支出。</w:t>
      </w:r>
    </w:p>
    <w:p w14:paraId="2838B278">
      <w:pPr>
        <w:spacing w:line="560" w:lineRule="exact"/>
        <w:ind w:firstLine="643"/>
        <w:rPr>
          <w:rFonts w:eastAsia="仿宋_GB2312"/>
        </w:rPr>
      </w:pPr>
      <w:r>
        <w:rPr>
          <w:rFonts w:eastAsia="仿宋_GB2312"/>
          <w:b/>
          <w:bCs/>
        </w:rPr>
        <w:t>3.公务接待费支出</w:t>
      </w:r>
      <w:r>
        <w:rPr>
          <w:rFonts w:hint="eastAsia" w:eastAsia="仿宋_GB2312"/>
          <w:b/>
          <w:bCs/>
        </w:rPr>
        <w:t>0</w:t>
      </w:r>
      <w:r>
        <w:rPr>
          <w:rFonts w:hAnsi="仿宋_GB2312" w:eastAsia="仿宋_GB2312"/>
          <w:b/>
          <w:bCs/>
        </w:rPr>
        <w:t>万</w:t>
      </w:r>
      <w:r>
        <w:rPr>
          <w:rFonts w:eastAsia="仿宋_GB2312"/>
          <w:b/>
          <w:bCs/>
        </w:rPr>
        <w:t>元，完成预算100%。</w:t>
      </w:r>
      <w:r>
        <w:rPr>
          <w:rFonts w:eastAsia="仿宋_GB2312"/>
        </w:rPr>
        <w:t>公务接待费支出决算比202</w:t>
      </w:r>
      <w:r>
        <w:rPr>
          <w:rFonts w:hint="eastAsia" w:eastAsia="仿宋_GB2312"/>
        </w:rPr>
        <w:t>4</w:t>
      </w:r>
      <w:r>
        <w:rPr>
          <w:rFonts w:eastAsia="仿宋_GB2312"/>
        </w:rPr>
        <w:t>年度减少</w:t>
      </w:r>
      <w:r>
        <w:rPr>
          <w:rFonts w:hint="eastAsia" w:eastAsia="仿宋_GB2312"/>
        </w:rPr>
        <w:t>0.12</w:t>
      </w:r>
      <w:r>
        <w:rPr>
          <w:rFonts w:eastAsia="仿宋_GB2312"/>
        </w:rPr>
        <w:t>万元，下降</w:t>
      </w:r>
      <w:r>
        <w:rPr>
          <w:rFonts w:hint="eastAsia" w:eastAsia="仿宋_GB2312"/>
        </w:rPr>
        <w:t>100</w:t>
      </w:r>
      <w:r>
        <w:rPr>
          <w:rFonts w:eastAsia="仿宋_GB2312"/>
        </w:rPr>
        <w:t>%。主要原因是</w:t>
      </w:r>
      <w:r>
        <w:rPr>
          <w:rFonts w:hint="eastAsia" w:eastAsia="仿宋_GB2312"/>
        </w:rPr>
        <w:t>2025年无</w:t>
      </w:r>
      <w:r>
        <w:rPr>
          <w:rFonts w:eastAsia="仿宋_GB2312"/>
        </w:rPr>
        <w:t>接待。其中：</w:t>
      </w:r>
    </w:p>
    <w:p w14:paraId="7703C352">
      <w:pPr>
        <w:spacing w:line="560" w:lineRule="exact"/>
        <w:rPr>
          <w:rFonts w:eastAsia="仿宋_GB2312"/>
        </w:rPr>
      </w:pPr>
      <w:r>
        <w:rPr>
          <w:rFonts w:eastAsia="仿宋_GB2312"/>
        </w:rPr>
        <w:t>国内公务接待支</w:t>
      </w:r>
      <w:r>
        <w:rPr>
          <w:rFonts w:hAnsi="仿宋_GB2312" w:eastAsia="仿宋_GB2312"/>
        </w:rPr>
        <w:t>出</w:t>
      </w:r>
      <w:r>
        <w:rPr>
          <w:rFonts w:hint="eastAsia" w:eastAsia="仿宋_GB2312"/>
        </w:rPr>
        <w:t>0</w:t>
      </w:r>
      <w:r>
        <w:rPr>
          <w:rFonts w:hAnsi="仿宋_GB2312" w:eastAsia="仿宋_GB2312"/>
        </w:rPr>
        <w:t>万</w:t>
      </w:r>
      <w:r>
        <w:rPr>
          <w:rFonts w:eastAsia="仿宋_GB2312"/>
        </w:rPr>
        <w:t>元，国内公务接</w:t>
      </w:r>
      <w:r>
        <w:rPr>
          <w:rFonts w:hAnsi="仿宋_GB2312" w:eastAsia="仿宋_GB2312"/>
        </w:rPr>
        <w:t>待</w:t>
      </w:r>
      <w:r>
        <w:rPr>
          <w:rFonts w:hint="eastAsia" w:eastAsia="仿宋_GB2312"/>
        </w:rPr>
        <w:t>0</w:t>
      </w:r>
      <w:r>
        <w:rPr>
          <w:rFonts w:hAnsi="仿宋_GB2312" w:eastAsia="仿宋_GB2312"/>
        </w:rPr>
        <w:t>批次，</w:t>
      </w:r>
      <w:r>
        <w:rPr>
          <w:rFonts w:hint="eastAsia" w:eastAsia="仿宋_GB2312"/>
        </w:rPr>
        <w:t>0</w:t>
      </w:r>
      <w:r>
        <w:rPr>
          <w:rFonts w:eastAsia="仿宋_GB2312"/>
        </w:rPr>
        <w:t>人次（不包括陪同人员）。</w:t>
      </w:r>
    </w:p>
    <w:p w14:paraId="2600B7B5">
      <w:pPr>
        <w:spacing w:line="560" w:lineRule="exact"/>
        <w:rPr>
          <w:rFonts w:eastAsia="仿宋_GB2312"/>
        </w:rPr>
      </w:pPr>
      <w:r>
        <w:rPr>
          <w:rFonts w:eastAsia="仿宋_GB2312"/>
        </w:rPr>
        <w:t>外事接待支</w:t>
      </w:r>
      <w:r>
        <w:rPr>
          <w:rFonts w:hAnsi="仿宋_GB2312" w:eastAsia="仿宋_GB2312"/>
        </w:rPr>
        <w:t>出</w:t>
      </w:r>
      <w:r>
        <w:rPr>
          <w:rFonts w:eastAsia="仿宋_GB2312"/>
        </w:rPr>
        <w:t>0</w:t>
      </w:r>
      <w:r>
        <w:rPr>
          <w:rFonts w:hAnsi="仿宋_GB2312" w:eastAsia="仿宋_GB2312"/>
        </w:rPr>
        <w:t>万元。外事接待</w:t>
      </w:r>
      <w:r>
        <w:rPr>
          <w:rFonts w:eastAsia="仿宋_GB2312"/>
        </w:rPr>
        <w:t>0</w:t>
      </w:r>
      <w:r>
        <w:rPr>
          <w:rFonts w:hAnsi="仿宋_GB2312" w:eastAsia="仿宋_GB2312"/>
        </w:rPr>
        <w:t>批次，</w:t>
      </w:r>
      <w:r>
        <w:rPr>
          <w:rFonts w:eastAsia="仿宋_GB2312"/>
        </w:rPr>
        <w:t>0</w:t>
      </w:r>
      <w:r>
        <w:rPr>
          <w:rFonts w:hAnsi="仿宋_GB2312" w:eastAsia="仿宋_GB2312"/>
        </w:rPr>
        <w:t>人次（不包括陪同人员），共计支出</w:t>
      </w:r>
      <w:r>
        <w:rPr>
          <w:rFonts w:eastAsia="仿宋_GB2312"/>
        </w:rPr>
        <w:t>0</w:t>
      </w:r>
      <w:r>
        <w:rPr>
          <w:rFonts w:hAnsi="仿宋_GB2312" w:eastAsia="仿宋_GB2312"/>
        </w:rPr>
        <w:t>万</w:t>
      </w:r>
      <w:r>
        <w:rPr>
          <w:rFonts w:eastAsia="仿宋_GB2312"/>
        </w:rPr>
        <w:t>元。</w:t>
      </w:r>
      <w:bookmarkStart w:id="40" w:name="_Toc15396610"/>
      <w:bookmarkStart w:id="41" w:name="_Toc15377218"/>
    </w:p>
    <w:p w14:paraId="55782232">
      <w:pPr>
        <w:pStyle w:val="6"/>
        <w:spacing w:before="0" w:after="0" w:line="560" w:lineRule="exact"/>
      </w:pPr>
      <w:r>
        <w:t>八、政府性基金预算支出决算情况说明</w:t>
      </w:r>
      <w:bookmarkEnd w:id="40"/>
      <w:bookmarkEnd w:id="41"/>
    </w:p>
    <w:p w14:paraId="30B3D1A7">
      <w:pPr>
        <w:spacing w:line="560" w:lineRule="exact"/>
        <w:rPr>
          <w:rFonts w:eastAsia="仿宋_GB2312"/>
          <w:b/>
          <w:bCs/>
        </w:rPr>
      </w:pPr>
      <w:r>
        <w:rPr>
          <w:rFonts w:eastAsia="仿宋_GB2312"/>
        </w:rPr>
        <w:t>202</w:t>
      </w:r>
      <w:r>
        <w:rPr>
          <w:rFonts w:hint="eastAsia" w:eastAsia="仿宋_GB2312"/>
        </w:rPr>
        <w:t>5</w:t>
      </w:r>
      <w:r>
        <w:rPr>
          <w:rFonts w:hAnsi="仿宋_GB2312" w:eastAsia="仿宋_GB2312"/>
        </w:rPr>
        <w:t>年度政府性基金预算财政拨款支出</w:t>
      </w:r>
      <w:r>
        <w:rPr>
          <w:rFonts w:eastAsia="仿宋_GB2312"/>
        </w:rPr>
        <w:t>0</w:t>
      </w:r>
      <w:r>
        <w:rPr>
          <w:rFonts w:hAnsi="仿宋_GB2312" w:eastAsia="仿宋_GB2312"/>
        </w:rPr>
        <w:t>万元，占本年支出合计的</w:t>
      </w:r>
      <w:r>
        <w:rPr>
          <w:rFonts w:eastAsia="仿宋_GB2312"/>
        </w:rPr>
        <w:t>0%。与202</w:t>
      </w:r>
      <w:r>
        <w:rPr>
          <w:rFonts w:hint="eastAsia" w:eastAsia="仿宋_GB2312"/>
        </w:rPr>
        <w:t>4</w:t>
      </w:r>
      <w:r>
        <w:rPr>
          <w:rFonts w:eastAsia="仿宋_GB2312"/>
        </w:rPr>
        <w:t>年度相比，政府性基金预算财政拨款支出持平。</w:t>
      </w:r>
    </w:p>
    <w:p w14:paraId="1032955F">
      <w:pPr>
        <w:pStyle w:val="6"/>
        <w:spacing w:before="0" w:after="0" w:line="560" w:lineRule="exact"/>
      </w:pPr>
      <w:bookmarkStart w:id="42" w:name="_Toc15396611"/>
      <w:bookmarkStart w:id="43" w:name="_Toc15377219"/>
      <w:r>
        <w:t>九、国有资本经营预算支出决算情况说明</w:t>
      </w:r>
      <w:bookmarkEnd w:id="42"/>
      <w:bookmarkEnd w:id="43"/>
    </w:p>
    <w:p w14:paraId="72472260">
      <w:pPr>
        <w:spacing w:line="560" w:lineRule="exact"/>
        <w:rPr>
          <w:rFonts w:eastAsia="仿宋_GB2312"/>
        </w:rPr>
      </w:pPr>
      <w:r>
        <w:rPr>
          <w:rFonts w:eastAsia="仿宋_GB2312"/>
        </w:rPr>
        <w:t>202</w:t>
      </w:r>
      <w:r>
        <w:rPr>
          <w:rFonts w:hint="eastAsia" w:eastAsia="仿宋_GB2312"/>
        </w:rPr>
        <w:t>5</w:t>
      </w:r>
      <w:r>
        <w:rPr>
          <w:rFonts w:eastAsia="仿宋_GB2312"/>
        </w:rPr>
        <w:t>年度国有资本经营预算财政拨款支出0</w:t>
      </w:r>
      <w:r>
        <w:rPr>
          <w:rFonts w:hAnsi="仿宋_GB2312" w:eastAsia="仿宋_GB2312"/>
        </w:rPr>
        <w:t>万元，占本年支出合计的</w:t>
      </w:r>
      <w:r>
        <w:rPr>
          <w:rFonts w:eastAsia="仿宋_GB2312"/>
        </w:rPr>
        <w:t>0%。与202</w:t>
      </w:r>
      <w:r>
        <w:rPr>
          <w:rFonts w:hint="eastAsia" w:eastAsia="仿宋_GB2312"/>
        </w:rPr>
        <w:t>4</w:t>
      </w:r>
      <w:r>
        <w:rPr>
          <w:rFonts w:eastAsia="仿宋_GB2312"/>
        </w:rPr>
        <w:t>年度相比，国有资本经营预算财政拨款支出持平。</w:t>
      </w:r>
    </w:p>
    <w:p w14:paraId="40805E07">
      <w:pPr>
        <w:pStyle w:val="6"/>
        <w:spacing w:before="0" w:after="0" w:line="560" w:lineRule="exact"/>
      </w:pPr>
      <w:bookmarkStart w:id="44" w:name="_Toc15396612"/>
      <w:bookmarkStart w:id="45" w:name="_Toc15377221"/>
      <w:r>
        <w:t>十、其他重要事项的情况说明</w:t>
      </w:r>
      <w:bookmarkEnd w:id="44"/>
      <w:bookmarkEnd w:id="45"/>
    </w:p>
    <w:p w14:paraId="2E541F4D">
      <w:pPr>
        <w:spacing w:line="560" w:lineRule="exact"/>
        <w:ind w:firstLine="643"/>
        <w:outlineLvl w:val="2"/>
        <w:rPr>
          <w:rFonts w:eastAsia="楷体_GB2312"/>
          <w:b/>
        </w:rPr>
      </w:pPr>
      <w:bookmarkStart w:id="46" w:name="_Toc15377222"/>
      <w:r>
        <w:rPr>
          <w:rFonts w:eastAsia="楷体_GB2312"/>
          <w:b/>
        </w:rPr>
        <w:t>（一）机关运行经费支出情况</w:t>
      </w:r>
      <w:bookmarkEnd w:id="46"/>
    </w:p>
    <w:p w14:paraId="0C847F60">
      <w:pPr>
        <w:spacing w:line="560" w:lineRule="exact"/>
        <w:rPr>
          <w:rFonts w:eastAsia="仿宋_GB2312"/>
        </w:rPr>
      </w:pPr>
      <w:r>
        <w:rPr>
          <w:rFonts w:eastAsia="仿宋_GB2312"/>
        </w:rPr>
        <w:t>202</w:t>
      </w:r>
      <w:r>
        <w:rPr>
          <w:rFonts w:hint="eastAsia" w:eastAsia="仿宋_GB2312"/>
        </w:rPr>
        <w:t>5</w:t>
      </w:r>
      <w:r>
        <w:rPr>
          <w:rFonts w:eastAsia="仿宋_GB2312"/>
        </w:rPr>
        <w:t>年度</w:t>
      </w:r>
      <w:r>
        <w:rPr>
          <w:rFonts w:hAnsi="仿宋_GB2312" w:eastAsia="仿宋_GB2312"/>
        </w:rPr>
        <w:t>，攀枝花市生产力促进中心机关运行经费支出</w:t>
      </w:r>
      <w:r>
        <w:rPr>
          <w:rFonts w:eastAsia="仿宋_GB2312"/>
        </w:rPr>
        <w:t>0</w:t>
      </w:r>
      <w:r>
        <w:rPr>
          <w:rFonts w:hAnsi="仿宋_GB2312" w:eastAsia="仿宋_GB2312"/>
        </w:rPr>
        <w:t>万</w:t>
      </w:r>
      <w:r>
        <w:rPr>
          <w:rFonts w:eastAsia="仿宋_GB2312"/>
        </w:rPr>
        <w:t>元，比202</w:t>
      </w:r>
      <w:r>
        <w:rPr>
          <w:rFonts w:hint="eastAsia" w:eastAsia="仿宋_GB2312"/>
        </w:rPr>
        <w:t>4</w:t>
      </w:r>
      <w:r>
        <w:rPr>
          <w:rFonts w:eastAsia="仿宋_GB2312"/>
        </w:rPr>
        <w:t>年度决算数持平。</w:t>
      </w:r>
    </w:p>
    <w:p w14:paraId="20E78616">
      <w:pPr>
        <w:spacing w:line="560" w:lineRule="exact"/>
        <w:ind w:firstLine="643"/>
        <w:outlineLvl w:val="2"/>
        <w:rPr>
          <w:rFonts w:eastAsia="楷体_GB2312"/>
          <w:b/>
        </w:rPr>
      </w:pPr>
      <w:bookmarkStart w:id="47" w:name="_Toc15377223"/>
      <w:r>
        <w:rPr>
          <w:rFonts w:eastAsia="楷体_GB2312"/>
          <w:b/>
        </w:rPr>
        <w:t>（二）政府采购支出情况</w:t>
      </w:r>
      <w:bookmarkEnd w:id="47"/>
    </w:p>
    <w:p w14:paraId="78899F95">
      <w:pPr>
        <w:spacing w:line="560" w:lineRule="exact"/>
        <w:rPr>
          <w:rFonts w:eastAsia="仿宋_GB2312"/>
        </w:rPr>
      </w:pPr>
      <w:r>
        <w:rPr>
          <w:rFonts w:eastAsia="仿宋_GB2312"/>
        </w:rPr>
        <w:t>202</w:t>
      </w:r>
      <w:r>
        <w:rPr>
          <w:rFonts w:hint="eastAsia" w:eastAsia="仿宋_GB2312"/>
        </w:rPr>
        <w:t>5</w:t>
      </w:r>
      <w:r>
        <w:rPr>
          <w:rFonts w:hAnsi="仿宋_GB2312" w:eastAsia="仿宋_GB2312"/>
        </w:rPr>
        <w:t>年度，攀枝花市生产力促进中心政府采购支出总额</w:t>
      </w:r>
      <w:r>
        <w:rPr>
          <w:rFonts w:eastAsia="仿宋_GB2312"/>
        </w:rPr>
        <w:t>0.</w:t>
      </w:r>
      <w:r>
        <w:rPr>
          <w:rFonts w:hint="eastAsia" w:eastAsia="仿宋_GB2312"/>
        </w:rPr>
        <w:t>59</w:t>
      </w:r>
      <w:r>
        <w:rPr>
          <w:rFonts w:hAnsi="仿宋_GB2312" w:eastAsia="仿宋_GB2312"/>
        </w:rPr>
        <w:t>万元，其中：政府采购货物支出</w:t>
      </w:r>
      <w:r>
        <w:rPr>
          <w:rFonts w:eastAsia="仿宋_GB2312"/>
        </w:rPr>
        <w:t>0</w:t>
      </w:r>
      <w:r>
        <w:rPr>
          <w:rFonts w:hAnsi="仿宋_GB2312" w:eastAsia="仿宋_GB2312"/>
        </w:rPr>
        <w:t>万元、政府采购工程支出</w:t>
      </w:r>
      <w:r>
        <w:rPr>
          <w:rFonts w:eastAsia="仿宋_GB2312"/>
        </w:rPr>
        <w:t>0</w:t>
      </w:r>
      <w:r>
        <w:rPr>
          <w:rFonts w:hAnsi="仿宋_GB2312" w:eastAsia="仿宋_GB2312"/>
        </w:rPr>
        <w:t>万元、政府采购服务支出</w:t>
      </w:r>
      <w:r>
        <w:rPr>
          <w:rFonts w:eastAsia="仿宋_GB2312"/>
        </w:rPr>
        <w:t>0.</w:t>
      </w:r>
      <w:r>
        <w:rPr>
          <w:rFonts w:hint="eastAsia" w:eastAsia="仿宋_GB2312"/>
        </w:rPr>
        <w:t>59</w:t>
      </w:r>
      <w:r>
        <w:rPr>
          <w:rFonts w:hAnsi="仿宋_GB2312" w:eastAsia="仿宋_GB2312"/>
        </w:rPr>
        <w:t>万元。主要用于</w:t>
      </w:r>
      <w:r>
        <w:rPr>
          <w:rFonts w:eastAsia="仿宋_GB2312"/>
          <w:color w:val="000000"/>
        </w:rPr>
        <w:t>科技调研等所需的公务用车燃料费</w:t>
      </w:r>
      <w:r>
        <w:rPr>
          <w:rFonts w:hint="eastAsia" w:eastAsia="仿宋_GB2312"/>
          <w:color w:val="000000"/>
        </w:rPr>
        <w:t>、维修费及保险费</w:t>
      </w:r>
      <w:r>
        <w:rPr>
          <w:rFonts w:hAnsi="仿宋_GB2312" w:eastAsia="仿宋_GB2312"/>
        </w:rPr>
        <w:t>。授予中小企业合同金额</w:t>
      </w:r>
      <w:r>
        <w:rPr>
          <w:rFonts w:eastAsia="仿宋_GB2312"/>
        </w:rPr>
        <w:t>0</w:t>
      </w:r>
      <w:r>
        <w:rPr>
          <w:rFonts w:hAnsi="仿宋_GB2312" w:eastAsia="仿宋_GB2312"/>
        </w:rPr>
        <w:t>万元，占政府采购支出总额的</w:t>
      </w:r>
      <w:r>
        <w:rPr>
          <w:rFonts w:eastAsia="仿宋_GB2312"/>
        </w:rPr>
        <w:t>0%</w:t>
      </w:r>
      <w:r>
        <w:rPr>
          <w:rFonts w:hAnsi="仿宋_GB2312" w:eastAsia="仿宋_GB2312"/>
        </w:rPr>
        <w:t>，其中：授予小微企业合同金额</w:t>
      </w:r>
      <w:r>
        <w:rPr>
          <w:rFonts w:eastAsia="仿宋_GB2312"/>
        </w:rPr>
        <w:t>0</w:t>
      </w:r>
      <w:r>
        <w:rPr>
          <w:rFonts w:hAnsi="仿宋_GB2312" w:eastAsia="仿宋_GB2312"/>
        </w:rPr>
        <w:t>万元，占政府采购支出总额的</w:t>
      </w:r>
      <w:r>
        <w:rPr>
          <w:rFonts w:eastAsia="仿宋_GB2312"/>
        </w:rPr>
        <w:t>0%</w:t>
      </w:r>
      <w:r>
        <w:rPr>
          <w:rFonts w:hAnsi="仿宋_GB2312" w:eastAsia="仿宋_GB2312"/>
        </w:rPr>
        <w:t>。</w:t>
      </w:r>
    </w:p>
    <w:p w14:paraId="72B2C297">
      <w:pPr>
        <w:spacing w:line="560" w:lineRule="exact"/>
        <w:ind w:firstLine="643"/>
        <w:outlineLvl w:val="2"/>
        <w:rPr>
          <w:rFonts w:eastAsia="楷体_GB2312"/>
          <w:b/>
        </w:rPr>
      </w:pPr>
      <w:bookmarkStart w:id="48" w:name="_Toc15377224"/>
      <w:r>
        <w:rPr>
          <w:rFonts w:eastAsia="楷体_GB2312"/>
          <w:b/>
        </w:rPr>
        <w:t>（三）国有资产占有使用情况</w:t>
      </w:r>
      <w:bookmarkEnd w:id="48"/>
    </w:p>
    <w:p w14:paraId="5260D673">
      <w:pPr>
        <w:spacing w:line="560" w:lineRule="exact"/>
        <w:rPr>
          <w:rFonts w:eastAsia="仿宋_GB2312"/>
        </w:rPr>
      </w:pPr>
      <w:r>
        <w:rPr>
          <w:rFonts w:hAnsi="仿宋_GB2312" w:eastAsia="仿宋_GB2312"/>
        </w:rPr>
        <w:t>截至</w:t>
      </w:r>
      <w:r>
        <w:rPr>
          <w:rFonts w:eastAsia="仿宋_GB2312"/>
        </w:rPr>
        <w:t>202</w:t>
      </w:r>
      <w:r>
        <w:rPr>
          <w:rFonts w:hint="eastAsia" w:eastAsia="仿宋_GB2312"/>
        </w:rPr>
        <w:t>5</w:t>
      </w:r>
      <w:r>
        <w:rPr>
          <w:rFonts w:hAnsi="仿宋_GB2312" w:eastAsia="仿宋_GB2312"/>
        </w:rPr>
        <w:t>年</w:t>
      </w:r>
      <w:r>
        <w:rPr>
          <w:rFonts w:eastAsia="仿宋_GB2312"/>
        </w:rPr>
        <w:t>12</w:t>
      </w:r>
      <w:r>
        <w:rPr>
          <w:rFonts w:hAnsi="仿宋_GB2312" w:eastAsia="仿宋_GB2312"/>
        </w:rPr>
        <w:t>月</w:t>
      </w:r>
      <w:r>
        <w:rPr>
          <w:rFonts w:eastAsia="仿宋_GB2312"/>
        </w:rPr>
        <w:t>31</w:t>
      </w:r>
      <w:r>
        <w:rPr>
          <w:rFonts w:hAnsi="仿宋_GB2312" w:eastAsia="仿宋_GB2312"/>
        </w:rPr>
        <w:t>日，攀枝花市生产力促进中心共有车辆</w:t>
      </w:r>
      <w:r>
        <w:rPr>
          <w:rFonts w:eastAsia="仿宋_GB2312"/>
        </w:rPr>
        <w:t>1</w:t>
      </w:r>
      <w:r>
        <w:rPr>
          <w:rFonts w:hAnsi="仿宋_GB2312" w:eastAsia="仿宋_GB2312"/>
        </w:rPr>
        <w:t>辆，其中：主要负责人用车</w:t>
      </w:r>
      <w:r>
        <w:rPr>
          <w:rFonts w:eastAsia="仿宋_GB2312"/>
        </w:rPr>
        <w:t>0</w:t>
      </w:r>
      <w:r>
        <w:rPr>
          <w:rFonts w:hAnsi="仿宋_GB2312" w:eastAsia="仿宋_GB2312"/>
        </w:rPr>
        <w:t>辆、机要通信用车</w:t>
      </w:r>
      <w:r>
        <w:rPr>
          <w:rFonts w:eastAsia="仿宋_GB2312"/>
        </w:rPr>
        <w:t>0</w:t>
      </w:r>
      <w:r>
        <w:rPr>
          <w:rFonts w:hAnsi="仿宋_GB2312" w:eastAsia="仿宋_GB2312"/>
        </w:rPr>
        <w:t>辆、应急保障用车</w:t>
      </w:r>
      <w:r>
        <w:rPr>
          <w:rFonts w:eastAsia="仿宋_GB2312"/>
        </w:rPr>
        <w:t>0</w:t>
      </w:r>
      <w:r>
        <w:rPr>
          <w:rFonts w:hAnsi="仿宋_GB2312" w:eastAsia="仿宋_GB2312"/>
        </w:rPr>
        <w:t>辆、其他用车</w:t>
      </w:r>
      <w:r>
        <w:rPr>
          <w:rFonts w:eastAsia="仿宋_GB2312"/>
        </w:rPr>
        <w:t>1</w:t>
      </w:r>
      <w:r>
        <w:rPr>
          <w:rFonts w:hAnsi="仿宋_GB2312" w:eastAsia="仿宋_GB2312"/>
        </w:rPr>
        <w:t>辆，其他用车主要是用于</w:t>
      </w:r>
      <w:r>
        <w:rPr>
          <w:rFonts w:eastAsia="仿宋_GB2312"/>
          <w:color w:val="000000"/>
        </w:rPr>
        <w:t>科技调研等所需的公务用车燃料费、维修费、过路过桥费、保险费等支出</w:t>
      </w:r>
      <w:r>
        <w:rPr>
          <w:rFonts w:hAnsi="仿宋_GB2312" w:eastAsia="仿宋_GB2312"/>
        </w:rPr>
        <w:t>。单价</w:t>
      </w:r>
      <w:r>
        <w:rPr>
          <w:rFonts w:eastAsia="仿宋_GB2312"/>
        </w:rPr>
        <w:t>100</w:t>
      </w:r>
      <w:r>
        <w:rPr>
          <w:rFonts w:hAnsi="仿宋_GB2312" w:eastAsia="仿宋_GB2312"/>
        </w:rPr>
        <w:t>万元（含）以上设备（不含车辆）</w:t>
      </w:r>
      <w:r>
        <w:rPr>
          <w:rFonts w:eastAsia="仿宋_GB2312"/>
        </w:rPr>
        <w:t>0</w:t>
      </w:r>
      <w:r>
        <w:rPr>
          <w:rFonts w:hAnsi="仿宋_GB2312" w:eastAsia="仿宋_GB2312"/>
        </w:rPr>
        <w:t>台</w:t>
      </w:r>
      <w:r>
        <w:rPr>
          <w:rFonts w:eastAsia="仿宋_GB2312"/>
        </w:rPr>
        <w:t>。</w:t>
      </w:r>
    </w:p>
    <w:p w14:paraId="2AF624CD">
      <w:pPr>
        <w:spacing w:line="560" w:lineRule="exact"/>
        <w:ind w:firstLine="643"/>
        <w:outlineLvl w:val="2"/>
        <w:rPr>
          <w:rFonts w:eastAsia="楷体_GB2312"/>
          <w:b/>
        </w:rPr>
      </w:pPr>
      <w:r>
        <w:rPr>
          <w:rFonts w:eastAsia="楷体_GB2312"/>
          <w:b/>
        </w:rPr>
        <w:t>（四）预算绩效管理情况</w:t>
      </w:r>
    </w:p>
    <w:p w14:paraId="1CB96572">
      <w:pPr>
        <w:spacing w:line="560" w:lineRule="exact"/>
        <w:rPr>
          <w:rFonts w:eastAsia="仿宋_GB2312"/>
        </w:rPr>
      </w:pPr>
      <w:r>
        <w:rPr>
          <w:rFonts w:eastAsia="仿宋_GB2312"/>
        </w:rPr>
        <w:t>根据预算绩效管理要求，本单位在202</w:t>
      </w:r>
      <w:r>
        <w:rPr>
          <w:rFonts w:hint="eastAsia" w:eastAsia="仿宋_GB2312"/>
        </w:rPr>
        <w:t>5</w:t>
      </w:r>
      <w:r>
        <w:rPr>
          <w:rFonts w:eastAsia="仿宋_GB2312"/>
        </w:rPr>
        <w:t>年度预算编制阶段，组织对</w:t>
      </w:r>
      <w:r>
        <w:rPr>
          <w:rFonts w:hint="eastAsia" w:eastAsia="仿宋_GB2312"/>
        </w:rPr>
        <w:t>“</w:t>
      </w:r>
      <w:r>
        <w:rPr>
          <w:rFonts w:eastAsia="仿宋_GB2312"/>
        </w:rPr>
        <w:t>科技创新券</w:t>
      </w:r>
      <w:r>
        <w:rPr>
          <w:rFonts w:hint="eastAsia" w:eastAsia="仿宋_GB2312"/>
        </w:rPr>
        <w:t>”</w:t>
      </w:r>
      <w:r>
        <w:rPr>
          <w:rFonts w:eastAsia="仿宋_GB2312"/>
        </w:rPr>
        <w:t>项目</w:t>
      </w:r>
      <w:r>
        <w:rPr>
          <w:rFonts w:hint="default" w:ascii="Nimbus Roman No9 L" w:hAnsi="Nimbus Roman No9 L" w:eastAsia="仿宋_GB2312" w:cs="Nimbus Roman No9 L"/>
          <w:color w:val="auto"/>
          <w:kern w:val="2"/>
          <w:sz w:val="32"/>
          <w:szCs w:val="32"/>
          <w:highlight w:val="none"/>
          <w:lang w:val="en-US" w:eastAsia="zh-CN" w:bidi="ar-SA"/>
        </w:rPr>
        <w:t>涉及金额</w:t>
      </w:r>
      <w:r>
        <w:rPr>
          <w:rFonts w:hint="eastAsia" w:ascii="Nimbus Roman No9 L" w:hAnsi="Nimbus Roman No9 L" w:eastAsia="仿宋_GB2312" w:cs="Nimbus Roman No9 L"/>
          <w:color w:val="auto"/>
          <w:kern w:val="2"/>
          <w:sz w:val="32"/>
          <w:szCs w:val="32"/>
          <w:highlight w:val="none"/>
          <w:lang w:val="en-US" w:eastAsia="zh-CN" w:bidi="ar-SA"/>
        </w:rPr>
        <w:t>26.1</w:t>
      </w:r>
      <w:r>
        <w:rPr>
          <w:rFonts w:hint="default" w:ascii="Nimbus Roman No9 L" w:hAnsi="Nimbus Roman No9 L" w:eastAsia="仿宋_GB2312" w:cs="Nimbus Roman No9 L"/>
          <w:color w:val="auto"/>
          <w:kern w:val="2"/>
          <w:sz w:val="32"/>
          <w:szCs w:val="32"/>
          <w:highlight w:val="none"/>
          <w:lang w:val="en-US" w:eastAsia="zh-CN" w:bidi="ar-SA"/>
        </w:rPr>
        <w:t>万元</w:t>
      </w:r>
      <w:r>
        <w:rPr>
          <w:rFonts w:eastAsia="仿宋_GB2312"/>
        </w:rPr>
        <w:t>开展了预算事前绩效评估，对该项目编制了绩效目标，预算执行过程中，选取该项目开展绩效监控，组织对该项目开展绩效自评。</w:t>
      </w:r>
      <w:bookmarkStart w:id="49" w:name="_Toc15396613"/>
      <w:bookmarkStart w:id="50" w:name="_Toc15377225"/>
    </w:p>
    <w:p w14:paraId="1B4FDB43">
      <w:pPr>
        <w:pStyle w:val="8"/>
        <w:spacing w:before="93"/>
        <w:rPr>
          <w:sz w:val="32"/>
        </w:rPr>
      </w:pPr>
    </w:p>
    <w:p w14:paraId="6743DB94">
      <w:pPr>
        <w:pStyle w:val="8"/>
        <w:spacing w:before="93"/>
        <w:rPr>
          <w:sz w:val="32"/>
        </w:rPr>
      </w:pPr>
    </w:p>
    <w:p w14:paraId="1B2E8D89">
      <w:pPr>
        <w:pStyle w:val="8"/>
        <w:spacing w:before="93"/>
        <w:rPr>
          <w:sz w:val="32"/>
        </w:rPr>
      </w:pPr>
    </w:p>
    <w:p w14:paraId="22AA349B">
      <w:pPr>
        <w:pStyle w:val="8"/>
        <w:spacing w:before="93"/>
        <w:rPr>
          <w:sz w:val="32"/>
        </w:rPr>
      </w:pPr>
    </w:p>
    <w:p w14:paraId="78349BFD">
      <w:pPr>
        <w:pStyle w:val="8"/>
        <w:spacing w:before="93"/>
        <w:rPr>
          <w:sz w:val="32"/>
        </w:rPr>
      </w:pPr>
    </w:p>
    <w:p w14:paraId="5A8EF5F8">
      <w:pPr>
        <w:pStyle w:val="8"/>
        <w:spacing w:before="93"/>
        <w:rPr>
          <w:sz w:val="32"/>
        </w:rPr>
      </w:pPr>
    </w:p>
    <w:p w14:paraId="735FC28D">
      <w:pPr>
        <w:pStyle w:val="5"/>
        <w:keepNext/>
        <w:keepLines/>
        <w:adjustRightInd/>
        <w:snapToGrid/>
        <w:spacing w:after="330" w:line="578" w:lineRule="auto"/>
        <w:ind w:firstLine="0" w:firstLineChars="0"/>
        <w:rPr>
          <w:rFonts w:hint="eastAsia" w:ascii="Nimbus Roman No9 L" w:hAnsi="Nimbus Roman No9 L" w:eastAsia="方正小标宋简体" w:cs="Nimbus Roman No9 L"/>
          <w:bCs/>
          <w:kern w:val="44"/>
          <w:sz w:val="44"/>
          <w:szCs w:val="44"/>
        </w:rPr>
      </w:pPr>
    </w:p>
    <w:p w14:paraId="3AC187F5">
      <w:pPr>
        <w:rPr>
          <w:rFonts w:hint="eastAsia"/>
        </w:rPr>
      </w:pPr>
    </w:p>
    <w:p w14:paraId="787058EA">
      <w:pPr>
        <w:pStyle w:val="2"/>
        <w:ind w:firstLine="360"/>
      </w:pPr>
    </w:p>
    <w:p w14:paraId="4AA3D1C3">
      <w:pPr>
        <w:pStyle w:val="5"/>
        <w:keepNext/>
        <w:keepLines/>
        <w:adjustRightInd/>
        <w:snapToGrid/>
        <w:spacing w:after="330" w:line="578" w:lineRule="auto"/>
        <w:ind w:firstLine="0" w:firstLineChars="0"/>
        <w:rPr>
          <w:rFonts w:hint="eastAsia" w:ascii="Nimbus Roman No9 L" w:hAnsi="Nimbus Roman No9 L" w:eastAsia="方正小标宋简体" w:cs="Nimbus Roman No9 L"/>
          <w:bCs/>
          <w:kern w:val="44"/>
          <w:sz w:val="44"/>
          <w:szCs w:val="44"/>
        </w:rPr>
      </w:pPr>
      <w:r>
        <w:rPr>
          <w:rFonts w:ascii="Nimbus Roman No9 L" w:hAnsi="Nimbus Roman No9 L" w:eastAsia="方正小标宋简体" w:cs="Nimbus Roman No9 L"/>
          <w:bCs/>
          <w:kern w:val="44"/>
          <w:sz w:val="44"/>
          <w:szCs w:val="44"/>
        </w:rPr>
        <w:t>第三部分</w:t>
      </w:r>
      <w:r>
        <w:rPr>
          <w:rFonts w:hint="eastAsia" w:ascii="Nimbus Roman No9 L" w:hAnsi="Nimbus Roman No9 L" w:eastAsia="方正小标宋简体" w:cs="Nimbus Roman No9 L"/>
          <w:bCs/>
          <w:kern w:val="44"/>
          <w:sz w:val="44"/>
          <w:szCs w:val="44"/>
          <w:lang w:val="en-US" w:eastAsia="zh-CN"/>
        </w:rPr>
        <w:t xml:space="preserve">  </w:t>
      </w:r>
      <w:r>
        <w:rPr>
          <w:rFonts w:ascii="Nimbus Roman No9 L" w:hAnsi="Nimbus Roman No9 L" w:eastAsia="方正小标宋简体" w:cs="Nimbus Roman No9 L"/>
          <w:bCs/>
          <w:kern w:val="44"/>
          <w:sz w:val="44"/>
          <w:szCs w:val="44"/>
        </w:rPr>
        <w:t>名词解释</w:t>
      </w:r>
      <w:bookmarkEnd w:id="49"/>
      <w:bookmarkEnd w:id="50"/>
    </w:p>
    <w:p w14:paraId="33E2CF53">
      <w:pPr>
        <w:pStyle w:val="27"/>
        <w:spacing w:line="560" w:lineRule="exact"/>
        <w:ind w:firstLine="640" w:firstLineChars="200"/>
        <w:jc w:val="both"/>
        <w:rPr>
          <w:rFonts w:ascii="Times New Roman" w:hAnsi="Times New Roman" w:eastAsia="仿宋_GB2312" w:cs="Times New Roman"/>
          <w:color w:val="auto"/>
          <w:sz w:val="32"/>
          <w:szCs w:val="32"/>
        </w:rPr>
      </w:pPr>
      <w:bookmarkStart w:id="51" w:name="_Toc15396614"/>
      <w:bookmarkStart w:id="52" w:name="_Toc15377226"/>
      <w:r>
        <w:rPr>
          <w:rFonts w:ascii="Times New Roman" w:hAnsi="Times New Roman" w:eastAsia="仿宋_GB2312" w:cs="Times New Roman"/>
          <w:color w:val="auto"/>
          <w:sz w:val="32"/>
          <w:szCs w:val="32"/>
        </w:rPr>
        <w:t>1.财政拨款收入：指单位从同级财政单位取得的财政预算资金。</w:t>
      </w:r>
    </w:p>
    <w:p w14:paraId="27FB98E9">
      <w:pPr>
        <w:pStyle w:val="27"/>
        <w:spacing w:line="56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2.年初结转和结余：指以前年度尚未完成、结转到本年按有关规定继续使用的资金。 </w:t>
      </w:r>
    </w:p>
    <w:p w14:paraId="46FEA0DD">
      <w:pPr>
        <w:spacing w:line="600" w:lineRule="exact"/>
        <w:rPr>
          <w:rFonts w:eastAsia="仿宋_GB2312"/>
          <w:kern w:val="0"/>
        </w:rPr>
      </w:pPr>
      <w:r>
        <w:rPr>
          <w:rFonts w:eastAsia="仿宋_GB2312"/>
          <w:kern w:val="0"/>
        </w:rPr>
        <w:t>3.科学技术支出（类）技术研究与开发（款）科技成果转化与扩散（项）：指兑付202</w:t>
      </w:r>
      <w:r>
        <w:rPr>
          <w:rFonts w:hint="eastAsia" w:eastAsia="仿宋_GB2312"/>
          <w:kern w:val="0"/>
        </w:rPr>
        <w:t>5</w:t>
      </w:r>
      <w:r>
        <w:rPr>
          <w:rFonts w:eastAsia="仿宋_GB2312"/>
          <w:kern w:val="0"/>
        </w:rPr>
        <w:t>年度科技创新券。</w:t>
      </w:r>
    </w:p>
    <w:p w14:paraId="63D55FA2">
      <w:pPr>
        <w:spacing w:line="600" w:lineRule="exact"/>
        <w:rPr>
          <w:rFonts w:eastAsia="仿宋_GB2312"/>
          <w:kern w:val="0"/>
        </w:rPr>
      </w:pPr>
      <w:r>
        <w:rPr>
          <w:rFonts w:eastAsia="仿宋_GB2312"/>
          <w:kern w:val="0"/>
        </w:rPr>
        <w:t>4.科学技术支出（类）科技条件与服务（款） 机构运行（项）：指用于保障单位正常运行、开展日常工作等基本支出。</w:t>
      </w:r>
    </w:p>
    <w:p w14:paraId="3D690901">
      <w:pPr>
        <w:spacing w:line="600" w:lineRule="exact"/>
        <w:rPr>
          <w:rFonts w:hint="eastAsia" w:eastAsia="仿宋_GB2312"/>
          <w:kern w:val="0"/>
        </w:rPr>
      </w:pPr>
      <w:r>
        <w:rPr>
          <w:rFonts w:hint="eastAsia" w:eastAsia="仿宋_GB2312"/>
          <w:kern w:val="0"/>
        </w:rPr>
        <w:t>5</w:t>
      </w:r>
      <w:r>
        <w:rPr>
          <w:rFonts w:eastAsia="仿宋_GB2312"/>
          <w:kern w:val="0"/>
        </w:rPr>
        <w:t>.社会保障和就业（类）行政事业单位养老支出（款） 事业单位离退休（项）: 指财政统一供养的事业单位退休人员的支出。</w:t>
      </w:r>
    </w:p>
    <w:p w14:paraId="6F62AB55">
      <w:pPr>
        <w:spacing w:line="600" w:lineRule="exact"/>
        <w:rPr>
          <w:rFonts w:hint="eastAsia" w:eastAsia="仿宋_GB2312"/>
          <w:kern w:val="0"/>
        </w:rPr>
      </w:pPr>
      <w:r>
        <w:rPr>
          <w:rFonts w:hint="eastAsia" w:eastAsia="仿宋_GB2312"/>
          <w:kern w:val="0"/>
        </w:rPr>
        <w:t>6.</w:t>
      </w:r>
      <w:r>
        <w:rPr>
          <w:rFonts w:eastAsia="仿宋_GB2312"/>
          <w:kern w:val="0"/>
        </w:rPr>
        <w:t xml:space="preserve"> 社会保障和就业（类）</w:t>
      </w:r>
      <w:r>
        <w:rPr>
          <w:rFonts w:hint="eastAsia" w:eastAsia="仿宋_GB2312"/>
          <w:kern w:val="0"/>
        </w:rPr>
        <w:t>人力资源和社会保障管理事务（款）其他人力资源和社会保障管理事务支出（项）：人力资源和社会保障管理事务支出。</w:t>
      </w:r>
    </w:p>
    <w:p w14:paraId="43538DAD">
      <w:pPr>
        <w:spacing w:line="600" w:lineRule="exact"/>
        <w:rPr>
          <w:rFonts w:eastAsia="仿宋_GB2312"/>
          <w:kern w:val="0"/>
        </w:rPr>
      </w:pPr>
      <w:r>
        <w:rPr>
          <w:rFonts w:hint="eastAsia" w:eastAsia="仿宋_GB2312"/>
          <w:kern w:val="0"/>
        </w:rPr>
        <w:t>7.</w:t>
      </w:r>
      <w:r>
        <w:rPr>
          <w:rFonts w:eastAsia="仿宋_GB2312"/>
          <w:kern w:val="0"/>
        </w:rPr>
        <w:t xml:space="preserve"> 社会保障和就业（类）</w:t>
      </w:r>
      <w:r>
        <w:rPr>
          <w:rFonts w:hint="eastAsia" w:eastAsia="仿宋_GB2312"/>
          <w:kern w:val="0"/>
        </w:rPr>
        <w:t>抚恤（款）死亡抚恤（款）：病故人员家属的一次性抚恤金。</w:t>
      </w:r>
    </w:p>
    <w:p w14:paraId="303AC40F">
      <w:pPr>
        <w:spacing w:line="600" w:lineRule="exact"/>
        <w:rPr>
          <w:rFonts w:hint="eastAsia" w:hAnsi="仿宋_GB2312" w:eastAsia="仿宋_GB2312"/>
          <w:kern w:val="0"/>
        </w:rPr>
      </w:pPr>
      <w:r>
        <w:rPr>
          <w:rFonts w:hint="eastAsia" w:eastAsia="仿宋_GB2312"/>
          <w:kern w:val="0"/>
        </w:rPr>
        <w:t>8</w:t>
      </w:r>
      <w:r>
        <w:rPr>
          <w:rFonts w:eastAsia="仿宋_GB2312"/>
          <w:kern w:val="0"/>
        </w:rPr>
        <w:t>.社会保障和就业（类）行政事业单位养老支出（款）机关事业单位基本养老保险缴费支出（项）：</w:t>
      </w:r>
      <w:r>
        <w:rPr>
          <w:rFonts w:hAnsi="仿宋_GB2312" w:eastAsia="仿宋_GB2312"/>
          <w:kern w:val="0"/>
        </w:rPr>
        <w:t>指机关事业单位实施养老保险制度由单位缴纳的基本养老保险费支出。</w:t>
      </w:r>
    </w:p>
    <w:p w14:paraId="7F9AFE55">
      <w:pPr>
        <w:pStyle w:val="27"/>
        <w:spacing w:line="560" w:lineRule="exact"/>
        <w:ind w:firstLine="640" w:firstLineChars="200"/>
        <w:rPr>
          <w:rFonts w:hint="eastAsia" w:ascii="Nimbus Roman No9 L" w:hAnsi="Nimbus Roman No9 L" w:eastAsia="仿宋_GB2312" w:cs="Nimbus Roman No9 L"/>
          <w:color w:val="auto"/>
          <w:sz w:val="32"/>
          <w:szCs w:val="32"/>
        </w:rPr>
      </w:pPr>
      <w:r>
        <w:rPr>
          <w:rFonts w:hint="eastAsia" w:ascii="Nimbus Roman No9 L" w:hAnsi="Nimbus Roman No9 L" w:eastAsia="仿宋_GB2312" w:cs="Nimbus Roman No9 L"/>
          <w:color w:val="auto"/>
          <w:sz w:val="32"/>
          <w:szCs w:val="32"/>
        </w:rPr>
        <w:t>9.</w:t>
      </w:r>
      <w:r>
        <w:rPr>
          <w:rFonts w:hint="eastAsia"/>
          <w:color w:val="auto"/>
        </w:rPr>
        <w:t xml:space="preserve"> </w:t>
      </w:r>
      <w:r>
        <w:rPr>
          <w:rFonts w:hint="eastAsia" w:ascii="Nimbus Roman No9 L" w:hAnsi="Nimbus Roman No9 L" w:eastAsia="仿宋_GB2312" w:cs="Nimbus Roman No9 L"/>
          <w:color w:val="auto"/>
          <w:sz w:val="32"/>
          <w:szCs w:val="32"/>
        </w:rPr>
        <w:t>卫生健康支出（类）行政事业单位医疗（款）事业单位医疗（项）：基本医疗保险缴费经费。</w:t>
      </w:r>
    </w:p>
    <w:p w14:paraId="6F8D5701">
      <w:pPr>
        <w:pStyle w:val="27"/>
        <w:spacing w:line="560" w:lineRule="exact"/>
        <w:ind w:firstLine="640" w:firstLineChars="200"/>
        <w:rPr>
          <w:rFonts w:hint="eastAsia" w:ascii="Nimbus Roman No9 L" w:hAnsi="Nimbus Roman No9 L" w:eastAsia="仿宋_GB2312" w:cs="Nimbus Roman No9 L"/>
          <w:color w:val="auto"/>
          <w:sz w:val="32"/>
          <w:szCs w:val="32"/>
        </w:rPr>
      </w:pPr>
      <w:r>
        <w:rPr>
          <w:rFonts w:hint="eastAsia" w:ascii="Nimbus Roman No9 L" w:hAnsi="Nimbus Roman No9 L" w:eastAsia="仿宋_GB2312" w:cs="Nimbus Roman No9 L"/>
          <w:color w:val="auto"/>
          <w:sz w:val="32"/>
          <w:szCs w:val="32"/>
        </w:rPr>
        <w:t>10. 卫生健康支出（类）行政事业单位医疗（款）公务员医疗补助（项）：公务员医疗补助经费。</w:t>
      </w:r>
    </w:p>
    <w:p w14:paraId="1D5AAF2B">
      <w:pPr>
        <w:pStyle w:val="2"/>
      </w:pPr>
      <w:r>
        <w:rPr>
          <w:rFonts w:hint="eastAsia" w:ascii="Nimbus Roman No9 L" w:hAnsi="Nimbus Roman No9 L" w:eastAsia="仿宋_GB2312" w:cs="Nimbus Roman No9 L"/>
          <w:sz w:val="32"/>
          <w:szCs w:val="32"/>
        </w:rPr>
        <w:t>11. 卫生健康支出（类）行政事业单位医疗（款）其他行政事业单位医疗支出（项）：其他行政事业单位医疗方面的支出。</w:t>
      </w:r>
    </w:p>
    <w:p w14:paraId="1390F73A">
      <w:pPr>
        <w:pStyle w:val="27"/>
        <w:spacing w:line="56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12</w:t>
      </w:r>
      <w:r>
        <w:rPr>
          <w:rFonts w:ascii="Times New Roman" w:hAnsi="Times New Roman" w:eastAsia="仿宋_GB2312" w:cs="Times New Roman"/>
          <w:color w:val="auto"/>
          <w:sz w:val="32"/>
          <w:szCs w:val="32"/>
        </w:rPr>
        <w:t>.住房保障支出（类）住房改革支出（款）住房公积金（项）：指反映行政事业单位按人力资源和社会保障部、财政单位规定的基本工资和津贴补贴以及规定比例为职工缴纳的住房公积金。</w:t>
      </w:r>
    </w:p>
    <w:p w14:paraId="5692E43D">
      <w:pPr>
        <w:rPr>
          <w:rFonts w:eastAsia="仿宋_GB2312"/>
        </w:rPr>
      </w:pPr>
      <w:r>
        <w:rPr>
          <w:rFonts w:hint="eastAsia" w:eastAsia="仿宋_GB2312"/>
          <w:kern w:val="0"/>
        </w:rPr>
        <w:t>13</w:t>
      </w:r>
      <w:r>
        <w:rPr>
          <w:rFonts w:eastAsia="仿宋_GB2312"/>
        </w:rPr>
        <w:t>.基本支出：指为保障机构正常运转、完成日常工作任务而发生的人员支出和公用支出。</w:t>
      </w:r>
    </w:p>
    <w:p w14:paraId="297E443E">
      <w:pPr>
        <w:rPr>
          <w:rFonts w:eastAsia="仿宋_GB2312"/>
        </w:rPr>
      </w:pPr>
      <w:r>
        <w:rPr>
          <w:rFonts w:eastAsia="仿宋_GB2312"/>
        </w:rPr>
        <w:t>1</w:t>
      </w:r>
      <w:r>
        <w:rPr>
          <w:rFonts w:hint="eastAsia" w:eastAsia="仿宋_GB2312"/>
        </w:rPr>
        <w:t>4</w:t>
      </w:r>
      <w:r>
        <w:rPr>
          <w:rFonts w:eastAsia="仿宋_GB2312"/>
        </w:rPr>
        <w:t xml:space="preserve">.项目支出：指在基本支出之外为完成特定行政任务和事业发展目标所发生的支出。 </w:t>
      </w:r>
    </w:p>
    <w:p w14:paraId="37C199DC">
      <w:pPr>
        <w:spacing w:line="600" w:lineRule="exact"/>
        <w:rPr>
          <w:rFonts w:eastAsia="仿宋_GB2312"/>
        </w:rPr>
      </w:pPr>
      <w:r>
        <w:rPr>
          <w:rFonts w:eastAsia="仿宋_GB2312"/>
        </w:rPr>
        <w:t>1</w:t>
      </w:r>
      <w:r>
        <w:rPr>
          <w:rFonts w:hint="eastAsia" w:eastAsia="仿宋_GB2312"/>
        </w:rPr>
        <w:t>5</w:t>
      </w:r>
      <w:r>
        <w:rPr>
          <w:rFonts w:eastAsia="仿宋_GB231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82905C2"/>
    <w:p w14:paraId="3A8C18AA">
      <w:pPr>
        <w:pStyle w:val="8"/>
        <w:spacing w:before="93"/>
        <w:rPr>
          <w:sz w:val="32"/>
        </w:rPr>
      </w:pPr>
    </w:p>
    <w:p w14:paraId="67A96345"/>
    <w:p w14:paraId="73CC766A">
      <w:pPr>
        <w:pStyle w:val="5"/>
        <w:keepNext/>
        <w:keepLines/>
        <w:adjustRightInd/>
        <w:snapToGrid/>
        <w:spacing w:after="330" w:line="578" w:lineRule="auto"/>
        <w:ind w:firstLine="0" w:firstLineChars="0"/>
        <w:rPr>
          <w:rFonts w:hint="eastAsia" w:ascii="Nimbus Roman No9 L" w:hAnsi="Nimbus Roman No9 L" w:eastAsia="方正小标宋简体" w:cs="Nimbus Roman No9 L"/>
          <w:bCs/>
          <w:kern w:val="44"/>
          <w:sz w:val="44"/>
          <w:szCs w:val="44"/>
        </w:rPr>
      </w:pPr>
      <w:r>
        <w:rPr>
          <w:rFonts w:ascii="Nimbus Roman No9 L" w:hAnsi="Nimbus Roman No9 L" w:eastAsia="方正小标宋简体" w:cs="Nimbus Roman No9 L"/>
          <w:bCs/>
          <w:kern w:val="44"/>
          <w:sz w:val="44"/>
          <w:szCs w:val="44"/>
        </w:rPr>
        <w:t>第四部分附件</w:t>
      </w:r>
      <w:bookmarkEnd w:id="51"/>
    </w:p>
    <w:p w14:paraId="2B5DA981">
      <w:r>
        <w:rPr>
          <w:rFonts w:hint="eastAsia"/>
        </w:rPr>
        <w:t>部门预算项目支出绩效自评表（2025年度）见附件3。</w:t>
      </w:r>
    </w:p>
    <w:p w14:paraId="382C6BD6">
      <w:pPr>
        <w:pStyle w:val="8"/>
        <w:spacing w:before="93"/>
        <w:rPr>
          <w:sz w:val="32"/>
        </w:rPr>
      </w:pPr>
    </w:p>
    <w:p w14:paraId="135BA4A3">
      <w:pPr>
        <w:pStyle w:val="8"/>
        <w:spacing w:before="93"/>
        <w:rPr>
          <w:sz w:val="32"/>
        </w:rPr>
      </w:pPr>
    </w:p>
    <w:p w14:paraId="31876E32">
      <w:pPr>
        <w:pStyle w:val="8"/>
        <w:spacing w:before="93"/>
        <w:rPr>
          <w:sz w:val="32"/>
        </w:rPr>
      </w:pPr>
    </w:p>
    <w:p w14:paraId="3F67BFF2">
      <w:pPr>
        <w:pStyle w:val="8"/>
        <w:spacing w:before="93"/>
        <w:rPr>
          <w:sz w:val="32"/>
        </w:rPr>
      </w:pPr>
    </w:p>
    <w:p w14:paraId="442CB46B">
      <w:pPr>
        <w:pStyle w:val="8"/>
        <w:spacing w:before="93"/>
        <w:rPr>
          <w:sz w:val="32"/>
        </w:rPr>
      </w:pPr>
    </w:p>
    <w:p w14:paraId="36AC154E">
      <w:pPr>
        <w:pStyle w:val="8"/>
        <w:spacing w:before="93"/>
        <w:rPr>
          <w:sz w:val="32"/>
        </w:rPr>
      </w:pPr>
    </w:p>
    <w:p w14:paraId="0EF120CE">
      <w:pPr>
        <w:pStyle w:val="8"/>
        <w:spacing w:before="93"/>
        <w:rPr>
          <w:sz w:val="32"/>
        </w:rPr>
      </w:pPr>
    </w:p>
    <w:p w14:paraId="6475F67C">
      <w:pPr>
        <w:pStyle w:val="8"/>
        <w:spacing w:before="93"/>
        <w:rPr>
          <w:sz w:val="32"/>
        </w:rPr>
      </w:pPr>
    </w:p>
    <w:p w14:paraId="41A90385">
      <w:pPr>
        <w:pStyle w:val="8"/>
        <w:spacing w:before="93"/>
        <w:rPr>
          <w:sz w:val="32"/>
        </w:rPr>
      </w:pPr>
    </w:p>
    <w:p w14:paraId="31768700">
      <w:pPr>
        <w:pStyle w:val="8"/>
        <w:spacing w:before="93"/>
        <w:rPr>
          <w:sz w:val="32"/>
        </w:rPr>
      </w:pPr>
    </w:p>
    <w:p w14:paraId="6F79B82A">
      <w:pPr>
        <w:pStyle w:val="8"/>
        <w:spacing w:before="93"/>
        <w:rPr>
          <w:sz w:val="32"/>
        </w:rPr>
      </w:pPr>
    </w:p>
    <w:p w14:paraId="0E58C3EE">
      <w:pPr>
        <w:pStyle w:val="8"/>
        <w:spacing w:before="93"/>
        <w:rPr>
          <w:sz w:val="32"/>
        </w:rPr>
      </w:pPr>
    </w:p>
    <w:p w14:paraId="0B93E729">
      <w:pPr>
        <w:pStyle w:val="8"/>
        <w:spacing w:before="93"/>
        <w:rPr>
          <w:sz w:val="32"/>
        </w:rPr>
      </w:pPr>
    </w:p>
    <w:p w14:paraId="24CE7E3E">
      <w:pPr>
        <w:pStyle w:val="8"/>
        <w:spacing w:before="93"/>
        <w:rPr>
          <w:sz w:val="32"/>
        </w:rPr>
      </w:pPr>
    </w:p>
    <w:p w14:paraId="0F955A39">
      <w:pPr>
        <w:pStyle w:val="8"/>
        <w:spacing w:before="93"/>
        <w:rPr>
          <w:sz w:val="32"/>
        </w:rPr>
      </w:pPr>
    </w:p>
    <w:p w14:paraId="740EE165">
      <w:pPr>
        <w:pStyle w:val="5"/>
        <w:keepNext/>
        <w:keepLines/>
        <w:adjustRightInd/>
        <w:snapToGrid/>
        <w:spacing w:after="330" w:line="578" w:lineRule="auto"/>
        <w:ind w:firstLine="0" w:firstLineChars="0"/>
        <w:rPr>
          <w:rFonts w:hint="eastAsia" w:ascii="Nimbus Roman No9 L" w:hAnsi="Nimbus Roman No9 L" w:eastAsia="方正小标宋简体" w:cs="Nimbus Roman No9 L"/>
          <w:bCs/>
          <w:kern w:val="44"/>
          <w:sz w:val="44"/>
          <w:szCs w:val="44"/>
        </w:rPr>
      </w:pPr>
      <w:bookmarkStart w:id="53" w:name="_Toc15396618"/>
      <w:r>
        <w:rPr>
          <w:rFonts w:ascii="Nimbus Roman No9 L" w:hAnsi="Nimbus Roman No9 L" w:eastAsia="方正小标宋简体" w:cs="Nimbus Roman No9 L"/>
          <w:bCs/>
          <w:kern w:val="44"/>
          <w:sz w:val="44"/>
          <w:szCs w:val="44"/>
        </w:rPr>
        <w:t>第</w:t>
      </w:r>
      <w:r>
        <w:rPr>
          <w:rFonts w:hint="eastAsia" w:ascii="Nimbus Roman No9 L" w:hAnsi="Nimbus Roman No9 L" w:eastAsia="方正小标宋简体" w:cs="Nimbus Roman No9 L"/>
          <w:bCs/>
          <w:kern w:val="44"/>
          <w:sz w:val="44"/>
          <w:szCs w:val="44"/>
        </w:rPr>
        <w:t>五部分</w:t>
      </w:r>
      <w:r>
        <w:rPr>
          <w:rFonts w:hint="eastAsia" w:ascii="Nimbus Roman No9 L" w:hAnsi="Nimbus Roman No9 L" w:eastAsia="方正小标宋简体" w:cs="Nimbus Roman No9 L"/>
          <w:bCs/>
          <w:kern w:val="44"/>
          <w:sz w:val="44"/>
          <w:szCs w:val="44"/>
          <w:lang w:val="en-US" w:eastAsia="zh-CN"/>
        </w:rPr>
        <w:t xml:space="preserve">  </w:t>
      </w:r>
      <w:r>
        <w:rPr>
          <w:rFonts w:hint="eastAsia" w:ascii="Nimbus Roman No9 L" w:hAnsi="Nimbus Roman No9 L" w:eastAsia="方正小标宋简体" w:cs="Nimbus Roman No9 L"/>
          <w:bCs/>
          <w:kern w:val="44"/>
          <w:sz w:val="44"/>
          <w:szCs w:val="44"/>
        </w:rPr>
        <w:t>附表</w:t>
      </w:r>
      <w:bookmarkEnd w:id="52"/>
      <w:bookmarkEnd w:id="53"/>
      <w:bookmarkStart w:id="54" w:name="_Toc15396619"/>
    </w:p>
    <w:p w14:paraId="69F70BF3">
      <w:pPr>
        <w:pStyle w:val="15"/>
        <w:spacing w:line="560" w:lineRule="exact"/>
        <w:ind w:left="640"/>
        <w:rPr>
          <w:rFonts w:eastAsia="仿宋_GB2312"/>
        </w:rPr>
      </w:pPr>
      <w:r>
        <w:rPr>
          <w:rFonts w:eastAsia="仿宋_GB2312"/>
        </w:rPr>
        <w:t>一、收入支出决算总表</w:t>
      </w:r>
      <w:bookmarkEnd w:id="54"/>
    </w:p>
    <w:p w14:paraId="0785521A">
      <w:pPr>
        <w:pStyle w:val="15"/>
        <w:spacing w:line="560" w:lineRule="exact"/>
        <w:ind w:left="640"/>
        <w:rPr>
          <w:rFonts w:eastAsia="仿宋_GB2312"/>
        </w:rPr>
      </w:pPr>
      <w:bookmarkStart w:id="55" w:name="_Toc15396620"/>
      <w:r>
        <w:rPr>
          <w:rFonts w:eastAsia="仿宋_GB2312"/>
        </w:rPr>
        <w:t>二、收入决算表</w:t>
      </w:r>
      <w:bookmarkEnd w:id="55"/>
    </w:p>
    <w:p w14:paraId="40C30A3F">
      <w:pPr>
        <w:pStyle w:val="15"/>
        <w:spacing w:line="560" w:lineRule="exact"/>
        <w:ind w:left="640"/>
        <w:rPr>
          <w:rFonts w:eastAsia="仿宋_GB2312"/>
        </w:rPr>
      </w:pPr>
      <w:bookmarkStart w:id="56" w:name="_Toc15396621"/>
      <w:r>
        <w:rPr>
          <w:rFonts w:eastAsia="仿宋_GB2312"/>
        </w:rPr>
        <w:t>三、支出决算表</w:t>
      </w:r>
      <w:bookmarkEnd w:id="56"/>
    </w:p>
    <w:p w14:paraId="3125C570">
      <w:pPr>
        <w:pStyle w:val="15"/>
        <w:spacing w:line="560" w:lineRule="exact"/>
        <w:ind w:left="640"/>
        <w:rPr>
          <w:rFonts w:eastAsia="仿宋_GB2312"/>
        </w:rPr>
      </w:pPr>
      <w:bookmarkStart w:id="57" w:name="_Toc15396622"/>
      <w:r>
        <w:rPr>
          <w:rFonts w:eastAsia="仿宋_GB2312"/>
        </w:rPr>
        <w:t>四、财政拨款收入支出决算总表</w:t>
      </w:r>
      <w:bookmarkEnd w:id="57"/>
    </w:p>
    <w:p w14:paraId="513A4A76">
      <w:pPr>
        <w:pStyle w:val="15"/>
        <w:spacing w:line="560" w:lineRule="exact"/>
        <w:ind w:left="640"/>
        <w:rPr>
          <w:rFonts w:eastAsia="仿宋_GB2312"/>
        </w:rPr>
      </w:pPr>
      <w:bookmarkStart w:id="58" w:name="_Toc15396623"/>
      <w:r>
        <w:rPr>
          <w:rFonts w:eastAsia="仿宋_GB2312"/>
        </w:rPr>
        <w:t>五、财政拨款支出决算明细表</w:t>
      </w:r>
      <w:bookmarkEnd w:id="58"/>
      <w:bookmarkStart w:id="59" w:name="_Toc15396624"/>
    </w:p>
    <w:p w14:paraId="533D9AFD">
      <w:pPr>
        <w:pStyle w:val="15"/>
        <w:spacing w:line="560" w:lineRule="exact"/>
        <w:ind w:left="640"/>
        <w:rPr>
          <w:rFonts w:eastAsia="仿宋_GB2312"/>
        </w:rPr>
      </w:pPr>
      <w:r>
        <w:rPr>
          <w:rFonts w:eastAsia="仿宋_GB2312"/>
        </w:rPr>
        <w:t>六、一般公共预算财政拨款支出决算表</w:t>
      </w:r>
      <w:bookmarkEnd w:id="59"/>
    </w:p>
    <w:p w14:paraId="173A246C">
      <w:pPr>
        <w:pStyle w:val="15"/>
        <w:spacing w:line="560" w:lineRule="exact"/>
        <w:ind w:left="640"/>
        <w:rPr>
          <w:rFonts w:eastAsia="仿宋_GB2312"/>
        </w:rPr>
      </w:pPr>
      <w:bookmarkStart w:id="60" w:name="_Toc15396625"/>
      <w:r>
        <w:rPr>
          <w:rFonts w:eastAsia="仿宋_GB2312"/>
        </w:rPr>
        <w:t>七、一般公共预算财政拨款支出决算明细表</w:t>
      </w:r>
      <w:bookmarkEnd w:id="60"/>
    </w:p>
    <w:p w14:paraId="46DA5756">
      <w:pPr>
        <w:pStyle w:val="15"/>
        <w:spacing w:line="560" w:lineRule="exact"/>
        <w:ind w:left="640"/>
        <w:rPr>
          <w:rFonts w:eastAsia="仿宋_GB2312"/>
        </w:rPr>
      </w:pPr>
      <w:bookmarkStart w:id="61" w:name="_Toc15396626"/>
      <w:r>
        <w:rPr>
          <w:rFonts w:eastAsia="仿宋_GB2312"/>
        </w:rPr>
        <w:t>八、一般公共预算财政拨款基本支出决算表</w:t>
      </w:r>
      <w:bookmarkEnd w:id="61"/>
    </w:p>
    <w:p w14:paraId="48350D14">
      <w:pPr>
        <w:pStyle w:val="15"/>
        <w:spacing w:line="560" w:lineRule="exact"/>
        <w:ind w:left="640"/>
        <w:rPr>
          <w:rFonts w:eastAsia="仿宋_GB2312"/>
        </w:rPr>
      </w:pPr>
      <w:bookmarkStart w:id="62" w:name="_Toc15396627"/>
      <w:r>
        <w:rPr>
          <w:rFonts w:eastAsia="仿宋_GB2312"/>
        </w:rPr>
        <w:t>九、一般公共预算财政拨款项目支出决算表</w:t>
      </w:r>
      <w:bookmarkEnd w:id="62"/>
    </w:p>
    <w:p w14:paraId="1DC7A287">
      <w:pPr>
        <w:pStyle w:val="15"/>
        <w:spacing w:line="560" w:lineRule="exact"/>
        <w:ind w:left="640"/>
        <w:rPr>
          <w:rFonts w:eastAsia="仿宋_GB2312"/>
        </w:rPr>
      </w:pPr>
      <w:bookmarkStart w:id="63" w:name="_Toc15396628"/>
      <w:r>
        <w:rPr>
          <w:rFonts w:eastAsia="仿宋_GB2312"/>
        </w:rPr>
        <w:t>十、</w:t>
      </w:r>
      <w:bookmarkEnd w:id="63"/>
      <w:r>
        <w:rPr>
          <w:rFonts w:eastAsia="仿宋_GB2312"/>
        </w:rPr>
        <w:t>政府性基金预算财政拨款收入支出决算表</w:t>
      </w:r>
    </w:p>
    <w:p w14:paraId="3E546489">
      <w:pPr>
        <w:pStyle w:val="15"/>
        <w:spacing w:line="560" w:lineRule="exact"/>
        <w:ind w:left="640"/>
        <w:rPr>
          <w:rFonts w:eastAsia="仿宋_GB2312"/>
        </w:rPr>
      </w:pPr>
      <w:bookmarkStart w:id="64" w:name="_Toc15396629"/>
      <w:r>
        <w:rPr>
          <w:rFonts w:eastAsia="仿宋_GB2312"/>
        </w:rPr>
        <w:t>十一、</w:t>
      </w:r>
      <w:bookmarkEnd w:id="64"/>
      <w:r>
        <w:rPr>
          <w:rFonts w:eastAsia="仿宋_GB2312"/>
        </w:rPr>
        <w:t>国有资本经营预算财政拨款收入支出决算表</w:t>
      </w:r>
    </w:p>
    <w:p w14:paraId="2E4B69A6">
      <w:pPr>
        <w:pStyle w:val="15"/>
        <w:spacing w:line="560" w:lineRule="exact"/>
        <w:ind w:left="640"/>
        <w:rPr>
          <w:rFonts w:eastAsia="仿宋_GB2312"/>
        </w:rPr>
      </w:pPr>
      <w:bookmarkStart w:id="65" w:name="_Toc15396630"/>
      <w:r>
        <w:rPr>
          <w:rFonts w:eastAsia="仿宋_GB2312"/>
        </w:rPr>
        <w:t>十二、</w:t>
      </w:r>
      <w:bookmarkEnd w:id="65"/>
      <w:r>
        <w:rPr>
          <w:rFonts w:eastAsia="仿宋_GB2312"/>
        </w:rPr>
        <w:t>国有资本经营预算财政拨款支出决算表</w:t>
      </w:r>
    </w:p>
    <w:p w14:paraId="14C7AF30">
      <w:pPr>
        <w:pStyle w:val="15"/>
        <w:spacing w:line="560" w:lineRule="exact"/>
        <w:ind w:left="640"/>
        <w:rPr>
          <w:rFonts w:eastAsia="仿宋_GB2312"/>
        </w:rPr>
      </w:pPr>
      <w:bookmarkStart w:id="66" w:name="_Toc15396631"/>
      <w:r>
        <w:rPr>
          <w:rFonts w:eastAsia="仿宋_GB2312"/>
        </w:rPr>
        <w:t>十三、</w:t>
      </w:r>
      <w:bookmarkEnd w:id="66"/>
      <w:r>
        <w:rPr>
          <w:rFonts w:eastAsia="仿宋_GB2312"/>
        </w:rPr>
        <w:t>财政拨款“三公”经费支出决算表</w:t>
      </w:r>
    </w:p>
    <w:p w14:paraId="421E2F1B"/>
    <w:p w14:paraId="79F81EC6"/>
    <w:sectPr>
      <w:footerReference r:id="rId12"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Arial Unicode MS"/>
    <w:panose1 w:val="02000000000000000000"/>
    <w:charset w:val="86"/>
    <w:family w:val="script"/>
    <w:pitch w:val="default"/>
    <w:sig w:usb0="00000000" w:usb1="00000000" w:usb2="00000000" w:usb3="00000000" w:csb0="00040000" w:csb1="00000000"/>
  </w:font>
  <w:font w:name="方正小标宋_GBK">
    <w:altName w:val="Arial Unicode MS"/>
    <w:panose1 w:val="02000000000000000000"/>
    <w:charset w:val="86"/>
    <w:family w:val="script"/>
    <w:pitch w:val="default"/>
    <w:sig w:usb0="00000000" w:usb1="00000000" w:usb2="00082016" w:usb3="00000000" w:csb0="00040001" w:csb1="00000000"/>
  </w:font>
  <w:font w:name="方正黑体_GBK">
    <w:altName w:val="Arial Unicode MS"/>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穝灿砰">
    <w:altName w:val="黑体"/>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
    <w:altName w:val="仿宋"/>
    <w:panose1 w:val="00000000000000000000"/>
    <w:charset w:val="00"/>
    <w:family w:val="roman"/>
    <w:pitch w:val="default"/>
    <w:sig w:usb0="00000000" w:usb1="00000000" w:usb2="00000000" w:usb3="00000000" w:csb0="0000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Nimbus Roman No9 L">
    <w:altName w:val="Segoe Print"/>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31E09">
    <w:pPr>
      <w:pStyle w:val="12"/>
      <w:tabs>
        <w:tab w:val="left" w:pos="3519"/>
        <w:tab w:val="clear" w:pos="4153"/>
      </w:tabs>
      <w:ind w:firstLine="360"/>
    </w:pPr>
    <w:r>
      <w:rPr>
        <w:sz w:val="18"/>
      </w:rPr>
      <w:pict>
        <v:shape id="_x0000_s3093" o:spid="_x0000_s3093" o:spt="202" type="#_x0000_t202" style="position:absolute;left:0pt;margin-left:197.15pt;margin-top:0pt;height:144pt;width:144pt;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14:paraId="2D491983"/>
            </w:txbxContent>
          </v:textbox>
        </v:shape>
      </w:pict>
    </w:r>
    <w:r>
      <w:pict>
        <v:shape id="_x0000_s3090" o:spid="_x0000_s3090"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joinstyle="miter"/>
          <v:imagedata o:title=""/>
          <o:lock v:ext="edit"/>
          <v:textbox inset="0mm,0mm,0mm,0mm" style="mso-fit-shape-to-text:t;">
            <w:txbxContent>
              <w:p w14:paraId="1FE32ACC">
                <w:pPr>
                  <w:pStyle w:val="12"/>
                  <w:ind w:firstLine="360"/>
                </w:pPr>
              </w:p>
            </w:txbxContent>
          </v:textbox>
        </v:shape>
      </w:pic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18127">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862BF">
    <w:pPr>
      <w:pStyle w:val="12"/>
      <w:ind w:firstLine="360"/>
    </w:pPr>
    <w:r>
      <w:pict>
        <v:shape id="_x0000_s3088" o:spid="_x0000_s3088" o:spt="202" type="#_x0000_t202" style="position:absolute;left:0pt;margin-top:0pt;height:144pt;width:144pt;mso-position-horizontal:outside;mso-position-horizontal-relative:margin;mso-wrap-style:none;z-index:251664384;mso-width-relative:page;mso-height-relative:page;" filled="f" stroked="f" coordsize="21600,21600">
          <v:path/>
          <v:fill on="f" focussize="0,0"/>
          <v:stroke on="f" joinstyle="miter"/>
          <v:imagedata o:title=""/>
          <o:lock v:ext="edit"/>
          <v:textbox inset="0mm,0mm,0mm,0mm" style="mso-fit-shape-to-text:t;">
            <w:txbxContent>
              <w:p w14:paraId="69A4DFDF">
                <w:pPr>
                  <w:pStyle w:val="12"/>
                  <w:ind w:firstLine="56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BF9E8">
    <w:pPr>
      <w:pStyle w:val="12"/>
      <w:tabs>
        <w:tab w:val="left" w:pos="3519"/>
        <w:tab w:val="clear" w:pos="4153"/>
      </w:tabs>
      <w:ind w:firstLine="360"/>
    </w:pPr>
    <w:r>
      <w:rPr>
        <w:sz w:val="18"/>
      </w:rPr>
      <w:pict>
        <v:shape id="_x0000_s3094" o:spid="_x0000_s3094"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14:paraId="72ADD52C"/>
            </w:txbxContent>
          </v:textbox>
        </v:shape>
      </w:pict>
    </w:r>
    <w:r>
      <w:pict>
        <v:shape id="_x0000_s3091" o:spid="_x0000_s3091"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joinstyle="miter"/>
          <v:imagedata o:title=""/>
          <o:lock v:ext="edit"/>
          <v:textbox inset="0mm,0mm,0mm,0mm" style="mso-fit-shape-to-text:t;">
            <w:txbxContent>
              <w:p w14:paraId="4F94B08F">
                <w:pPr>
                  <w:pStyle w:val="12"/>
                  <w:ind w:firstLine="360"/>
                </w:pPr>
              </w:p>
            </w:txbxContent>
          </v:textbox>
        </v:shape>
      </w:pict>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A4212">
    <w:pPr>
      <w:pStyle w:val="12"/>
      <w:tabs>
        <w:tab w:val="left" w:pos="3519"/>
        <w:tab w:val="clear" w:pos="4153"/>
      </w:tabs>
      <w:ind w:firstLine="360"/>
    </w:pPr>
    <w:r>
      <w:rPr>
        <w:sz w:val="18"/>
      </w:rPr>
      <w:pict>
        <v:shape id="_x0000_s3095" o:spid="_x0000_s3095"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14:paraId="2313C8CF">
                <w:pPr>
                  <w:pStyle w:val="12"/>
                </w:pPr>
                <w:r>
                  <w:fldChar w:fldCharType="begin"/>
                </w:r>
                <w:r>
                  <w:instrText xml:space="preserve"> PAGE  \* MERGEFORMAT </w:instrText>
                </w:r>
                <w:r>
                  <w:fldChar w:fldCharType="separate"/>
                </w:r>
                <w:r>
                  <w:t>1</w:t>
                </w:r>
                <w:r>
                  <w:fldChar w:fldCharType="end"/>
                </w:r>
              </w:p>
            </w:txbxContent>
          </v:textbox>
        </v:shape>
      </w:pict>
    </w:r>
    <w:r>
      <w:pict>
        <v:shape id="_x0000_s3089" o:spid="_x0000_s3089"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joinstyle="miter"/>
          <v:imagedata o:title=""/>
          <o:lock v:ext="edit"/>
          <v:textbox inset="0mm,0mm,0mm,0mm" style="mso-fit-shape-to-text:t;">
            <w:txbxContent>
              <w:p w14:paraId="7F24BA64">
                <w:pPr>
                  <w:pStyle w:val="12"/>
                  <w:ind w:firstLine="360"/>
                </w:pPr>
                <w:r>
                  <w:rPr>
                    <w:rFonts w:hint="eastAsia"/>
                  </w:rPr>
                  <w:t>5</w:t>
                </w:r>
              </w:p>
            </w:txbxContent>
          </v:textbox>
        </v:shape>
      </w:pic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53" w:lineRule="auto"/>
        <w:ind w:firstLine="640"/>
      </w:pPr>
      <w:r>
        <w:separator/>
      </w:r>
    </w:p>
  </w:footnote>
  <w:footnote w:type="continuationSeparator" w:id="1">
    <w:p>
      <w:pPr>
        <w:spacing w:line="353"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94862">
    <w:pPr>
      <w:pStyle w:val="1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155A9">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41DCF">
    <w:pPr>
      <w:pStyle w:val="1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10F1F"/>
    <w:rsid w:val="000222C6"/>
    <w:rsid w:val="00024FD5"/>
    <w:rsid w:val="0002549F"/>
    <w:rsid w:val="000468DB"/>
    <w:rsid w:val="0006487A"/>
    <w:rsid w:val="00065F8F"/>
    <w:rsid w:val="00070A43"/>
    <w:rsid w:val="000768F2"/>
    <w:rsid w:val="0009184B"/>
    <w:rsid w:val="00094236"/>
    <w:rsid w:val="0009593C"/>
    <w:rsid w:val="00097322"/>
    <w:rsid w:val="000A598D"/>
    <w:rsid w:val="000A6A92"/>
    <w:rsid w:val="000B047F"/>
    <w:rsid w:val="000B5923"/>
    <w:rsid w:val="000B5A48"/>
    <w:rsid w:val="000B6FF3"/>
    <w:rsid w:val="000C3467"/>
    <w:rsid w:val="000C3CA6"/>
    <w:rsid w:val="000D1267"/>
    <w:rsid w:val="000D1D50"/>
    <w:rsid w:val="000D5782"/>
    <w:rsid w:val="000E6613"/>
    <w:rsid w:val="000E7119"/>
    <w:rsid w:val="00114E9B"/>
    <w:rsid w:val="00122188"/>
    <w:rsid w:val="00142216"/>
    <w:rsid w:val="00144D6A"/>
    <w:rsid w:val="0014729F"/>
    <w:rsid w:val="00157BAB"/>
    <w:rsid w:val="001654D1"/>
    <w:rsid w:val="001655C0"/>
    <w:rsid w:val="00167C94"/>
    <w:rsid w:val="00174518"/>
    <w:rsid w:val="0018106D"/>
    <w:rsid w:val="001829F1"/>
    <w:rsid w:val="001876AC"/>
    <w:rsid w:val="001877A7"/>
    <w:rsid w:val="00191536"/>
    <w:rsid w:val="00196687"/>
    <w:rsid w:val="001A6047"/>
    <w:rsid w:val="001C0962"/>
    <w:rsid w:val="001D7531"/>
    <w:rsid w:val="001E737D"/>
    <w:rsid w:val="001F0592"/>
    <w:rsid w:val="001F7506"/>
    <w:rsid w:val="002006CD"/>
    <w:rsid w:val="00202B36"/>
    <w:rsid w:val="00204B7A"/>
    <w:rsid w:val="00204CDE"/>
    <w:rsid w:val="0020718A"/>
    <w:rsid w:val="0020773E"/>
    <w:rsid w:val="0021101A"/>
    <w:rsid w:val="00220536"/>
    <w:rsid w:val="00223B76"/>
    <w:rsid w:val="00235629"/>
    <w:rsid w:val="002554A0"/>
    <w:rsid w:val="00260C38"/>
    <w:rsid w:val="002616C0"/>
    <w:rsid w:val="00265372"/>
    <w:rsid w:val="002662AA"/>
    <w:rsid w:val="00280496"/>
    <w:rsid w:val="00294DC9"/>
    <w:rsid w:val="00295495"/>
    <w:rsid w:val="0029703D"/>
    <w:rsid w:val="002A31DE"/>
    <w:rsid w:val="002B2613"/>
    <w:rsid w:val="002D6D05"/>
    <w:rsid w:val="002F1818"/>
    <w:rsid w:val="002F567B"/>
    <w:rsid w:val="002F616F"/>
    <w:rsid w:val="00317096"/>
    <w:rsid w:val="003216A9"/>
    <w:rsid w:val="003236CB"/>
    <w:rsid w:val="00325E97"/>
    <w:rsid w:val="00332F8C"/>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73CD"/>
    <w:rsid w:val="00434489"/>
    <w:rsid w:val="00437085"/>
    <w:rsid w:val="00443880"/>
    <w:rsid w:val="004464F4"/>
    <w:rsid w:val="00471401"/>
    <w:rsid w:val="00473F31"/>
    <w:rsid w:val="0048263A"/>
    <w:rsid w:val="00487E5D"/>
    <w:rsid w:val="004A5CC4"/>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A1AB1"/>
    <w:rsid w:val="005A43AC"/>
    <w:rsid w:val="005A7652"/>
    <w:rsid w:val="005B5C64"/>
    <w:rsid w:val="005B73EA"/>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053A8"/>
    <w:rsid w:val="007127B7"/>
    <w:rsid w:val="0071798E"/>
    <w:rsid w:val="007218B8"/>
    <w:rsid w:val="007416B6"/>
    <w:rsid w:val="00746F48"/>
    <w:rsid w:val="0075404D"/>
    <w:rsid w:val="0076182A"/>
    <w:rsid w:val="00767B7E"/>
    <w:rsid w:val="007770C3"/>
    <w:rsid w:val="00784D24"/>
    <w:rsid w:val="00785FBA"/>
    <w:rsid w:val="00786491"/>
    <w:rsid w:val="00786E4A"/>
    <w:rsid w:val="007875EB"/>
    <w:rsid w:val="0079426B"/>
    <w:rsid w:val="007C63C4"/>
    <w:rsid w:val="007D1682"/>
    <w:rsid w:val="007D312A"/>
    <w:rsid w:val="007D3F19"/>
    <w:rsid w:val="007E23B0"/>
    <w:rsid w:val="007E23E5"/>
    <w:rsid w:val="007F109F"/>
    <w:rsid w:val="007F1991"/>
    <w:rsid w:val="007F2C2F"/>
    <w:rsid w:val="007F55FC"/>
    <w:rsid w:val="007F5665"/>
    <w:rsid w:val="00800112"/>
    <w:rsid w:val="00813348"/>
    <w:rsid w:val="008253BB"/>
    <w:rsid w:val="00830E8C"/>
    <w:rsid w:val="0083155B"/>
    <w:rsid w:val="0083706E"/>
    <w:rsid w:val="008408F6"/>
    <w:rsid w:val="008423A5"/>
    <w:rsid w:val="0084769D"/>
    <w:rsid w:val="00850625"/>
    <w:rsid w:val="00853718"/>
    <w:rsid w:val="00855221"/>
    <w:rsid w:val="00860645"/>
    <w:rsid w:val="00871F71"/>
    <w:rsid w:val="00872FD8"/>
    <w:rsid w:val="00885AF4"/>
    <w:rsid w:val="008939CD"/>
    <w:rsid w:val="008B768C"/>
    <w:rsid w:val="008C21AE"/>
    <w:rsid w:val="008C4DB1"/>
    <w:rsid w:val="008C4EAF"/>
    <w:rsid w:val="008C5176"/>
    <w:rsid w:val="008C7FD0"/>
    <w:rsid w:val="008E1DE7"/>
    <w:rsid w:val="008E707C"/>
    <w:rsid w:val="008F6674"/>
    <w:rsid w:val="00900B08"/>
    <w:rsid w:val="00902155"/>
    <w:rsid w:val="00902FA3"/>
    <w:rsid w:val="00910903"/>
    <w:rsid w:val="00923564"/>
    <w:rsid w:val="0092392E"/>
    <w:rsid w:val="0093097B"/>
    <w:rsid w:val="009315F9"/>
    <w:rsid w:val="00933499"/>
    <w:rsid w:val="00935C98"/>
    <w:rsid w:val="00946945"/>
    <w:rsid w:val="00947011"/>
    <w:rsid w:val="00951248"/>
    <w:rsid w:val="0095152F"/>
    <w:rsid w:val="00953192"/>
    <w:rsid w:val="00954C49"/>
    <w:rsid w:val="00955E37"/>
    <w:rsid w:val="0097099F"/>
    <w:rsid w:val="00971997"/>
    <w:rsid w:val="00971FFC"/>
    <w:rsid w:val="0098660A"/>
    <w:rsid w:val="00992B47"/>
    <w:rsid w:val="009931C3"/>
    <w:rsid w:val="009A2363"/>
    <w:rsid w:val="009B2C43"/>
    <w:rsid w:val="009B4EAE"/>
    <w:rsid w:val="009B6CA8"/>
    <w:rsid w:val="009B7573"/>
    <w:rsid w:val="009C22F4"/>
    <w:rsid w:val="009C2A4B"/>
    <w:rsid w:val="009C2E98"/>
    <w:rsid w:val="009D16F2"/>
    <w:rsid w:val="009D3447"/>
    <w:rsid w:val="009D4711"/>
    <w:rsid w:val="009E47AF"/>
    <w:rsid w:val="009F0F2A"/>
    <w:rsid w:val="009F1185"/>
    <w:rsid w:val="009F18CD"/>
    <w:rsid w:val="009F2A13"/>
    <w:rsid w:val="009F7527"/>
    <w:rsid w:val="00A04EB0"/>
    <w:rsid w:val="00A100EB"/>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20C4"/>
    <w:rsid w:val="00AB64C9"/>
    <w:rsid w:val="00AC3C6A"/>
    <w:rsid w:val="00AC6A09"/>
    <w:rsid w:val="00AD5620"/>
    <w:rsid w:val="00AD656B"/>
    <w:rsid w:val="00AD7C1B"/>
    <w:rsid w:val="00AE16BA"/>
    <w:rsid w:val="00AE1EBE"/>
    <w:rsid w:val="00AE3569"/>
    <w:rsid w:val="00B03C9D"/>
    <w:rsid w:val="00B060AE"/>
    <w:rsid w:val="00B10517"/>
    <w:rsid w:val="00B12FD3"/>
    <w:rsid w:val="00B142C5"/>
    <w:rsid w:val="00B14E76"/>
    <w:rsid w:val="00B15879"/>
    <w:rsid w:val="00B161B8"/>
    <w:rsid w:val="00B2048C"/>
    <w:rsid w:val="00B210AF"/>
    <w:rsid w:val="00B310B9"/>
    <w:rsid w:val="00B35F3F"/>
    <w:rsid w:val="00B36CBB"/>
    <w:rsid w:val="00B425E0"/>
    <w:rsid w:val="00B440AA"/>
    <w:rsid w:val="00B44B70"/>
    <w:rsid w:val="00B53C56"/>
    <w:rsid w:val="00B57DAF"/>
    <w:rsid w:val="00B67C54"/>
    <w:rsid w:val="00B77EA6"/>
    <w:rsid w:val="00B81598"/>
    <w:rsid w:val="00B841F1"/>
    <w:rsid w:val="00B926F9"/>
    <w:rsid w:val="00B944D6"/>
    <w:rsid w:val="00BB4DF0"/>
    <w:rsid w:val="00BC289F"/>
    <w:rsid w:val="00BC2D50"/>
    <w:rsid w:val="00BC5361"/>
    <w:rsid w:val="00BC5460"/>
    <w:rsid w:val="00BC6B50"/>
    <w:rsid w:val="00BD0E25"/>
    <w:rsid w:val="00BF5BD6"/>
    <w:rsid w:val="00C03E31"/>
    <w:rsid w:val="00C20248"/>
    <w:rsid w:val="00C33E72"/>
    <w:rsid w:val="00C34485"/>
    <w:rsid w:val="00C354B2"/>
    <w:rsid w:val="00C35554"/>
    <w:rsid w:val="00C42709"/>
    <w:rsid w:val="00C512CC"/>
    <w:rsid w:val="00C533CC"/>
    <w:rsid w:val="00C5751C"/>
    <w:rsid w:val="00C61BFC"/>
    <w:rsid w:val="00C62B85"/>
    <w:rsid w:val="00C65438"/>
    <w:rsid w:val="00C87FD8"/>
    <w:rsid w:val="00C91381"/>
    <w:rsid w:val="00C91CBB"/>
    <w:rsid w:val="00CB4E70"/>
    <w:rsid w:val="00CC09B6"/>
    <w:rsid w:val="00CC666F"/>
    <w:rsid w:val="00CD1E3F"/>
    <w:rsid w:val="00CD6806"/>
    <w:rsid w:val="00CE44F6"/>
    <w:rsid w:val="00CE49DA"/>
    <w:rsid w:val="00CE7B61"/>
    <w:rsid w:val="00D00095"/>
    <w:rsid w:val="00D114F0"/>
    <w:rsid w:val="00D20620"/>
    <w:rsid w:val="00D254F7"/>
    <w:rsid w:val="00D26091"/>
    <w:rsid w:val="00D2685C"/>
    <w:rsid w:val="00D34E7C"/>
    <w:rsid w:val="00D35489"/>
    <w:rsid w:val="00D36AFE"/>
    <w:rsid w:val="00D51276"/>
    <w:rsid w:val="00D61AA0"/>
    <w:rsid w:val="00D7035F"/>
    <w:rsid w:val="00D82E88"/>
    <w:rsid w:val="00D85669"/>
    <w:rsid w:val="00DA634F"/>
    <w:rsid w:val="00DA65AC"/>
    <w:rsid w:val="00DB1913"/>
    <w:rsid w:val="00DB2750"/>
    <w:rsid w:val="00DC410D"/>
    <w:rsid w:val="00DC5A81"/>
    <w:rsid w:val="00DC68CA"/>
    <w:rsid w:val="00DC7CBA"/>
    <w:rsid w:val="00DD73B7"/>
    <w:rsid w:val="00DE0FD8"/>
    <w:rsid w:val="00DF28BC"/>
    <w:rsid w:val="00DF34B9"/>
    <w:rsid w:val="00E01053"/>
    <w:rsid w:val="00E04602"/>
    <w:rsid w:val="00E07ACF"/>
    <w:rsid w:val="00E331A1"/>
    <w:rsid w:val="00E33202"/>
    <w:rsid w:val="00E336A9"/>
    <w:rsid w:val="00E34CB1"/>
    <w:rsid w:val="00E34F16"/>
    <w:rsid w:val="00E37EE5"/>
    <w:rsid w:val="00E472B1"/>
    <w:rsid w:val="00E50624"/>
    <w:rsid w:val="00E54633"/>
    <w:rsid w:val="00E568DF"/>
    <w:rsid w:val="00E64269"/>
    <w:rsid w:val="00E82267"/>
    <w:rsid w:val="00E853CE"/>
    <w:rsid w:val="00E867B6"/>
    <w:rsid w:val="00EA010F"/>
    <w:rsid w:val="00EB05E0"/>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24D2B"/>
    <w:rsid w:val="00F36D8F"/>
    <w:rsid w:val="00F40B09"/>
    <w:rsid w:val="00F40B9D"/>
    <w:rsid w:val="00F4153D"/>
    <w:rsid w:val="00F417B1"/>
    <w:rsid w:val="00F45853"/>
    <w:rsid w:val="00F568C7"/>
    <w:rsid w:val="00F602DF"/>
    <w:rsid w:val="00F62307"/>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ABD02FB"/>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E6FDB24"/>
    <w:rsid w:val="2F040D46"/>
    <w:rsid w:val="2F6B035B"/>
    <w:rsid w:val="2FAE5751"/>
    <w:rsid w:val="2FB1A395"/>
    <w:rsid w:val="2FD9A7D8"/>
    <w:rsid w:val="2FDBF714"/>
    <w:rsid w:val="2FDFD6B4"/>
    <w:rsid w:val="30AB6865"/>
    <w:rsid w:val="319F7F4E"/>
    <w:rsid w:val="32BD1EF1"/>
    <w:rsid w:val="3304709D"/>
    <w:rsid w:val="33A773CB"/>
    <w:rsid w:val="349D6851"/>
    <w:rsid w:val="36AA5135"/>
    <w:rsid w:val="36BE0DA7"/>
    <w:rsid w:val="376B6AA6"/>
    <w:rsid w:val="376D39B2"/>
    <w:rsid w:val="37C8786E"/>
    <w:rsid w:val="37CB3AA6"/>
    <w:rsid w:val="37DE06EA"/>
    <w:rsid w:val="37E16F03"/>
    <w:rsid w:val="37E796B6"/>
    <w:rsid w:val="37F53A3B"/>
    <w:rsid w:val="389B6C89"/>
    <w:rsid w:val="38D469F0"/>
    <w:rsid w:val="39627CCD"/>
    <w:rsid w:val="397BAF1F"/>
    <w:rsid w:val="3AB79AF3"/>
    <w:rsid w:val="3AE834C0"/>
    <w:rsid w:val="3B7EF35A"/>
    <w:rsid w:val="3B9FDB6C"/>
    <w:rsid w:val="3BF5BC2F"/>
    <w:rsid w:val="3BF69ED4"/>
    <w:rsid w:val="3C8B9D59"/>
    <w:rsid w:val="3CEBA265"/>
    <w:rsid w:val="3D77CF87"/>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5FFF8A6C"/>
    <w:rsid w:val="62BF3928"/>
    <w:rsid w:val="63B3701E"/>
    <w:rsid w:val="647F5392"/>
    <w:rsid w:val="65E66580"/>
    <w:rsid w:val="664B1D71"/>
    <w:rsid w:val="664B4E8E"/>
    <w:rsid w:val="67277B67"/>
    <w:rsid w:val="67AA3209"/>
    <w:rsid w:val="698D0931"/>
    <w:rsid w:val="69F7C57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A8ABB1"/>
    <w:rsid w:val="6FCE6052"/>
    <w:rsid w:val="6FCED744"/>
    <w:rsid w:val="6FD57C00"/>
    <w:rsid w:val="6FEC05CE"/>
    <w:rsid w:val="6FEFFFD8"/>
    <w:rsid w:val="6FF5CC65"/>
    <w:rsid w:val="6FFB47EC"/>
    <w:rsid w:val="6FFE995D"/>
    <w:rsid w:val="6FFF034A"/>
    <w:rsid w:val="70484440"/>
    <w:rsid w:val="70FFA858"/>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5F3DA4"/>
    <w:rsid w:val="776F6FFA"/>
    <w:rsid w:val="778769C8"/>
    <w:rsid w:val="77A75DCA"/>
    <w:rsid w:val="77AF08BC"/>
    <w:rsid w:val="77B7AC6E"/>
    <w:rsid w:val="77BF442B"/>
    <w:rsid w:val="77DC22F5"/>
    <w:rsid w:val="77FF1A0A"/>
    <w:rsid w:val="783E271A"/>
    <w:rsid w:val="78616DE9"/>
    <w:rsid w:val="78E875D7"/>
    <w:rsid w:val="79086DAD"/>
    <w:rsid w:val="79D7FD79"/>
    <w:rsid w:val="79EE5BA4"/>
    <w:rsid w:val="7A894339"/>
    <w:rsid w:val="7AD284E8"/>
    <w:rsid w:val="7AF31026"/>
    <w:rsid w:val="7AFF7572"/>
    <w:rsid w:val="7B6C7DFB"/>
    <w:rsid w:val="7BBF9682"/>
    <w:rsid w:val="7BBFBED0"/>
    <w:rsid w:val="7BC3E394"/>
    <w:rsid w:val="7C1F3737"/>
    <w:rsid w:val="7CBFC87B"/>
    <w:rsid w:val="7CFE0F48"/>
    <w:rsid w:val="7CFE621E"/>
    <w:rsid w:val="7D272ABC"/>
    <w:rsid w:val="7D7EC23E"/>
    <w:rsid w:val="7E8ADEBF"/>
    <w:rsid w:val="7EEF11D3"/>
    <w:rsid w:val="7EFE4840"/>
    <w:rsid w:val="7F0971A6"/>
    <w:rsid w:val="7F1D62E7"/>
    <w:rsid w:val="7F3F679B"/>
    <w:rsid w:val="7F4FC4EF"/>
    <w:rsid w:val="7F5E4D54"/>
    <w:rsid w:val="7F6E0135"/>
    <w:rsid w:val="7F79F205"/>
    <w:rsid w:val="7F7D3891"/>
    <w:rsid w:val="7FA30C79"/>
    <w:rsid w:val="7FA79C44"/>
    <w:rsid w:val="7FAF8ABF"/>
    <w:rsid w:val="7FB7269E"/>
    <w:rsid w:val="7FC96657"/>
    <w:rsid w:val="7FDA9588"/>
    <w:rsid w:val="7FDF220F"/>
    <w:rsid w:val="7FEDC5F7"/>
    <w:rsid w:val="7FEDD9DE"/>
    <w:rsid w:val="7FF5890D"/>
    <w:rsid w:val="7FF755FE"/>
    <w:rsid w:val="7FF93490"/>
    <w:rsid w:val="7FFFAC6A"/>
    <w:rsid w:val="92FBDF30"/>
    <w:rsid w:val="99FF2014"/>
    <w:rsid w:val="9FE616AE"/>
    <w:rsid w:val="A6DD0D7F"/>
    <w:rsid w:val="A7BF0518"/>
    <w:rsid w:val="ACFF4FBB"/>
    <w:rsid w:val="ADC6F725"/>
    <w:rsid w:val="B7CF06AB"/>
    <w:rsid w:val="B7CFA926"/>
    <w:rsid w:val="B7EEB079"/>
    <w:rsid w:val="B7F8786B"/>
    <w:rsid w:val="BABB6AA1"/>
    <w:rsid w:val="BB2F4199"/>
    <w:rsid w:val="BBCE1F05"/>
    <w:rsid w:val="BCFFB442"/>
    <w:rsid w:val="BD079C78"/>
    <w:rsid w:val="BD733540"/>
    <w:rsid w:val="BD7B1BCC"/>
    <w:rsid w:val="BE741CC2"/>
    <w:rsid w:val="BF3735D5"/>
    <w:rsid w:val="BF7E4DC3"/>
    <w:rsid w:val="BF7F09AC"/>
    <w:rsid w:val="BFB61E9E"/>
    <w:rsid w:val="BFD475C3"/>
    <w:rsid w:val="BFDE5EA6"/>
    <w:rsid w:val="BFFCA103"/>
    <w:rsid w:val="BFFF0558"/>
    <w:rsid w:val="CB6B7AE2"/>
    <w:rsid w:val="CF6FC6F3"/>
    <w:rsid w:val="CFBE780D"/>
    <w:rsid w:val="CFD3D3D7"/>
    <w:rsid w:val="CFDF1009"/>
    <w:rsid w:val="D4FB1051"/>
    <w:rsid w:val="D7D7B16A"/>
    <w:rsid w:val="D8D6DB89"/>
    <w:rsid w:val="D9FFBF42"/>
    <w:rsid w:val="DB6F4CAB"/>
    <w:rsid w:val="DB765DAD"/>
    <w:rsid w:val="DB777682"/>
    <w:rsid w:val="DCEE9126"/>
    <w:rsid w:val="DD1FB521"/>
    <w:rsid w:val="DEFBFEAE"/>
    <w:rsid w:val="DF1F3B80"/>
    <w:rsid w:val="DF6F9789"/>
    <w:rsid w:val="DF775EC3"/>
    <w:rsid w:val="DF7B81A3"/>
    <w:rsid w:val="DFE9BE81"/>
    <w:rsid w:val="DFEDDE36"/>
    <w:rsid w:val="DFFFA9E8"/>
    <w:rsid w:val="E4E52AE3"/>
    <w:rsid w:val="E5F4E9DC"/>
    <w:rsid w:val="E70FE695"/>
    <w:rsid w:val="EB2E368B"/>
    <w:rsid w:val="EB9D1DF7"/>
    <w:rsid w:val="ECFED1BC"/>
    <w:rsid w:val="ED1D69BB"/>
    <w:rsid w:val="ED7FD312"/>
    <w:rsid w:val="EEA840B5"/>
    <w:rsid w:val="EF2E1AC6"/>
    <w:rsid w:val="EF53993F"/>
    <w:rsid w:val="EF6F42BC"/>
    <w:rsid w:val="EF6FD633"/>
    <w:rsid w:val="EFBDFD2C"/>
    <w:rsid w:val="EFBFB2F4"/>
    <w:rsid w:val="EFBFFA21"/>
    <w:rsid w:val="F2BEBCB8"/>
    <w:rsid w:val="F36FB518"/>
    <w:rsid w:val="F3DE1A04"/>
    <w:rsid w:val="F3F722E5"/>
    <w:rsid w:val="F3F7F652"/>
    <w:rsid w:val="F4FBCD07"/>
    <w:rsid w:val="F7F826BC"/>
    <w:rsid w:val="F9AB8EFF"/>
    <w:rsid w:val="FA3D09FA"/>
    <w:rsid w:val="FA3F3A7C"/>
    <w:rsid w:val="FA5F1E70"/>
    <w:rsid w:val="FA5FDB97"/>
    <w:rsid w:val="FAFFC8A9"/>
    <w:rsid w:val="FB531778"/>
    <w:rsid w:val="FB7F486A"/>
    <w:rsid w:val="FBFF1273"/>
    <w:rsid w:val="FBFF5B2E"/>
    <w:rsid w:val="FBFFF342"/>
    <w:rsid w:val="FCFF1E51"/>
    <w:rsid w:val="FCFF9964"/>
    <w:rsid w:val="FD7FFE2B"/>
    <w:rsid w:val="FDEE196B"/>
    <w:rsid w:val="FDEF3FB6"/>
    <w:rsid w:val="FDFE6575"/>
    <w:rsid w:val="FDFF0306"/>
    <w:rsid w:val="FEA546D8"/>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tabs>
        <w:tab w:val="right" w:leader="dot" w:pos="8296"/>
      </w:tabs>
      <w:adjustRightInd w:val="0"/>
      <w:snapToGrid w:val="0"/>
      <w:spacing w:line="353" w:lineRule="auto"/>
      <w:ind w:firstLine="640" w:firstLineChars="200"/>
      <w:jc w:val="both"/>
    </w:pPr>
    <w:rPr>
      <w:rFonts w:ascii="Times New Roman" w:hAnsi="Times New Roman" w:eastAsia="方正仿宋_GBK" w:cs="Times New Roman"/>
      <w:kern w:val="2"/>
      <w:sz w:val="32"/>
      <w:szCs w:val="32"/>
      <w:lang w:val="en-US" w:eastAsia="zh-CN" w:bidi="ar-SA"/>
    </w:rPr>
  </w:style>
  <w:style w:type="paragraph" w:styleId="5">
    <w:name w:val="heading 1"/>
    <w:basedOn w:val="1"/>
    <w:next w:val="1"/>
    <w:link w:val="29"/>
    <w:qFormat/>
    <w:uiPriority w:val="9"/>
    <w:pPr>
      <w:spacing w:line="600" w:lineRule="exact"/>
      <w:jc w:val="center"/>
      <w:outlineLvl w:val="0"/>
    </w:pPr>
    <w:rPr>
      <w:rFonts w:ascii="方正小标宋_GBK" w:eastAsia="方正小标宋_GBK"/>
    </w:rPr>
  </w:style>
  <w:style w:type="paragraph" w:styleId="6">
    <w:name w:val="heading 2"/>
    <w:basedOn w:val="1"/>
    <w:next w:val="1"/>
    <w:link w:val="30"/>
    <w:unhideWhenUsed/>
    <w:qFormat/>
    <w:uiPriority w:val="9"/>
    <w:pPr>
      <w:keepNext/>
      <w:keepLines/>
      <w:spacing w:before="260" w:after="260" w:line="416" w:lineRule="auto"/>
      <w:outlineLvl w:val="1"/>
    </w:pPr>
    <w:rPr>
      <w:rFonts w:eastAsia="方正黑体_GBK"/>
    </w:rPr>
  </w:style>
  <w:style w:type="paragraph" w:styleId="7">
    <w:name w:val="heading 3"/>
    <w:basedOn w:val="1"/>
    <w:next w:val="1"/>
    <w:link w:val="33"/>
    <w:unhideWhenUsed/>
    <w:qFormat/>
    <w:uiPriority w:val="9"/>
    <w:pPr>
      <w:keepNext/>
      <w:keepLines/>
      <w:spacing w:before="260" w:after="260" w:line="416" w:lineRule="auto"/>
      <w:outlineLvl w:val="2"/>
    </w:pPr>
    <w:rPr>
      <w:b/>
      <w:bCs/>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jc w:val="left"/>
    </w:pPr>
    <w:rPr>
      <w:sz w:val="18"/>
      <w:szCs w:val="18"/>
    </w:rPr>
  </w:style>
  <w:style w:type="paragraph" w:styleId="3">
    <w:name w:val="Body Text First Indent 2"/>
    <w:basedOn w:val="4"/>
    <w:next w:val="1"/>
    <w:unhideWhenUsed/>
    <w:qFormat/>
    <w:uiPriority w:val="99"/>
    <w:pPr>
      <w:tabs>
        <w:tab w:val="right" w:leader="dot" w:pos="8296"/>
      </w:tabs>
      <w:ind w:firstLine="420"/>
    </w:pPr>
  </w:style>
  <w:style w:type="paragraph" w:styleId="4">
    <w:name w:val="Body Text Indent"/>
    <w:basedOn w:val="1"/>
    <w:next w:val="3"/>
    <w:qFormat/>
    <w:uiPriority w:val="0"/>
    <w:pPr>
      <w:spacing w:after="120"/>
      <w:ind w:left="200" w:leftChars="200"/>
    </w:pPr>
    <w:rPr>
      <w:rFonts w:ascii="仿宋_GB2312"/>
    </w:rPr>
  </w:style>
  <w:style w:type="paragraph" w:styleId="8">
    <w:name w:val="Body Text"/>
    <w:basedOn w:val="1"/>
    <w:next w:val="9"/>
    <w:link w:val="26"/>
    <w:qFormat/>
    <w:uiPriority w:val="99"/>
    <w:pPr>
      <w:spacing w:beforeLines="30"/>
    </w:pPr>
    <w:rPr>
      <w:rFonts w:ascii="仿宋_GB2312" w:eastAsia="仿宋_GB2312"/>
      <w:kern w:val="0"/>
      <w:sz w:val="30"/>
    </w:rPr>
  </w:style>
  <w:style w:type="paragraph" w:styleId="9">
    <w:name w:val="Title"/>
    <w:basedOn w:val="1"/>
    <w:next w:val="1"/>
    <w:qFormat/>
    <w:uiPriority w:val="0"/>
    <w:pPr>
      <w:spacing w:before="209" w:after="209" w:line="0" w:lineRule="atLeast"/>
      <w:jc w:val="center"/>
    </w:pPr>
    <w:rPr>
      <w:rFonts w:ascii="Arial" w:hAnsi="Arial" w:eastAsia="穝灿砰"/>
      <w:sz w:val="52"/>
    </w:rPr>
  </w:style>
  <w:style w:type="paragraph" w:styleId="10">
    <w:name w:val="toc 3"/>
    <w:basedOn w:val="1"/>
    <w:next w:val="1"/>
    <w:unhideWhenUsed/>
    <w:qFormat/>
    <w:uiPriority w:val="39"/>
    <w:pPr>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 w:val="clear" w:pos="8296"/>
      </w:tabs>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 w:val="clear" w:pos="8296"/>
      </w:tabs>
      <w:jc w:val="center"/>
    </w:pPr>
    <w:rPr>
      <w:rFonts w:ascii="Calibri" w:hAnsi="Calibri"/>
      <w:kern w:val="0"/>
      <w:sz w:val="18"/>
      <w:szCs w:val="18"/>
    </w:rPr>
  </w:style>
  <w:style w:type="paragraph" w:styleId="14">
    <w:name w:val="toc 1"/>
    <w:basedOn w:val="1"/>
    <w:next w:val="1"/>
    <w:unhideWhenUsed/>
    <w:qFormat/>
    <w:uiPriority w:val="39"/>
    <w:pPr>
      <w:tabs>
        <w:tab w:val="right" w:leader="hyphen" w:pos="8296"/>
      </w:tabs>
      <w:jc w:val="center"/>
    </w:pPr>
    <w:rPr>
      <w:rFonts w:ascii="仿宋" w:hAnsi="仿宋" w:eastAsia="仿宋"/>
      <w:b/>
      <w:sz w:val="28"/>
      <w:szCs w:val="28"/>
    </w:rPr>
  </w:style>
  <w:style w:type="paragraph" w:styleId="15">
    <w:name w:val="toc 2"/>
    <w:basedOn w:val="1"/>
    <w:next w:val="1"/>
    <w:unhideWhenUsed/>
    <w:qFormat/>
    <w:uiPriority w:val="39"/>
    <w:pPr>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pPr>
  </w:style>
  <w:style w:type="character" w:customStyle="1" w:styleId="29">
    <w:name w:val="标题 1 Char"/>
    <w:link w:val="5"/>
    <w:qFormat/>
    <w:uiPriority w:val="9"/>
    <w:rPr>
      <w:rFonts w:ascii="方正小标宋_GBK" w:hAnsi="Times New Roman" w:eastAsia="方正小标宋_GBK" w:cs="Times New Roman"/>
      <w:kern w:val="2"/>
      <w:sz w:val="32"/>
      <w:szCs w:val="32"/>
      <w:lang w:val="en-US" w:eastAsia="zh-CN" w:bidi="ar-SA"/>
    </w:rPr>
  </w:style>
  <w:style w:type="character" w:customStyle="1" w:styleId="30">
    <w:name w:val="标题 2 Char"/>
    <w:link w:val="6"/>
    <w:qFormat/>
    <w:uiPriority w:val="9"/>
    <w:rPr>
      <w:rFonts w:ascii="Times New Roman" w:hAnsi="Times New Roman" w:eastAsia="方正黑体_GBK" w:cs="Times New Roman"/>
      <w:kern w:val="2"/>
      <w:sz w:val="32"/>
      <w:szCs w:val="32"/>
      <w:lang w:val="en-US" w:eastAsia="zh-CN" w:bidi="ar-SA"/>
    </w:rPr>
  </w:style>
  <w:style w:type="paragraph" w:customStyle="1" w:styleId="31">
    <w:name w:val="TOC 标题1"/>
    <w:basedOn w:val="5"/>
    <w:next w:val="1"/>
    <w:unhideWhenUsed/>
    <w:qFormat/>
    <w:uiPriority w:val="39"/>
    <w:pPr>
      <w:widowControl/>
      <w:spacing w:before="48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标题2"/>
    <w:basedOn w:val="5"/>
    <w:next w:val="1"/>
    <w:unhideWhenUsed/>
    <w:qFormat/>
    <w:uiPriority w:val="39"/>
    <w:pPr>
      <w:widowControl/>
      <w:spacing w:before="48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chart" Target="charts/chart7.xml"/><Relationship Id="rId2" Type="http://schemas.openxmlformats.org/officeDocument/2006/relationships/settings" Target="settings.xml"/><Relationship Id="rId19" Type="http://schemas.openxmlformats.org/officeDocument/2006/relationships/chart" Target="charts/chart6.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E:\2026\2025&#20915;&#31639;&#20844;&#24320;\2024&#26609;&#29366;&#2227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2026\2025&#20915;&#31639;&#20844;&#24320;\2024&#26609;&#29366;&#2227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2026\2025&#20915;&#31639;&#20844;&#24320;\2024&#26609;&#29366;&#2227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2026\2025&#20915;&#31639;&#20844;&#24320;\2024&#26609;&#29366;&#2227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2026\2025&#20915;&#31639;&#20844;&#24320;\2024&#26609;&#29366;&#2227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2026\2025&#20915;&#31639;&#20844;&#24320;\2024&#26609;&#29366;&#2227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2026\2025&#20915;&#31639;&#20844;&#24320;\2024&#26609;&#29366;&#2227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收入、支出决算总计变动情况图</a:t>
            </a:r>
            <a:endParaRPr lang="zh-CN" altLang="en-US"/>
          </a:p>
        </c:rich>
      </c:tx>
      <c:layout/>
      <c:overlay val="0"/>
    </c:title>
    <c:autoTitleDeleted val="0"/>
    <c:plotArea>
      <c:layout>
        <c:manualLayout>
          <c:layoutTarget val="inner"/>
          <c:xMode val="edge"/>
          <c:yMode val="edge"/>
          <c:x val="0.146711635750422"/>
          <c:y val="0.234568608243538"/>
          <c:w val="0.817875210792581"/>
          <c:h val="0.484569361766258"/>
        </c:manualLayout>
      </c:layout>
      <c:barChart>
        <c:barDir val="col"/>
        <c:grouping val="clustered"/>
        <c:varyColors val="0"/>
        <c:ser>
          <c:idx val="0"/>
          <c:order val="0"/>
          <c:tx>
            <c:strRef>
              <c:f>图1!$B$1</c:f>
              <c:strCache>
                <c:ptCount val="1"/>
                <c:pt idx="0">
                  <c:v>2024年</c:v>
                </c:pt>
              </c:strCache>
            </c:strRef>
          </c:tx>
          <c:spPr>
            <a:solidFill>
              <a:srgbClr val="4F81BD"/>
            </a:solidFill>
            <a:ln w="25400">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图1!$A$2:$A$3</c:f>
              <c:strCache>
                <c:ptCount val="2"/>
                <c:pt idx="0">
                  <c:v>收入总计</c:v>
                </c:pt>
                <c:pt idx="1">
                  <c:v>支出总计</c:v>
                </c:pt>
              </c:strCache>
            </c:strRef>
          </c:cat>
          <c:val>
            <c:numRef>
              <c:f>图1!$B$2:$B$3</c:f>
              <c:numCache>
                <c:formatCode>General</c:formatCode>
                <c:ptCount val="2"/>
                <c:pt idx="0">
                  <c:v>236.34</c:v>
                </c:pt>
                <c:pt idx="1">
                  <c:v>236.34</c:v>
                </c:pt>
              </c:numCache>
            </c:numRef>
          </c:val>
        </c:ser>
        <c:ser>
          <c:idx val="1"/>
          <c:order val="1"/>
          <c:tx>
            <c:strRef>
              <c:f>图1!$C$1</c:f>
              <c:strCache>
                <c:ptCount val="1"/>
                <c:pt idx="0">
                  <c:v>2025年</c:v>
                </c:pt>
              </c:strCache>
            </c:strRef>
          </c:tx>
          <c:spPr>
            <a:gradFill rotWithShape="0">
              <a:gsLst>
                <a:gs pos="0">
                  <a:srgbClr val="9EE256"/>
                </a:gs>
                <a:gs pos="100000">
                  <a:srgbClr val="52762D"/>
                </a:gs>
              </a:gsLst>
              <a:lin ang="5400000"/>
            </a:gradFill>
            <a:ln w="25400">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图1!$A$2:$A$3</c:f>
              <c:strCache>
                <c:ptCount val="2"/>
                <c:pt idx="0">
                  <c:v>收入总计</c:v>
                </c:pt>
                <c:pt idx="1">
                  <c:v>支出总计</c:v>
                </c:pt>
              </c:strCache>
            </c:strRef>
          </c:cat>
          <c:val>
            <c:numRef>
              <c:f>图1!$C$2:$C$3</c:f>
              <c:numCache>
                <c:formatCode>General</c:formatCode>
                <c:ptCount val="2"/>
                <c:pt idx="0">
                  <c:v>231.27</c:v>
                </c:pt>
                <c:pt idx="1">
                  <c:v>231.27</c:v>
                </c:pt>
              </c:numCache>
            </c:numRef>
          </c:val>
        </c:ser>
        <c:dLbls>
          <c:showLegendKey val="0"/>
          <c:showVal val="1"/>
          <c:showCatName val="0"/>
          <c:showSerName val="0"/>
          <c:showPercent val="0"/>
          <c:showBubbleSize val="0"/>
        </c:dLbls>
        <c:gapWidth val="150"/>
        <c:axId val="132146304"/>
        <c:axId val="132147840"/>
      </c:barChart>
      <c:catAx>
        <c:axId val="13214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a:defRPr lang="zh-CN" sz="9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crossAx val="132147840"/>
        <c:crossesAt val="200"/>
        <c:auto val="1"/>
        <c:lblAlgn val="ctr"/>
        <c:lblOffset val="100"/>
        <c:noMultiLvlLbl val="0"/>
      </c:catAx>
      <c:valAx>
        <c:axId val="132147840"/>
        <c:scaling>
          <c:orientation val="minMax"/>
          <c:max val="300"/>
          <c:min val="20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9525" cap="flat" cmpd="sng" algn="ctr">
            <a:noFill/>
            <a:prstDash val="solid"/>
            <a:round/>
          </a:ln>
        </c:spPr>
        <c:txPr>
          <a:bodyPr rot="0" spcFirstLastPara="0" vertOverflow="ellipsis" vert="horz" wrap="square" anchor="ctr" anchorCtr="1"/>
          <a:lstStyle/>
          <a:p>
            <a:pPr>
              <a:defRPr lang="zh-CN" sz="9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crossAx val="132146304"/>
        <c:crosses val="autoZero"/>
        <c:crossBetween val="between"/>
      </c:valAx>
      <c:spPr>
        <a:noFill/>
        <a:ln w="25400">
          <a:noFill/>
        </a:ln>
      </c:spPr>
    </c:plotArea>
    <c:legend>
      <c:legendPos val="r"/>
      <c:layout/>
      <c:overlay val="0"/>
      <c:spPr>
        <a:noFill/>
        <a:ln w="25400">
          <a:noFill/>
        </a:ln>
      </c:spPr>
      <c:txPr>
        <a:bodyPr rot="0" spcFirstLastPara="0" vertOverflow="ellipsis" vert="horz" wrap="square" anchor="ctr" anchorCtr="1"/>
        <a:lstStyle/>
        <a:p>
          <a:pPr>
            <a:defRPr lang="zh-CN" sz="825"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86dd0b3c-1357-42d8-8057-e35a7517799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10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333333"/>
                </a:solidFill>
                <a:latin typeface="宋体" panose="02010600030101010101" charset="-122"/>
                <a:ea typeface="宋体" panose="02010600030101010101" charset="-122"/>
                <a:cs typeface="宋体" panose="02010600030101010101" charset="-122"/>
              </a:defRPr>
            </a:pPr>
            <a:r>
              <a:rPr lang="zh-CN" altLang="en-US"/>
              <a:t>收入决算结构图</a:t>
            </a:r>
            <a:endParaRPr lang="zh-CN" altLang="en-US"/>
          </a:p>
        </c:rich>
      </c:tx>
      <c:layout/>
      <c:overlay val="0"/>
      <c:spPr>
        <a:noFill/>
        <a:ln w="25400">
          <a:noFill/>
        </a:ln>
      </c:spPr>
    </c:title>
    <c:autoTitleDeleted val="0"/>
    <c:plotArea>
      <c:layout/>
      <c:pieChart>
        <c:varyColors val="1"/>
        <c:ser>
          <c:idx val="0"/>
          <c:order val="0"/>
          <c:explosion val="0"/>
          <c:dPt>
            <c:idx val="0"/>
            <c:bubble3D val="0"/>
            <c:spPr>
              <a:solidFill>
                <a:schemeClr val="accent1"/>
              </a:solidFill>
              <a:ln w="19050">
                <a:solidFill>
                  <a:schemeClr val="lt1"/>
                </a:solidFill>
              </a:ln>
              <a:effectLst/>
            </c:spPr>
          </c:dPt>
          <c:dLbls>
            <c:spPr>
              <a:noFill/>
              <a:ln w="25400">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3175" cap="flat" cmpd="sng" algn="ctr">
                      <a:solidFill>
                        <a:srgbClr val="969696"/>
                      </a:solidFill>
                      <a:prstDash val="solid"/>
                      <a:round/>
                    </a:ln>
                  </c:spPr>
                </c15:leaderLines>
              </c:ext>
            </c:extLst>
          </c:dLbls>
          <c:cat>
            <c:strRef>
              <c:f>图2!$A$1</c:f>
              <c:strCache>
                <c:ptCount val="1"/>
                <c:pt idx="0">
                  <c:v>一般公共预算财政拨款收入</c:v>
                </c:pt>
              </c:strCache>
            </c:strRef>
          </c:cat>
          <c:val>
            <c:numRef>
              <c:f>图2!$A$2</c:f>
              <c:numCache>
                <c:formatCode>0.00%</c:formatCode>
                <c:ptCount val="1"/>
                <c:pt idx="0">
                  <c:v>1</c:v>
                </c:pt>
              </c:numCache>
            </c:numRef>
          </c:val>
        </c:ser>
        <c:dLbls>
          <c:showLegendKey val="0"/>
          <c:showVal val="1"/>
          <c:showCatName val="0"/>
          <c:showSerName val="0"/>
          <c:showPercent val="0"/>
          <c:showBubbleSize val="0"/>
          <c:showLeaderLines val="1"/>
        </c:dLbls>
        <c:firstSliceAng val="0"/>
      </c:pieChart>
      <c:spPr>
        <a:noFill/>
        <a:ln w="25400">
          <a:noFill/>
        </a:ln>
      </c:spPr>
    </c:plotArea>
    <c:legend>
      <c:legendPos val="r"/>
      <c:layout/>
      <c:overlay val="0"/>
      <c:spPr>
        <a:noFill/>
        <a:ln w="25400">
          <a:noFill/>
        </a:ln>
      </c:spPr>
      <c:txPr>
        <a:bodyPr rot="0" spcFirstLastPara="0" vertOverflow="ellipsis" vert="horz" wrap="square" anchor="ctr" anchorCtr="1"/>
        <a:lstStyle/>
        <a:p>
          <a:pPr>
            <a:defRPr lang="zh-CN" sz="825"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4a083094-104e-4bc3-bdb2-076a811bc14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10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333333"/>
                </a:solidFill>
                <a:latin typeface="宋体" panose="02010600030101010101" charset="-122"/>
                <a:ea typeface="宋体" panose="02010600030101010101" charset="-122"/>
                <a:cs typeface="宋体" panose="02010600030101010101" charset="-122"/>
              </a:defRPr>
            </a:pPr>
            <a:r>
              <a:rPr lang="zh-CN" altLang="en-US"/>
              <a:t>支出决算结构图</a:t>
            </a:r>
            <a:endParaRPr lang="zh-CN" altLang="en-US"/>
          </a:p>
        </c:rich>
      </c:tx>
      <c:layout/>
      <c:overlay val="0"/>
      <c:spPr>
        <a:noFill/>
        <a:ln w="25400">
          <a:noFill/>
        </a:ln>
      </c:spPr>
    </c:title>
    <c:autoTitleDeleted val="0"/>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w="25400">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3175" cap="flat" cmpd="sng" algn="ctr">
                      <a:solidFill>
                        <a:srgbClr val="969696"/>
                      </a:solidFill>
                      <a:prstDash val="solid"/>
                      <a:round/>
                    </a:ln>
                  </c:spPr>
                </c15:leaderLines>
              </c:ext>
            </c:extLst>
          </c:dLbls>
          <c:cat>
            <c:strRef>
              <c:f>图3!$A$1:$B$1</c:f>
              <c:strCache>
                <c:ptCount val="2"/>
                <c:pt idx="0">
                  <c:v>基本支出</c:v>
                </c:pt>
                <c:pt idx="1">
                  <c:v>项目支出</c:v>
                </c:pt>
              </c:strCache>
            </c:strRef>
          </c:cat>
          <c:val>
            <c:numRef>
              <c:f>图3!$A$2:$B$2</c:f>
              <c:numCache>
                <c:formatCode>0.00%</c:formatCode>
                <c:ptCount val="2"/>
                <c:pt idx="0">
                  <c:v>0.887</c:v>
                </c:pt>
                <c:pt idx="1">
                  <c:v>0.113</c:v>
                </c:pt>
              </c:numCache>
            </c:numRef>
          </c:val>
        </c:ser>
        <c:dLbls>
          <c:showLegendKey val="0"/>
          <c:showVal val="1"/>
          <c:showCatName val="0"/>
          <c:showSerName val="0"/>
          <c:showPercent val="0"/>
          <c:showBubbleSize val="0"/>
          <c:showLeaderLines val="1"/>
        </c:dLbls>
        <c:firstSliceAng val="0"/>
      </c:pieChart>
      <c:spPr>
        <a:noFill/>
        <a:ln w="25400">
          <a:noFill/>
        </a:ln>
      </c:spPr>
    </c:plotArea>
    <c:legend>
      <c:legendPos val="r"/>
      <c:layout/>
      <c:overlay val="0"/>
      <c:spPr>
        <a:noFill/>
        <a:ln w="25400">
          <a:noFill/>
        </a:ln>
      </c:spPr>
      <c:txPr>
        <a:bodyPr rot="0" spcFirstLastPara="0" vertOverflow="ellipsis" vert="horz" wrap="square" anchor="ctr" anchorCtr="1"/>
        <a:lstStyle/>
        <a:p>
          <a:pPr>
            <a:defRPr lang="zh-CN" sz="825"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1729b545-4d61-4ca0-b8f7-b60cfff9db4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10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财政拨款收、支决算总计变动情况</a:t>
            </a:r>
            <a:endParaRPr lang="zh-CN" altLang="en-US"/>
          </a:p>
        </c:rich>
      </c:tx>
      <c:layout>
        <c:manualLayout>
          <c:xMode val="edge"/>
          <c:yMode val="edge"/>
          <c:x val="0.268391676416074"/>
          <c:y val="0.0286625263391372"/>
        </c:manualLayout>
      </c:layout>
      <c:overlay val="0"/>
    </c:title>
    <c:autoTitleDeleted val="0"/>
    <c:plotArea>
      <c:layout>
        <c:manualLayout>
          <c:layoutTarget val="inner"/>
          <c:xMode val="edge"/>
          <c:yMode val="edge"/>
          <c:x val="0.151919866444074"/>
          <c:y val="0.253521126760563"/>
          <c:w val="0.819699499165276"/>
          <c:h val="0.454225352112676"/>
        </c:manualLayout>
      </c:layout>
      <c:barChart>
        <c:barDir val="col"/>
        <c:grouping val="clustered"/>
        <c:varyColors val="0"/>
        <c:ser>
          <c:idx val="0"/>
          <c:order val="0"/>
          <c:tx>
            <c:strRef>
              <c:f>图4!$B$1</c:f>
              <c:strCache>
                <c:ptCount val="1"/>
                <c:pt idx="0">
                  <c:v>2024年</c:v>
                </c:pt>
              </c:strCache>
            </c:strRef>
          </c:tx>
          <c:spPr>
            <a:solidFill>
              <a:schemeClr val="accent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图4!$A$2:$A$3</c:f>
              <c:strCache>
                <c:ptCount val="2"/>
                <c:pt idx="0">
                  <c:v>财政拨款收入</c:v>
                </c:pt>
                <c:pt idx="1">
                  <c:v>财政拨款支出</c:v>
                </c:pt>
              </c:strCache>
            </c:strRef>
          </c:cat>
          <c:val>
            <c:numRef>
              <c:f>图4!$B$2:$B$3</c:f>
              <c:numCache>
                <c:formatCode>General</c:formatCode>
                <c:ptCount val="2"/>
                <c:pt idx="0">
                  <c:v>236.34</c:v>
                </c:pt>
                <c:pt idx="1">
                  <c:v>236.34</c:v>
                </c:pt>
              </c:numCache>
            </c:numRef>
          </c:val>
        </c:ser>
        <c:ser>
          <c:idx val="1"/>
          <c:order val="1"/>
          <c:tx>
            <c:strRef>
              <c:f>图4!$C$1</c:f>
              <c:strCache>
                <c:ptCount val="1"/>
                <c:pt idx="0">
                  <c:v>2025年</c:v>
                </c:pt>
              </c:strCache>
            </c:strRef>
          </c:tx>
          <c:spPr>
            <a:solidFill>
              <a:schemeClr val="accent5">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图4!$A$2:$A$3</c:f>
              <c:strCache>
                <c:ptCount val="2"/>
                <c:pt idx="0">
                  <c:v>财政拨款收入</c:v>
                </c:pt>
                <c:pt idx="1">
                  <c:v>财政拨款支出</c:v>
                </c:pt>
              </c:strCache>
            </c:strRef>
          </c:cat>
          <c:val>
            <c:numRef>
              <c:f>图4!$C$2:$C$3</c:f>
              <c:numCache>
                <c:formatCode>General</c:formatCode>
                <c:ptCount val="2"/>
                <c:pt idx="0">
                  <c:v>231.27</c:v>
                </c:pt>
                <c:pt idx="1">
                  <c:v>236.34</c:v>
                </c:pt>
              </c:numCache>
            </c:numRef>
          </c:val>
        </c:ser>
        <c:dLbls>
          <c:showLegendKey val="0"/>
          <c:showVal val="1"/>
          <c:showCatName val="0"/>
          <c:showSerName val="0"/>
          <c:showPercent val="0"/>
          <c:showBubbleSize val="0"/>
        </c:dLbls>
        <c:gapWidth val="150"/>
        <c:axId val="132232320"/>
        <c:axId val="132233856"/>
      </c:barChart>
      <c:catAx>
        <c:axId val="13223232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a:defRPr lang="zh-CN" sz="9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crossAx val="132233856"/>
        <c:crossesAt val="0"/>
        <c:auto val="1"/>
        <c:lblAlgn val="ctr"/>
        <c:lblOffset val="100"/>
        <c:noMultiLvlLbl val="0"/>
      </c:catAx>
      <c:valAx>
        <c:axId val="132233856"/>
        <c:scaling>
          <c:orientation val="minMax"/>
          <c:max val="30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out"/>
        <c:minorTickMark val="none"/>
        <c:tickLblPos val="nextTo"/>
        <c:spPr>
          <a:ln w="9525" cap="flat" cmpd="sng" algn="ctr">
            <a:noFill/>
            <a:prstDash val="solid"/>
            <a:round/>
          </a:ln>
        </c:spPr>
        <c:txPr>
          <a:bodyPr rot="0" spcFirstLastPara="0" vertOverflow="ellipsis" vert="horz" wrap="square" anchor="ctr" anchorCtr="1"/>
          <a:lstStyle/>
          <a:p>
            <a:pPr>
              <a:defRPr lang="zh-CN" sz="9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crossAx val="132232320"/>
        <c:crosses val="autoZero"/>
        <c:crossBetween val="between"/>
      </c:valAx>
      <c:spPr>
        <a:noFill/>
        <a:ln w="25400">
          <a:noFill/>
        </a:ln>
      </c:spPr>
    </c:plotArea>
    <c:legend>
      <c:legendPos val="r"/>
      <c:layout/>
      <c:overlay val="0"/>
      <c:txPr>
        <a:bodyPr rot="0" spcFirstLastPara="0" vertOverflow="ellipsis" vert="horz" wrap="square" anchor="ctr" anchorCtr="1"/>
        <a:lstStyle/>
        <a:p>
          <a:pPr>
            <a:defRPr lang="zh-CN" sz="825"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cecbd3a7-b81a-415b-8a69-9dea769b446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10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一般公共预算财政拨款支出决算变动情况</a:t>
            </a:r>
            <a:endParaRPr lang="zh-CN" altLang="en-US"/>
          </a:p>
        </c:rich>
      </c:tx>
      <c:layout/>
      <c:overlay val="0"/>
    </c:title>
    <c:autoTitleDeleted val="0"/>
    <c:plotArea>
      <c:layout/>
      <c:barChart>
        <c:barDir val="col"/>
        <c:grouping val="stacked"/>
        <c:varyColors val="0"/>
        <c:ser>
          <c:idx val="0"/>
          <c:order val="0"/>
          <c:tx>
            <c:strRef>
              <c:f>图5!#REF!</c:f>
              <c:strCache>
                <c:ptCount val="1"/>
                <c:pt idx="0">
                  <c:v/>
                </c:pt>
              </c:strCache>
            </c:strRef>
          </c:tx>
          <c:spPr>
            <a:solidFill>
              <a:srgbClr val="4F81BD"/>
            </a:solidFill>
            <a:ln w="25400">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图5!$B$1:$C$1</c:f>
              <c:strCache>
                <c:ptCount val="2"/>
                <c:pt idx="0">
                  <c:v>2024年</c:v>
                </c:pt>
                <c:pt idx="1">
                  <c:v>2025年</c:v>
                </c:pt>
              </c:strCache>
            </c:strRef>
          </c:cat>
          <c:val>
            <c:numRef>
              <c:f>图5!#REF!</c:f>
              <c:numCache>
                <c:formatCode>General</c:formatCode>
                <c:ptCount val="1"/>
                <c:pt idx="0">
                  <c:v>0</c:v>
                </c:pt>
              </c:numCache>
            </c:numRef>
          </c:val>
        </c:ser>
        <c:ser>
          <c:idx val="1"/>
          <c:order val="1"/>
          <c:tx>
            <c:strRef>
              <c:f>图5!$A$2</c:f>
              <c:strCache>
                <c:ptCount val="1"/>
                <c:pt idx="0">
                  <c:v>一般公共预算财政拨款支出</c:v>
                </c:pt>
              </c:strCache>
            </c:strRef>
          </c:tx>
          <c:spPr>
            <a:solidFill>
              <a:schemeClr val="accent6">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图5!$B$1:$C$1</c:f>
              <c:strCache>
                <c:ptCount val="2"/>
                <c:pt idx="0">
                  <c:v>2024年</c:v>
                </c:pt>
                <c:pt idx="1">
                  <c:v>2025年</c:v>
                </c:pt>
              </c:strCache>
            </c:strRef>
          </c:cat>
          <c:val>
            <c:numRef>
              <c:f>图5!$B$2:$C$2</c:f>
              <c:numCache>
                <c:formatCode>General</c:formatCode>
                <c:ptCount val="2"/>
                <c:pt idx="0">
                  <c:v>235.66</c:v>
                </c:pt>
                <c:pt idx="1">
                  <c:v>231.27</c:v>
                </c:pt>
              </c:numCache>
            </c:numRef>
          </c:val>
        </c:ser>
        <c:dLbls>
          <c:showLegendKey val="0"/>
          <c:showVal val="1"/>
          <c:showCatName val="0"/>
          <c:showSerName val="0"/>
          <c:showPercent val="0"/>
          <c:showBubbleSize val="0"/>
        </c:dLbls>
        <c:gapWidth val="150"/>
        <c:overlap val="100"/>
        <c:axId val="131022848"/>
        <c:axId val="131024384"/>
      </c:barChart>
      <c:catAx>
        <c:axId val="131022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a:defRPr lang="zh-CN" sz="9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crossAx val="131024384"/>
        <c:crosses val="autoZero"/>
        <c:auto val="1"/>
        <c:lblAlgn val="ctr"/>
        <c:lblOffset val="100"/>
        <c:noMultiLvlLbl val="0"/>
      </c:catAx>
      <c:valAx>
        <c:axId val="1310243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9525" cap="flat" cmpd="sng" algn="ctr">
            <a:noFill/>
            <a:prstDash val="solid"/>
            <a:round/>
          </a:ln>
        </c:spPr>
        <c:txPr>
          <a:bodyPr rot="0" spcFirstLastPara="0" vertOverflow="ellipsis" vert="horz" wrap="square" anchor="ctr" anchorCtr="1"/>
          <a:lstStyle/>
          <a:p>
            <a:pPr>
              <a:defRPr lang="zh-CN" sz="9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crossAx val="131022848"/>
        <c:crosses val="autoZero"/>
        <c:crossBetween val="between"/>
      </c:valAx>
      <c:spPr>
        <a:noFill/>
        <a:ln w="25400">
          <a:noFill/>
        </a:ln>
      </c:spPr>
    </c:plotArea>
    <c:legend>
      <c:legendPos val="b"/>
      <c:legendEntry>
        <c:idx val="1"/>
        <c:delete val="1"/>
      </c:legendEntry>
      <c:layout>
        <c:manualLayout>
          <c:xMode val="edge"/>
          <c:yMode val="edge"/>
          <c:x val="0.27575"/>
          <c:y val="0.894999950101295"/>
          <c:w val="0.44825"/>
          <c:h val="0.0770000898176704"/>
        </c:manualLayout>
      </c:layout>
      <c:overlay val="0"/>
      <c:spPr>
        <a:noFill/>
        <a:ln w="25400">
          <a:noFill/>
        </a:ln>
      </c:spPr>
      <c:txPr>
        <a:bodyPr rot="0" spcFirstLastPara="0" vertOverflow="ellipsis" vert="horz" wrap="square" anchor="ctr" anchorCtr="1"/>
        <a:lstStyle/>
        <a:p>
          <a:pPr>
            <a:defRPr lang="zh-CN" sz="825"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c9b987ca-a523-4b9f-a64f-6a15cd2d87a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10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333333"/>
                </a:solidFill>
                <a:latin typeface="宋体" panose="02010600030101010101" charset="-122"/>
                <a:ea typeface="宋体" panose="02010600030101010101" charset="-122"/>
                <a:cs typeface="宋体" panose="02010600030101010101" charset="-122"/>
              </a:defRPr>
            </a:pPr>
            <a:r>
              <a:rPr lang="zh-CN" altLang="en-US"/>
              <a:t>一般公共预算财政拨款支出决算结构</a:t>
            </a:r>
            <a:endParaRPr lang="zh-CN" altLang="en-US"/>
          </a:p>
        </c:rich>
      </c:tx>
      <c:layout/>
      <c:overlay val="0"/>
      <c:spPr>
        <a:noFill/>
        <a:ln w="25400">
          <a:noFill/>
        </a:ln>
      </c:spPr>
    </c:title>
    <c:autoTitleDeleted val="0"/>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dPt>
          <c:dLbls>
            <c:dLbl>
              <c:idx val="0"/>
              <c:layout>
                <c:manualLayout>
                  <c:x val="0.0689059206954346"/>
                  <c:y val="0.0015424470705107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w="25400">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3175" cap="flat" cmpd="sng" algn="ctr">
                      <a:solidFill>
                        <a:srgbClr val="969696"/>
                      </a:solidFill>
                      <a:prstDash val="solid"/>
                      <a:round/>
                    </a:ln>
                  </c:spPr>
                </c15:leaderLines>
              </c:ext>
            </c:extLst>
          </c:dLbls>
          <c:cat>
            <c:strRef>
              <c:f>图6!$A$1:$D$1</c:f>
              <c:strCache>
                <c:ptCount val="4"/>
                <c:pt idx="0">
                  <c:v>科学技术支出</c:v>
                </c:pt>
                <c:pt idx="1">
                  <c:v>社会保障和就业支出</c:v>
                </c:pt>
                <c:pt idx="2">
                  <c:v>卫生健康支出</c:v>
                </c:pt>
                <c:pt idx="3">
                  <c:v>住房保障支出</c:v>
                </c:pt>
              </c:strCache>
            </c:strRef>
          </c:cat>
          <c:val>
            <c:numRef>
              <c:f>图6!$A$2:$D$2</c:f>
              <c:numCache>
                <c:formatCode>0.00%</c:formatCode>
                <c:ptCount val="4"/>
                <c:pt idx="0">
                  <c:v>0.625000000000001</c:v>
                </c:pt>
                <c:pt idx="1">
                  <c:v>0.282</c:v>
                </c:pt>
                <c:pt idx="2">
                  <c:v>0.042</c:v>
                </c:pt>
                <c:pt idx="3">
                  <c:v>0.051</c:v>
                </c:pt>
              </c:numCache>
            </c:numRef>
          </c:val>
        </c:ser>
        <c:dLbls>
          <c:showLegendKey val="0"/>
          <c:showVal val="1"/>
          <c:showCatName val="0"/>
          <c:showSerName val="0"/>
          <c:showPercent val="0"/>
          <c:showBubbleSize val="0"/>
          <c:showLeaderLines val="1"/>
        </c:dLbls>
        <c:firstSliceAng val="0"/>
      </c:pieChart>
      <c:spPr>
        <a:noFill/>
        <a:ln w="25400">
          <a:noFill/>
        </a:ln>
      </c:spPr>
    </c:plotArea>
    <c:legend>
      <c:legendPos val="r"/>
      <c:layout/>
      <c:overlay val="0"/>
      <c:spPr>
        <a:noFill/>
        <a:ln w="25400">
          <a:noFill/>
        </a:ln>
      </c:spPr>
      <c:txPr>
        <a:bodyPr rot="0" spcFirstLastPara="0" vertOverflow="ellipsis" vert="horz" wrap="square" anchor="ctr" anchorCtr="1"/>
        <a:lstStyle/>
        <a:p>
          <a:pPr>
            <a:defRPr lang="zh-CN" sz="825"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7520c4ff-2cb1-4c3a-a17d-b1ca6c8d39ea}"/>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10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333333"/>
                </a:solidFill>
                <a:latin typeface="宋体" panose="02010600030101010101" charset="-122"/>
                <a:ea typeface="宋体" panose="02010600030101010101" charset="-122"/>
                <a:cs typeface="宋体" panose="02010600030101010101" charset="-122"/>
              </a:defRPr>
            </a:pPr>
            <a:r>
              <a:rPr lang="zh-CN" altLang="en-US"/>
              <a:t>“三公”经费财政拨款支出结构</a:t>
            </a:r>
            <a:endParaRPr lang="zh-CN" altLang="en-US"/>
          </a:p>
        </c:rich>
      </c:tx>
      <c:layout/>
      <c:overlay val="0"/>
      <c:spPr>
        <a:noFill/>
        <a:ln w="25400">
          <a:noFill/>
        </a:ln>
      </c:spPr>
    </c:title>
    <c:autoTitleDeleted val="0"/>
    <c:plotArea>
      <c:layout/>
      <c:pieChart>
        <c:varyColors val="1"/>
        <c:ser>
          <c:idx val="0"/>
          <c:order val="0"/>
          <c:explosion val="0"/>
          <c:dPt>
            <c:idx val="0"/>
            <c:bubble3D val="0"/>
            <c:spPr>
              <a:solidFill>
                <a:schemeClr val="accent1"/>
              </a:solidFill>
              <a:ln w="19050">
                <a:solidFill>
                  <a:schemeClr val="lt1"/>
                </a:solidFill>
              </a:ln>
              <a:effectLst/>
            </c:spPr>
          </c:dPt>
          <c:dPt>
            <c:idx val="1"/>
            <c:bubble3D val="0"/>
          </c:dPt>
          <c:dPt>
            <c:idx val="2"/>
            <c:bubble3D val="0"/>
          </c:dPt>
          <c:dLbls>
            <c:dLbl>
              <c:idx val="0"/>
              <c:layout>
                <c:manualLayout>
                  <c:x val="-0.133992630029203"/>
                  <c:y val="0.10302077330453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w="25400">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3175" cap="flat" cmpd="sng" algn="ctr">
                      <a:solidFill>
                        <a:srgbClr val="969696"/>
                      </a:solidFill>
                      <a:prstDash val="solid"/>
                      <a:round/>
                    </a:ln>
                  </c:spPr>
                </c15:leaderLines>
              </c:ext>
            </c:extLst>
          </c:dLbls>
          <c:cat>
            <c:strRef>
              <c:f>图7!$A$1:$C$1</c:f>
              <c:strCache>
                <c:ptCount val="3"/>
                <c:pt idx="0">
                  <c:v>因公出国（境）费支出</c:v>
                </c:pt>
                <c:pt idx="1">
                  <c:v>公务用车购置及运行维护费</c:v>
                </c:pt>
                <c:pt idx="2">
                  <c:v>公务接待费支出</c:v>
                </c:pt>
              </c:strCache>
            </c:strRef>
          </c:cat>
          <c:val>
            <c:numRef>
              <c:f>图7!$A$2:$C$2</c:f>
              <c:numCache>
                <c:formatCode>General</c:formatCode>
                <c:ptCount val="3"/>
                <c:pt idx="0">
                  <c:v>0</c:v>
                </c:pt>
                <c:pt idx="1" c:formatCode="0.00%">
                  <c:v>1</c:v>
                </c:pt>
                <c:pt idx="2" c:formatCode="0.00%">
                  <c:v>0</c:v>
                </c:pt>
              </c:numCache>
            </c:numRef>
          </c:val>
        </c:ser>
        <c:dLbls>
          <c:showLegendKey val="0"/>
          <c:showVal val="1"/>
          <c:showCatName val="0"/>
          <c:showSerName val="0"/>
          <c:showPercent val="0"/>
          <c:showBubbleSize val="0"/>
          <c:showLeaderLines val="1"/>
        </c:dLbls>
        <c:firstSliceAng val="0"/>
      </c:pieChart>
      <c:spPr>
        <a:noFill/>
        <a:ln w="25400">
          <a:noFill/>
        </a:ln>
      </c:spPr>
    </c:plotArea>
    <c:legend>
      <c:legendPos val="r"/>
      <c:layout/>
      <c:overlay val="0"/>
      <c:spPr>
        <a:noFill/>
        <a:ln w="25400">
          <a:noFill/>
        </a:ln>
      </c:spPr>
      <c:txPr>
        <a:bodyPr rot="0" spcFirstLastPara="0" vertOverflow="ellipsis" vert="horz" wrap="square" anchor="ctr" anchorCtr="1"/>
        <a:lstStyle/>
        <a:p>
          <a:pPr>
            <a:defRPr lang="zh-CN" sz="825"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4869cb78-ab39-4942-bb78-293c500d566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10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93" textRotate="1"/>
    <customShpInfo spid="_x0000_s3090"/>
    <customShpInfo spid="_x0000_s3088"/>
    <customShpInfo spid="_x0000_s3094" textRotate="1"/>
    <customShpInfo spid="_x0000_s3091"/>
    <customShpInfo spid="_x0000_s3095" textRotate="1"/>
    <customShpInfo spid="_x0000_s308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2273</Words>
  <Characters>3566</Characters>
  <Lines>44</Lines>
  <Paragraphs>12</Paragraphs>
  <TotalTime>0</TotalTime>
  <ScaleCrop>false</ScaleCrop>
  <LinksUpToDate>false</LinksUpToDate>
  <CharactersWithSpaces>3577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2025-09-08T00:57:00Z</dcterms:created>
  <dc:creator>曹颖</dc:creator>
  <cp:lastModifiedBy>企业用户_707365232</cp:lastModifiedBy>
  <cp:lastPrinted>2025-08-11T09:34:00Z</cp:lastPrinted>
  <dcterms:modified xsi:type="dcterms:W3CDTF">2026-09-15T07:37:22Z</dcterms:modified>
  <dc:title>四川省***</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eyJoZGlkIjoiNGJhNzhjYTA0ZDQ1Y2M4YTA2ZDY4ZDhjYWFlMTc4OWIiLCJ1c2VySWQiOiIxNTYxMTUwNjM0In0=</vt:lpwstr>
  </property>
</Properties>
</file>