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98571A">
      <w:pPr>
        <w:pStyle w:val="8"/>
        <w:rPr>
          <w:rFonts w:hint="default" w:ascii="Nimbus Roman No9 L" w:hAnsi="Nimbus Roman No9 L" w:eastAsia="黑体" w:cs="Nimbus Roman No9 L"/>
          <w:color w:val="auto"/>
          <w:kern w:val="2"/>
          <w:sz w:val="32"/>
          <w:szCs w:val="32"/>
          <w:highlight w:val="none"/>
          <w:lang w:val="en-US" w:eastAsia="zh-CN" w:bidi="ar-SA"/>
        </w:rPr>
      </w:pPr>
      <w:bookmarkStart w:id="0" w:name="_Toc15396475"/>
      <w:bookmarkStart w:id="1" w:name="_Toc15377425"/>
      <w:bookmarkStart w:id="2" w:name="_Toc15306267"/>
      <w:bookmarkStart w:id="3" w:name="_Toc15378441"/>
      <w:bookmarkStart w:id="4" w:name="_Toc15377193"/>
      <w:bookmarkStart w:id="5" w:name="_Toc15396597"/>
    </w:p>
    <w:p w14:paraId="4267066C">
      <w:pPr>
        <w:pStyle w:val="8"/>
        <w:jc w:val="center"/>
        <w:rPr>
          <w:rFonts w:hint="default" w:ascii="Nimbus Roman No9 L" w:hAnsi="Nimbus Roman No9 L" w:eastAsia="方正小标宋简体" w:cs="Nimbus Roman No9 L"/>
          <w:color w:val="auto"/>
          <w:kern w:val="2"/>
          <w:sz w:val="44"/>
          <w:szCs w:val="44"/>
          <w:highlight w:val="none"/>
          <w:lang w:val="en-US" w:eastAsia="zh-CN" w:bidi="ar-SA"/>
        </w:rPr>
      </w:pPr>
    </w:p>
    <w:p w14:paraId="126BCDCD">
      <w:pPr>
        <w:pStyle w:val="8"/>
        <w:jc w:val="center"/>
        <w:rPr>
          <w:rFonts w:hint="default" w:ascii="Nimbus Roman No9 L" w:hAnsi="Nimbus Roman No9 L" w:eastAsia="方正小标宋简体" w:cs="Nimbus Roman No9 L"/>
          <w:color w:val="auto"/>
          <w:kern w:val="2"/>
          <w:sz w:val="44"/>
          <w:szCs w:val="44"/>
          <w:highlight w:val="none"/>
          <w:lang w:val="en-US" w:eastAsia="zh-CN" w:bidi="ar-SA"/>
        </w:rPr>
      </w:pPr>
    </w:p>
    <w:bookmarkEnd w:id="0"/>
    <w:bookmarkEnd w:id="1"/>
    <w:bookmarkEnd w:id="2"/>
    <w:bookmarkEnd w:id="3"/>
    <w:bookmarkEnd w:id="4"/>
    <w:bookmarkEnd w:id="5"/>
    <w:p w14:paraId="6121893B">
      <w:pPr>
        <w:pStyle w:val="8"/>
        <w:jc w:val="center"/>
        <w:rPr>
          <w:rFonts w:hint="default" w:ascii="Nimbus Roman No9 L" w:hAnsi="Nimbus Roman No9 L" w:eastAsia="方正小标宋简体" w:cs="Nimbus Roman No9 L"/>
          <w:color w:val="auto"/>
          <w:kern w:val="2"/>
          <w:sz w:val="44"/>
          <w:szCs w:val="44"/>
          <w:highlight w:val="none"/>
          <w:lang w:val="en-US" w:eastAsia="zh-CN" w:bidi="ar-SA"/>
        </w:rPr>
      </w:pPr>
      <w:r>
        <w:rPr>
          <w:rFonts w:hint="default" w:ascii="Nimbus Roman No9 L" w:hAnsi="Nimbus Roman No9 L" w:eastAsia="方正小标宋简体" w:cs="Nimbus Roman No9 L"/>
          <w:color w:val="auto"/>
          <w:kern w:val="2"/>
          <w:sz w:val="44"/>
          <w:szCs w:val="44"/>
          <w:highlight w:val="none"/>
          <w:lang w:val="en-US" w:eastAsia="zh-CN" w:bidi="ar-SA"/>
        </w:rPr>
        <w:t>2025年度市级单位决算</w:t>
      </w:r>
    </w:p>
    <w:p w14:paraId="4C965833">
      <w:pPr>
        <w:pStyle w:val="8"/>
        <w:jc w:val="center"/>
        <w:rPr>
          <w:rFonts w:hint="default" w:ascii="Nimbus Roman No9 L" w:hAnsi="Nimbus Roman No9 L" w:eastAsia="方正小标宋简体" w:cs="Nimbus Roman No9 L"/>
          <w:color w:val="auto"/>
          <w:kern w:val="2"/>
          <w:sz w:val="44"/>
          <w:szCs w:val="44"/>
          <w:highlight w:val="none"/>
          <w:lang w:val="en-US" w:eastAsia="zh-CN" w:bidi="ar-SA"/>
        </w:rPr>
      </w:pPr>
      <w:r>
        <w:rPr>
          <w:rFonts w:hint="default" w:ascii="Nimbus Roman No9 L" w:hAnsi="Nimbus Roman No9 L" w:eastAsia="方正小标宋简体" w:cs="Nimbus Roman No9 L"/>
          <w:color w:val="auto"/>
          <w:kern w:val="2"/>
          <w:sz w:val="44"/>
          <w:szCs w:val="44"/>
          <w:highlight w:val="none"/>
          <w:lang w:val="en-US" w:eastAsia="zh-CN" w:bidi="ar-SA"/>
        </w:rPr>
        <w:t>公开文字说明</w:t>
      </w:r>
    </w:p>
    <w:p w14:paraId="2F72F710">
      <w:pPr>
        <w:spacing w:line="600" w:lineRule="exact"/>
        <w:jc w:val="center"/>
        <w:outlineLvl w:val="0"/>
        <w:rPr>
          <w:rFonts w:hint="default" w:ascii="Nimbus Roman No9 L" w:hAnsi="Nimbus Roman No9 L" w:eastAsia="方正小标宋简体" w:cs="Nimbus Roman No9 L"/>
          <w:color w:val="auto"/>
          <w:sz w:val="72"/>
          <w:szCs w:val="72"/>
          <w:highlight w:val="none"/>
        </w:rPr>
      </w:pPr>
    </w:p>
    <w:p w14:paraId="4367F52E">
      <w:pPr>
        <w:pStyle w:val="19"/>
        <w:rPr>
          <w:rFonts w:hint="default" w:ascii="Nimbus Roman No9 L" w:hAnsi="Nimbus Roman No9 L" w:cs="Nimbus Roman No9 L"/>
        </w:rPr>
        <w:sectPr>
          <w:headerReference r:id="rId3" w:type="default"/>
          <w:footerReference r:id="rId4" w:type="default"/>
          <w:pgSz w:w="11906" w:h="16838"/>
          <w:pgMar w:top="1440" w:right="1800" w:bottom="1440" w:left="1800" w:header="851" w:footer="992" w:gutter="0"/>
          <w:pgNumType w:fmt="decimal" w:start="1"/>
          <w:cols w:space="425" w:num="1"/>
          <w:titlePg/>
          <w:docGrid w:type="lines" w:linePitch="312" w:charSpace="0"/>
        </w:sectPr>
      </w:pPr>
    </w:p>
    <w:p w14:paraId="13E89EA0">
      <w:pPr>
        <w:rPr>
          <w:rFonts w:hint="default" w:ascii="Nimbus Roman No9 L" w:hAnsi="Nimbus Roman No9 L" w:cs="Nimbus Roman No9 L"/>
        </w:rPr>
      </w:pPr>
    </w:p>
    <w:p w14:paraId="75B15CF5">
      <w:pPr>
        <w:pStyle w:val="8"/>
        <w:jc w:val="center"/>
        <w:rPr>
          <w:rFonts w:hint="default" w:ascii="Nimbus Roman No9 L" w:hAnsi="Nimbus Roman No9 L" w:eastAsia="方正小标宋简体" w:cs="Nimbus Roman No9 L"/>
          <w:color w:val="auto"/>
          <w:kern w:val="2"/>
          <w:sz w:val="44"/>
          <w:szCs w:val="44"/>
          <w:highlight w:val="none"/>
          <w:lang w:val="en-US" w:eastAsia="zh-CN" w:bidi="ar-SA"/>
        </w:rPr>
      </w:pPr>
    </w:p>
    <w:p w14:paraId="3D4BBE6C">
      <w:pPr>
        <w:pStyle w:val="8"/>
        <w:jc w:val="center"/>
        <w:rPr>
          <w:rFonts w:hint="default" w:ascii="Nimbus Roman No9 L" w:hAnsi="Nimbus Roman No9 L" w:eastAsia="方正小标宋简体" w:cs="Nimbus Roman No9 L"/>
          <w:color w:val="auto"/>
          <w:kern w:val="2"/>
          <w:sz w:val="44"/>
          <w:szCs w:val="44"/>
          <w:highlight w:val="none"/>
          <w:lang w:val="en-US" w:eastAsia="zh-CN" w:bidi="ar-SA"/>
        </w:rPr>
      </w:pPr>
    </w:p>
    <w:p w14:paraId="45EBE5A3">
      <w:pPr>
        <w:pStyle w:val="8"/>
        <w:jc w:val="center"/>
        <w:rPr>
          <w:rFonts w:hint="default" w:ascii="Nimbus Roman No9 L" w:hAnsi="Nimbus Roman No9 L" w:eastAsia="方正小标宋简体" w:cs="Nimbus Roman No9 L"/>
          <w:color w:val="auto"/>
          <w:kern w:val="2"/>
          <w:sz w:val="44"/>
          <w:szCs w:val="44"/>
          <w:highlight w:val="none"/>
          <w:lang w:val="en-US" w:eastAsia="zh-CN" w:bidi="ar-SA"/>
        </w:rPr>
      </w:pPr>
    </w:p>
    <w:p w14:paraId="207A35B8">
      <w:pPr>
        <w:pStyle w:val="8"/>
        <w:jc w:val="center"/>
        <w:rPr>
          <w:rFonts w:hint="default" w:ascii="Nimbus Roman No9 L" w:hAnsi="Nimbus Roman No9 L" w:eastAsia="方正小标宋简体" w:cs="Nimbus Roman No9 L"/>
          <w:color w:val="auto"/>
          <w:kern w:val="2"/>
          <w:sz w:val="44"/>
          <w:szCs w:val="44"/>
          <w:highlight w:val="none"/>
          <w:lang w:val="en-US" w:eastAsia="zh-CN" w:bidi="ar-SA"/>
        </w:rPr>
      </w:pPr>
    </w:p>
    <w:p w14:paraId="3F662F05">
      <w:pPr>
        <w:pStyle w:val="8"/>
        <w:jc w:val="center"/>
        <w:rPr>
          <w:rFonts w:hint="default" w:ascii="Nimbus Roman No9 L" w:hAnsi="Nimbus Roman No9 L" w:eastAsia="方正小标宋简体" w:cs="Nimbus Roman No9 L"/>
          <w:color w:val="auto"/>
          <w:kern w:val="2"/>
          <w:sz w:val="44"/>
          <w:szCs w:val="44"/>
          <w:highlight w:val="none"/>
          <w:lang w:val="en-US" w:eastAsia="zh-CN" w:bidi="ar-SA"/>
        </w:rPr>
      </w:pPr>
      <w:bookmarkStart w:id="6" w:name="_Toc15377194"/>
      <w:bookmarkStart w:id="7" w:name="_Toc15396476"/>
      <w:bookmarkStart w:id="8" w:name="_Toc15396598"/>
      <w:bookmarkStart w:id="9" w:name="_Toc15377426"/>
      <w:bookmarkStart w:id="10" w:name="_Toc15378442"/>
      <w:r>
        <w:rPr>
          <w:rFonts w:hint="default" w:ascii="Nimbus Roman No9 L" w:hAnsi="Nimbus Roman No9 L" w:eastAsia="方正小标宋简体" w:cs="Nimbus Roman No9 L"/>
          <w:color w:val="auto"/>
          <w:kern w:val="2"/>
          <w:sz w:val="44"/>
          <w:szCs w:val="44"/>
          <w:highlight w:val="none"/>
          <w:lang w:val="en-US" w:eastAsia="zh-CN" w:bidi="ar-SA"/>
        </w:rPr>
        <w:t>2025年度四川省</w:t>
      </w:r>
      <w:bookmarkStart w:id="11" w:name="_Toc15306268"/>
      <w:r>
        <w:rPr>
          <w:rFonts w:hint="default" w:ascii="Nimbus Roman No9 L" w:hAnsi="Nimbus Roman No9 L" w:eastAsia="方正小标宋简体" w:cs="Nimbus Roman No9 L"/>
          <w:color w:val="auto"/>
          <w:kern w:val="2"/>
          <w:sz w:val="44"/>
          <w:szCs w:val="44"/>
          <w:highlight w:val="none"/>
          <w:lang w:val="en-US" w:eastAsia="zh-CN" w:bidi="ar-SA"/>
        </w:rPr>
        <w:t>攀枝花市科技基础条件平台服务中心单位决算</w:t>
      </w:r>
      <w:bookmarkEnd w:id="6"/>
      <w:bookmarkEnd w:id="7"/>
      <w:bookmarkEnd w:id="8"/>
      <w:bookmarkEnd w:id="9"/>
      <w:bookmarkEnd w:id="10"/>
      <w:bookmarkEnd w:id="11"/>
    </w:p>
    <w:p w14:paraId="3861B69B">
      <w:pPr>
        <w:widowControl/>
        <w:jc w:val="center"/>
        <w:rPr>
          <w:rFonts w:hint="default" w:ascii="Nimbus Roman No9 L" w:hAnsi="Nimbus Roman No9 L" w:eastAsia="黑体" w:cs="Nimbus Roman No9 L"/>
          <w:color w:val="auto"/>
          <w:sz w:val="48"/>
          <w:szCs w:val="48"/>
          <w:highlight w:val="none"/>
        </w:rPr>
        <w:sectPr>
          <w:footerReference r:id="rId7" w:type="first"/>
          <w:headerReference r:id="rId5" w:type="default"/>
          <w:footerReference r:id="rId6" w:type="default"/>
          <w:pgSz w:w="11906" w:h="16838"/>
          <w:pgMar w:top="1440" w:right="1800" w:bottom="1440" w:left="1800" w:header="851" w:footer="992" w:gutter="0"/>
          <w:pgNumType w:fmt="decimal"/>
          <w:cols w:space="425" w:num="1"/>
          <w:docGrid w:type="lines" w:linePitch="312" w:charSpace="0"/>
        </w:sectPr>
      </w:pPr>
    </w:p>
    <w:p w14:paraId="79C327E0">
      <w:pPr>
        <w:widowControl/>
        <w:jc w:val="center"/>
        <w:rPr>
          <w:rFonts w:hint="default" w:ascii="Nimbus Roman No9 L" w:hAnsi="Nimbus Roman No9 L" w:eastAsia="黑体" w:cs="Nimbus Roman No9 L"/>
          <w:color w:val="auto"/>
          <w:sz w:val="48"/>
          <w:szCs w:val="48"/>
          <w:highlight w:val="none"/>
        </w:rPr>
      </w:pPr>
      <w:r>
        <w:rPr>
          <w:rFonts w:hint="default" w:ascii="Nimbus Roman No9 L" w:hAnsi="Nimbus Roman No9 L" w:eastAsia="黑体" w:cs="Nimbus Roman No9 L"/>
          <w:color w:val="auto"/>
          <w:sz w:val="48"/>
          <w:szCs w:val="48"/>
          <w:highlight w:val="none"/>
        </w:rPr>
        <w:t>目录</w:t>
      </w:r>
    </w:p>
    <w:p w14:paraId="7A9686BA">
      <w:pPr>
        <w:widowControl/>
        <w:jc w:val="center"/>
        <w:rPr>
          <w:rFonts w:hint="default" w:ascii="Nimbus Roman No9 L" w:hAnsi="Nimbus Roman No9 L" w:eastAsia="黑体" w:cs="Nimbus Roman No9 L"/>
          <w:color w:val="auto"/>
          <w:sz w:val="28"/>
          <w:szCs w:val="28"/>
          <w:highlight w:val="none"/>
        </w:rPr>
      </w:pPr>
    </w:p>
    <w:p w14:paraId="22FD9728">
      <w:pPr>
        <w:pStyle w:val="13"/>
        <w:rPr>
          <w:rFonts w:hint="default" w:ascii="Nimbus Roman No9 L" w:hAnsi="Nimbus Roman No9 L" w:eastAsia="仿宋_GB2312" w:cs="Nimbus Roman No9 L"/>
          <w:color w:val="auto"/>
          <w:sz w:val="32"/>
          <w:szCs w:val="32"/>
          <w:highlight w:val="none"/>
        </w:rPr>
      </w:pPr>
      <w:r>
        <w:rPr>
          <w:rFonts w:hint="default" w:ascii="Nimbus Roman No9 L" w:hAnsi="Nimbus Roman No9 L" w:eastAsia="仿宋_GB2312" w:cs="Nimbus Roman No9 L"/>
          <w:color w:val="auto"/>
          <w:sz w:val="32"/>
          <w:szCs w:val="32"/>
          <w:highlight w:val="none"/>
        </w:rPr>
        <w:t>公开时间：20</w:t>
      </w:r>
      <w:r>
        <w:rPr>
          <w:rFonts w:hint="default" w:ascii="Nimbus Roman No9 L" w:hAnsi="Nimbus Roman No9 L" w:eastAsia="仿宋_GB2312" w:cs="Nimbus Roman No9 L"/>
          <w:color w:val="auto"/>
          <w:sz w:val="32"/>
          <w:szCs w:val="32"/>
          <w:highlight w:val="none"/>
          <w:lang w:val="en-US" w:eastAsia="zh-CN"/>
        </w:rPr>
        <w:t>26</w:t>
      </w:r>
      <w:r>
        <w:rPr>
          <w:rFonts w:hint="default" w:ascii="Nimbus Roman No9 L" w:hAnsi="Nimbus Roman No9 L" w:eastAsia="仿宋_GB2312" w:cs="Nimbus Roman No9 L"/>
          <w:color w:val="auto"/>
          <w:sz w:val="32"/>
          <w:szCs w:val="32"/>
          <w:highlight w:val="none"/>
        </w:rPr>
        <w:t>年</w:t>
      </w:r>
      <w:r>
        <w:rPr>
          <w:rFonts w:hint="default" w:ascii="Nimbus Roman No9 L" w:hAnsi="Nimbus Roman No9 L" w:eastAsia="仿宋_GB2312" w:cs="Nimbus Roman No9 L"/>
          <w:color w:val="auto"/>
          <w:sz w:val="32"/>
          <w:szCs w:val="32"/>
          <w:highlight w:val="none"/>
          <w:lang w:val="en-US" w:eastAsia="zh-CN"/>
        </w:rPr>
        <w:t>9</w:t>
      </w:r>
      <w:r>
        <w:rPr>
          <w:rFonts w:hint="default" w:ascii="Nimbus Roman No9 L" w:hAnsi="Nimbus Roman No9 L" w:eastAsia="仿宋_GB2312" w:cs="Nimbus Roman No9 L"/>
          <w:color w:val="auto"/>
          <w:sz w:val="32"/>
          <w:szCs w:val="32"/>
          <w:highlight w:val="none"/>
        </w:rPr>
        <w:t>月</w:t>
      </w:r>
      <w:r>
        <w:rPr>
          <w:rFonts w:hint="eastAsia" w:ascii="Nimbus Roman No9 L" w:hAnsi="Nimbus Roman No9 L" w:eastAsia="仿宋_GB2312" w:cs="Nimbus Roman No9 L"/>
          <w:color w:val="auto"/>
          <w:sz w:val="32"/>
          <w:szCs w:val="32"/>
          <w:highlight w:val="none"/>
          <w:lang w:val="en-US" w:eastAsia="zh-CN"/>
        </w:rPr>
        <w:t>1</w:t>
      </w:r>
      <w:r>
        <w:rPr>
          <w:rFonts w:hint="default" w:ascii="Nimbus Roman No9 L" w:hAnsi="Nimbus Roman No9 L" w:eastAsia="仿宋_GB2312" w:cs="Nimbus Roman No9 L"/>
          <w:color w:val="auto"/>
          <w:sz w:val="32"/>
          <w:szCs w:val="32"/>
          <w:highlight w:val="none"/>
          <w:lang w:val="en-US" w:eastAsia="zh-CN"/>
        </w:rPr>
        <w:t>4</w:t>
      </w:r>
      <w:bookmarkStart w:id="104" w:name="_GoBack"/>
      <w:bookmarkEnd w:id="104"/>
      <w:r>
        <w:rPr>
          <w:rFonts w:hint="default" w:ascii="Nimbus Roman No9 L" w:hAnsi="Nimbus Roman No9 L" w:eastAsia="仿宋_GB2312" w:cs="Nimbus Roman No9 L"/>
          <w:color w:val="auto"/>
          <w:sz w:val="32"/>
          <w:szCs w:val="32"/>
          <w:highlight w:val="none"/>
        </w:rPr>
        <w:t>日</w:t>
      </w:r>
    </w:p>
    <w:p w14:paraId="12743F1E">
      <w:pPr>
        <w:rPr>
          <w:rFonts w:hint="default" w:ascii="Nimbus Roman No9 L" w:hAnsi="Nimbus Roman No9 L" w:cs="Nimbus Roman No9 L"/>
          <w:color w:val="auto"/>
          <w:highlight w:val="none"/>
        </w:rPr>
      </w:pPr>
    </w:p>
    <w:p w14:paraId="4206D03C">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Nimbus Roman No9 L" w:hAnsi="Nimbus Roman No9 L" w:eastAsia="黑体" w:cs="Nimbus Roman No9 L"/>
          <w:color w:val="auto"/>
          <w:sz w:val="32"/>
          <w:szCs w:val="32"/>
          <w:highlight w:val="none"/>
          <w:lang w:val="en-US" w:eastAsia="zh-CN"/>
        </w:rPr>
      </w:pPr>
      <w:r>
        <w:rPr>
          <w:rFonts w:hint="default" w:ascii="Nimbus Roman No9 L" w:hAnsi="Nimbus Roman No9 L" w:eastAsia="黑体" w:cs="Nimbus Roman No9 L"/>
          <w:color w:val="auto"/>
          <w:sz w:val="32"/>
          <w:szCs w:val="32"/>
          <w:highlight w:val="none"/>
        </w:rPr>
        <w:t>第一部分 部门概况</w:t>
      </w:r>
      <w:r>
        <w:rPr>
          <w:rFonts w:hint="default" w:ascii="Nimbus Roman No9 L" w:hAnsi="Nimbus Roman No9 L" w:eastAsia="黑体" w:cs="Nimbus Roman No9 L"/>
          <w:color w:val="auto"/>
          <w:sz w:val="32"/>
          <w:szCs w:val="32"/>
          <w:highlight w:val="none"/>
          <w:lang w:val="en-US" w:eastAsia="zh-CN"/>
        </w:rPr>
        <w:t>...................................................................5</w:t>
      </w:r>
    </w:p>
    <w:p w14:paraId="325A1B02">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Nimbus Roman No9 L" w:hAnsi="Nimbus Roman No9 L" w:eastAsia="仿宋_GB2312" w:cs="Nimbus Roman No9 L"/>
          <w:color w:val="auto"/>
          <w:sz w:val="32"/>
          <w:szCs w:val="32"/>
          <w:highlight w:val="none"/>
          <w:lang w:val="en-US"/>
        </w:rPr>
      </w:pPr>
      <w:r>
        <w:rPr>
          <w:rFonts w:hint="default" w:ascii="Nimbus Roman No9 L" w:hAnsi="Nimbus Roman No9 L" w:eastAsia="仿宋_GB2312" w:cs="Nimbus Roman No9 L"/>
          <w:color w:val="auto"/>
          <w:sz w:val="32"/>
          <w:szCs w:val="32"/>
          <w:highlight w:val="none"/>
        </w:rPr>
        <w:t>一、</w:t>
      </w:r>
      <w:r>
        <w:rPr>
          <w:rFonts w:hint="default" w:ascii="Nimbus Roman No9 L" w:hAnsi="Nimbus Roman No9 L" w:eastAsia="仿宋_GB2312" w:cs="Nimbus Roman No9 L"/>
          <w:color w:val="auto"/>
          <w:sz w:val="32"/>
          <w:szCs w:val="32"/>
          <w:highlight w:val="none"/>
          <w:lang w:eastAsia="zh-CN"/>
        </w:rPr>
        <w:t>部门职责</w:t>
      </w:r>
      <w:r>
        <w:rPr>
          <w:rFonts w:hint="default" w:ascii="Nimbus Roman No9 L" w:hAnsi="Nimbus Roman No9 L" w:eastAsia="仿宋_GB2312" w:cs="Nimbus Roman No9 L"/>
          <w:color w:val="auto"/>
          <w:sz w:val="32"/>
          <w:szCs w:val="32"/>
          <w:highlight w:val="none"/>
          <w:lang w:val="en-US" w:eastAsia="zh-CN"/>
        </w:rPr>
        <w:t>.....................................................................5</w:t>
      </w:r>
    </w:p>
    <w:p w14:paraId="07C9524B">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Nimbus Roman No9 L" w:hAnsi="Nimbus Roman No9 L" w:eastAsia="仿宋_GB2312" w:cs="Nimbus Roman No9 L"/>
          <w:color w:val="auto"/>
          <w:sz w:val="32"/>
          <w:szCs w:val="32"/>
          <w:highlight w:val="none"/>
          <w:lang w:val="en-US" w:eastAsia="zh-CN"/>
        </w:rPr>
      </w:pPr>
      <w:r>
        <w:rPr>
          <w:rFonts w:hint="default" w:ascii="Nimbus Roman No9 L" w:hAnsi="Nimbus Roman No9 L" w:eastAsia="仿宋_GB2312" w:cs="Nimbus Roman No9 L"/>
          <w:color w:val="auto"/>
          <w:sz w:val="32"/>
          <w:szCs w:val="32"/>
          <w:highlight w:val="none"/>
        </w:rPr>
        <w:t>二、机构设置</w:t>
      </w:r>
      <w:r>
        <w:rPr>
          <w:rFonts w:hint="default" w:ascii="Nimbus Roman No9 L" w:hAnsi="Nimbus Roman No9 L" w:eastAsia="仿宋_GB2312" w:cs="Nimbus Roman No9 L"/>
          <w:color w:val="auto"/>
          <w:sz w:val="32"/>
          <w:szCs w:val="32"/>
          <w:highlight w:val="none"/>
          <w:lang w:val="en-US" w:eastAsia="zh-CN"/>
        </w:rPr>
        <w:t>.....................................................................5</w:t>
      </w:r>
    </w:p>
    <w:p w14:paraId="33D7E81A">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Nimbus Roman No9 L" w:hAnsi="Nimbus Roman No9 L" w:eastAsia="黑体" w:cs="Nimbus Roman No9 L"/>
          <w:color w:val="auto"/>
          <w:sz w:val="32"/>
          <w:szCs w:val="32"/>
          <w:highlight w:val="none"/>
          <w:lang w:val="en-US" w:eastAsia="zh-CN"/>
        </w:rPr>
      </w:pPr>
      <w:r>
        <w:rPr>
          <w:rFonts w:hint="default" w:ascii="Nimbus Roman No9 L" w:hAnsi="Nimbus Roman No9 L" w:eastAsia="黑体" w:cs="Nimbus Roman No9 L"/>
          <w:color w:val="auto"/>
          <w:sz w:val="32"/>
          <w:szCs w:val="32"/>
          <w:highlight w:val="none"/>
        </w:rPr>
        <w:t>第二部分</w:t>
      </w:r>
      <w:r>
        <w:rPr>
          <w:rFonts w:hint="default" w:ascii="Nimbus Roman No9 L" w:hAnsi="Nimbus Roman No9 L" w:eastAsia="黑体" w:cs="Nimbus Roman No9 L"/>
          <w:color w:val="auto"/>
          <w:sz w:val="32"/>
          <w:szCs w:val="32"/>
          <w:highlight w:val="none"/>
          <w:lang w:val="en-US" w:eastAsia="zh-CN"/>
        </w:rPr>
        <w:t xml:space="preserve"> 2025年度</w:t>
      </w:r>
      <w:r>
        <w:rPr>
          <w:rFonts w:hint="default" w:ascii="Nimbus Roman No9 L" w:hAnsi="Nimbus Roman No9 L" w:eastAsia="黑体" w:cs="Nimbus Roman No9 L"/>
          <w:color w:val="auto"/>
          <w:sz w:val="32"/>
          <w:szCs w:val="32"/>
          <w:highlight w:val="none"/>
        </w:rPr>
        <w:t>部门决算情况说明</w:t>
      </w:r>
      <w:r>
        <w:rPr>
          <w:rFonts w:hint="default" w:ascii="Nimbus Roman No9 L" w:hAnsi="Nimbus Roman No9 L" w:eastAsia="黑体" w:cs="Nimbus Roman No9 L"/>
          <w:color w:val="auto"/>
          <w:sz w:val="32"/>
          <w:szCs w:val="32"/>
          <w:highlight w:val="none"/>
          <w:lang w:val="en-US" w:eastAsia="zh-CN"/>
        </w:rPr>
        <w:t>..................................6</w:t>
      </w:r>
    </w:p>
    <w:p w14:paraId="18C46590">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Nimbus Roman No9 L" w:hAnsi="Nimbus Roman No9 L" w:eastAsia="仿宋_GB2312" w:cs="Nimbus Roman No9 L"/>
          <w:color w:val="auto"/>
          <w:sz w:val="32"/>
          <w:szCs w:val="32"/>
          <w:highlight w:val="none"/>
          <w:lang w:val="en-US" w:eastAsia="zh-CN"/>
        </w:rPr>
      </w:pPr>
      <w:r>
        <w:rPr>
          <w:rFonts w:hint="default" w:ascii="Nimbus Roman No9 L" w:hAnsi="Nimbus Roman No9 L" w:eastAsia="仿宋_GB2312" w:cs="Nimbus Roman No9 L"/>
          <w:color w:val="auto"/>
          <w:sz w:val="32"/>
          <w:szCs w:val="32"/>
          <w:highlight w:val="none"/>
        </w:rPr>
        <w:t>一、收入支出决算总体情况说明</w:t>
      </w:r>
      <w:r>
        <w:rPr>
          <w:rFonts w:hint="default" w:ascii="Nimbus Roman No9 L" w:hAnsi="Nimbus Roman No9 L" w:eastAsia="仿宋_GB2312" w:cs="Nimbus Roman No9 L"/>
          <w:color w:val="auto"/>
          <w:sz w:val="32"/>
          <w:szCs w:val="32"/>
          <w:highlight w:val="none"/>
          <w:lang w:val="en-US" w:eastAsia="zh-CN"/>
        </w:rPr>
        <w:t>.....................................6</w:t>
      </w:r>
    </w:p>
    <w:p w14:paraId="241D52A2">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Nimbus Roman No9 L" w:hAnsi="Nimbus Roman No9 L" w:eastAsia="仿宋_GB2312" w:cs="Nimbus Roman No9 L"/>
          <w:color w:val="auto"/>
          <w:sz w:val="32"/>
          <w:szCs w:val="32"/>
          <w:highlight w:val="none"/>
          <w:lang w:val="en-US" w:eastAsia="zh-CN"/>
        </w:rPr>
      </w:pPr>
      <w:r>
        <w:rPr>
          <w:rFonts w:hint="default" w:ascii="Nimbus Roman No9 L" w:hAnsi="Nimbus Roman No9 L" w:eastAsia="仿宋_GB2312" w:cs="Nimbus Roman No9 L"/>
          <w:color w:val="auto"/>
          <w:sz w:val="32"/>
          <w:szCs w:val="32"/>
          <w:highlight w:val="none"/>
        </w:rPr>
        <w:t>二、收入决算情况说明</w:t>
      </w:r>
      <w:r>
        <w:rPr>
          <w:rFonts w:hint="default" w:ascii="Nimbus Roman No9 L" w:hAnsi="Nimbus Roman No9 L" w:eastAsia="仿宋_GB2312" w:cs="Nimbus Roman No9 L"/>
          <w:color w:val="auto"/>
          <w:sz w:val="32"/>
          <w:szCs w:val="32"/>
          <w:highlight w:val="none"/>
          <w:lang w:val="en-US" w:eastAsia="zh-CN"/>
        </w:rPr>
        <w:t>.....................................................6</w:t>
      </w:r>
    </w:p>
    <w:p w14:paraId="28D31598">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Nimbus Roman No9 L" w:hAnsi="Nimbus Roman No9 L" w:eastAsia="仿宋_GB2312" w:cs="Nimbus Roman No9 L"/>
          <w:color w:val="auto"/>
          <w:sz w:val="32"/>
          <w:szCs w:val="32"/>
          <w:highlight w:val="none"/>
          <w:lang w:val="en-US" w:eastAsia="zh-CN"/>
        </w:rPr>
      </w:pPr>
      <w:r>
        <w:rPr>
          <w:rFonts w:hint="default" w:ascii="Nimbus Roman No9 L" w:hAnsi="Nimbus Roman No9 L" w:eastAsia="仿宋_GB2312" w:cs="Nimbus Roman No9 L"/>
          <w:color w:val="auto"/>
          <w:sz w:val="32"/>
          <w:szCs w:val="32"/>
          <w:highlight w:val="none"/>
        </w:rPr>
        <w:t>三、支出决算情况说明</w:t>
      </w:r>
      <w:r>
        <w:rPr>
          <w:rFonts w:hint="default" w:ascii="Nimbus Roman No9 L" w:hAnsi="Nimbus Roman No9 L" w:eastAsia="仿宋_GB2312" w:cs="Nimbus Roman No9 L"/>
          <w:color w:val="auto"/>
          <w:sz w:val="32"/>
          <w:szCs w:val="32"/>
          <w:highlight w:val="none"/>
          <w:lang w:val="en-US" w:eastAsia="zh-CN"/>
        </w:rPr>
        <w:t>.....................................................7</w:t>
      </w:r>
    </w:p>
    <w:p w14:paraId="4E8B294F">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Nimbus Roman No9 L" w:hAnsi="Nimbus Roman No9 L" w:eastAsia="仿宋_GB2312" w:cs="Nimbus Roman No9 L"/>
          <w:color w:val="auto"/>
          <w:sz w:val="32"/>
          <w:szCs w:val="32"/>
          <w:highlight w:val="none"/>
          <w:lang w:val="en-US" w:eastAsia="zh-CN"/>
        </w:rPr>
      </w:pPr>
      <w:r>
        <w:rPr>
          <w:rFonts w:hint="default" w:ascii="Nimbus Roman No9 L" w:hAnsi="Nimbus Roman No9 L" w:eastAsia="仿宋_GB2312" w:cs="Nimbus Roman No9 L"/>
          <w:color w:val="auto"/>
          <w:sz w:val="32"/>
          <w:szCs w:val="32"/>
          <w:highlight w:val="none"/>
        </w:rPr>
        <w:t>四、财政拨款收入支出决算总体情况说明</w:t>
      </w:r>
      <w:r>
        <w:rPr>
          <w:rFonts w:hint="default" w:ascii="Nimbus Roman No9 L" w:hAnsi="Nimbus Roman No9 L" w:eastAsia="仿宋_GB2312" w:cs="Nimbus Roman No9 L"/>
          <w:color w:val="auto"/>
          <w:sz w:val="32"/>
          <w:szCs w:val="32"/>
          <w:highlight w:val="none"/>
          <w:lang w:val="en-US" w:eastAsia="zh-CN"/>
        </w:rPr>
        <w:t>.....................7</w:t>
      </w:r>
    </w:p>
    <w:p w14:paraId="7FECF028">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Nimbus Roman No9 L" w:hAnsi="Nimbus Roman No9 L" w:eastAsia="仿宋_GB2312" w:cs="Nimbus Roman No9 L"/>
          <w:color w:val="auto"/>
          <w:sz w:val="32"/>
          <w:szCs w:val="32"/>
          <w:highlight w:val="none"/>
          <w:lang w:val="en-US" w:eastAsia="zh-CN"/>
        </w:rPr>
      </w:pPr>
      <w:r>
        <w:rPr>
          <w:rFonts w:hint="default" w:ascii="Nimbus Roman No9 L" w:hAnsi="Nimbus Roman No9 L" w:eastAsia="仿宋_GB2312" w:cs="Nimbus Roman No9 L"/>
          <w:color w:val="auto"/>
          <w:sz w:val="32"/>
          <w:szCs w:val="32"/>
          <w:highlight w:val="none"/>
        </w:rPr>
        <w:t>五、一般公共预算财政拨款支出决算情况说明</w:t>
      </w:r>
      <w:r>
        <w:rPr>
          <w:rFonts w:hint="default" w:ascii="Nimbus Roman No9 L" w:hAnsi="Nimbus Roman No9 L" w:eastAsia="仿宋_GB2312" w:cs="Nimbus Roman No9 L"/>
          <w:color w:val="auto"/>
          <w:sz w:val="32"/>
          <w:szCs w:val="32"/>
          <w:highlight w:val="none"/>
          <w:lang w:val="en-US" w:eastAsia="zh-CN"/>
        </w:rPr>
        <w:t>.............8</w:t>
      </w:r>
    </w:p>
    <w:p w14:paraId="1FD0F21E">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Nimbus Roman No9 L" w:hAnsi="Nimbus Roman No9 L" w:eastAsia="仿宋_GB2312" w:cs="Nimbus Roman No9 L"/>
          <w:color w:val="auto"/>
          <w:sz w:val="32"/>
          <w:szCs w:val="32"/>
          <w:highlight w:val="none"/>
          <w:lang w:val="en-US" w:eastAsia="zh-CN"/>
        </w:rPr>
      </w:pPr>
      <w:r>
        <w:rPr>
          <w:rFonts w:hint="default" w:ascii="Nimbus Roman No9 L" w:hAnsi="Nimbus Roman No9 L" w:eastAsia="仿宋_GB2312" w:cs="Nimbus Roman No9 L"/>
          <w:color w:val="auto"/>
          <w:sz w:val="32"/>
          <w:szCs w:val="32"/>
          <w:highlight w:val="none"/>
        </w:rPr>
        <w:t>六、一般公共预算财政拨款基本支出决算情况说明</w:t>
      </w:r>
      <w:r>
        <w:rPr>
          <w:rFonts w:hint="default" w:ascii="Nimbus Roman No9 L" w:hAnsi="Nimbus Roman No9 L" w:eastAsia="仿宋_GB2312" w:cs="Nimbus Roman No9 L"/>
          <w:color w:val="auto"/>
          <w:sz w:val="32"/>
          <w:szCs w:val="32"/>
          <w:highlight w:val="none"/>
          <w:lang w:val="en-US" w:eastAsia="zh-CN"/>
        </w:rPr>
        <w:t>.....10</w:t>
      </w:r>
    </w:p>
    <w:p w14:paraId="5858FD79">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Nimbus Roman No9 L" w:hAnsi="Nimbus Roman No9 L" w:eastAsia="仿宋_GB2312" w:cs="Nimbus Roman No9 L"/>
          <w:color w:val="auto"/>
          <w:sz w:val="32"/>
          <w:szCs w:val="32"/>
          <w:highlight w:val="none"/>
          <w:lang w:val="en-US" w:eastAsia="zh-CN"/>
        </w:rPr>
      </w:pPr>
      <w:r>
        <w:rPr>
          <w:rFonts w:hint="default" w:ascii="Nimbus Roman No9 L" w:hAnsi="Nimbus Roman No9 L" w:eastAsia="仿宋_GB2312" w:cs="Nimbus Roman No9 L"/>
          <w:color w:val="auto"/>
          <w:sz w:val="32"/>
          <w:szCs w:val="32"/>
          <w:highlight w:val="none"/>
        </w:rPr>
        <w:t>七、财政拨款</w:t>
      </w:r>
      <w:r>
        <w:rPr>
          <w:rFonts w:hint="default" w:ascii="Nimbus Roman No9 L" w:hAnsi="Nimbus Roman No9 L" w:eastAsia="仿宋_GB2312" w:cs="Nimbus Roman No9 L"/>
          <w:color w:val="auto"/>
          <w:sz w:val="32"/>
          <w:szCs w:val="32"/>
          <w:highlight w:val="none"/>
          <w:lang w:eastAsia="zh-CN"/>
        </w:rPr>
        <w:t>“</w:t>
      </w:r>
      <w:r>
        <w:rPr>
          <w:rFonts w:hint="default" w:ascii="Nimbus Roman No9 L" w:hAnsi="Nimbus Roman No9 L" w:eastAsia="仿宋_GB2312" w:cs="Nimbus Roman No9 L"/>
          <w:color w:val="auto"/>
          <w:sz w:val="32"/>
          <w:szCs w:val="32"/>
          <w:highlight w:val="none"/>
        </w:rPr>
        <w:t>三公”经费支出决算情况说明</w:t>
      </w:r>
      <w:r>
        <w:rPr>
          <w:rFonts w:hint="default" w:ascii="Nimbus Roman No9 L" w:hAnsi="Nimbus Roman No9 L" w:eastAsia="仿宋_GB2312" w:cs="Nimbus Roman No9 L"/>
          <w:color w:val="auto"/>
          <w:sz w:val="32"/>
          <w:szCs w:val="32"/>
          <w:highlight w:val="none"/>
          <w:lang w:val="en-US" w:eastAsia="zh-CN"/>
        </w:rPr>
        <w:t>.......</w:t>
      </w:r>
      <w:r>
        <w:rPr>
          <w:rFonts w:hint="eastAsia" w:ascii="Nimbus Roman No9 L" w:hAnsi="Nimbus Roman No9 L" w:eastAsia="仿宋_GB2312" w:cs="Nimbus Roman No9 L"/>
          <w:color w:val="auto"/>
          <w:sz w:val="32"/>
          <w:szCs w:val="32"/>
          <w:highlight w:val="none"/>
          <w:lang w:val="en-US" w:eastAsia="zh-CN"/>
        </w:rPr>
        <w:t>.....</w:t>
      </w:r>
      <w:r>
        <w:rPr>
          <w:rFonts w:hint="default" w:ascii="Nimbus Roman No9 L" w:hAnsi="Nimbus Roman No9 L" w:eastAsia="仿宋_GB2312" w:cs="Nimbus Roman No9 L"/>
          <w:color w:val="auto"/>
          <w:sz w:val="32"/>
          <w:szCs w:val="32"/>
          <w:highlight w:val="none"/>
          <w:lang w:val="en-US" w:eastAsia="zh-CN"/>
        </w:rPr>
        <w:t>....11</w:t>
      </w:r>
    </w:p>
    <w:p w14:paraId="2B8C9D53">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Nimbus Roman No9 L" w:hAnsi="Nimbus Roman No9 L" w:eastAsia="仿宋_GB2312" w:cs="Nimbus Roman No9 L"/>
          <w:color w:val="auto"/>
          <w:sz w:val="32"/>
          <w:szCs w:val="32"/>
          <w:highlight w:val="none"/>
          <w:lang w:val="en-US" w:eastAsia="zh-CN"/>
        </w:rPr>
      </w:pPr>
      <w:r>
        <w:rPr>
          <w:rFonts w:hint="default" w:ascii="Nimbus Roman No9 L" w:hAnsi="Nimbus Roman No9 L" w:eastAsia="仿宋_GB2312" w:cs="Nimbus Roman No9 L"/>
          <w:color w:val="auto"/>
          <w:sz w:val="32"/>
          <w:szCs w:val="32"/>
          <w:highlight w:val="none"/>
        </w:rPr>
        <w:t>八、政府性基金预算支出决算情况说明</w:t>
      </w:r>
      <w:r>
        <w:rPr>
          <w:rFonts w:hint="default" w:ascii="Nimbus Roman No9 L" w:hAnsi="Nimbus Roman No9 L" w:eastAsia="仿宋_GB2312" w:cs="Nimbus Roman No9 L"/>
          <w:color w:val="auto"/>
          <w:sz w:val="32"/>
          <w:szCs w:val="32"/>
          <w:highlight w:val="none"/>
          <w:lang w:val="en-US" w:eastAsia="zh-CN"/>
        </w:rPr>
        <w:t>.......................13</w:t>
      </w:r>
    </w:p>
    <w:p w14:paraId="08A44F86">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Nimbus Roman No9 L" w:hAnsi="Nimbus Roman No9 L" w:eastAsia="仿宋_GB2312" w:cs="Nimbus Roman No9 L"/>
          <w:color w:val="auto"/>
          <w:sz w:val="32"/>
          <w:szCs w:val="32"/>
          <w:highlight w:val="none"/>
          <w:lang w:val="en-US" w:eastAsia="zh-CN"/>
        </w:rPr>
      </w:pPr>
      <w:r>
        <w:rPr>
          <w:rFonts w:hint="default" w:ascii="Nimbus Roman No9 L" w:hAnsi="Nimbus Roman No9 L" w:eastAsia="仿宋_GB2312" w:cs="Nimbus Roman No9 L"/>
          <w:color w:val="auto"/>
          <w:sz w:val="32"/>
          <w:szCs w:val="32"/>
          <w:highlight w:val="none"/>
        </w:rPr>
        <w:t>九、</w:t>
      </w:r>
      <w:r>
        <w:rPr>
          <w:rFonts w:hint="default" w:ascii="Nimbus Roman No9 L" w:hAnsi="Nimbus Roman No9 L" w:eastAsia="仿宋_GB2312" w:cs="Nimbus Roman No9 L"/>
          <w:color w:val="auto"/>
          <w:sz w:val="32"/>
          <w:szCs w:val="32"/>
          <w:highlight w:val="none"/>
          <w:lang w:eastAsia="zh-CN"/>
        </w:rPr>
        <w:t>国</w:t>
      </w:r>
      <w:r>
        <w:rPr>
          <w:rFonts w:hint="default" w:ascii="Nimbus Roman No9 L" w:hAnsi="Nimbus Roman No9 L" w:eastAsia="仿宋_GB2312" w:cs="Nimbus Roman No9 L"/>
          <w:color w:val="auto"/>
          <w:sz w:val="32"/>
          <w:szCs w:val="32"/>
          <w:highlight w:val="none"/>
        </w:rPr>
        <w:t>有资本经营预算支出决算情况说明</w:t>
      </w:r>
      <w:r>
        <w:rPr>
          <w:rFonts w:hint="default" w:ascii="Nimbus Roman No9 L" w:hAnsi="Nimbus Roman No9 L" w:eastAsia="仿宋_GB2312" w:cs="Nimbus Roman No9 L"/>
          <w:color w:val="auto"/>
          <w:sz w:val="32"/>
          <w:szCs w:val="32"/>
          <w:highlight w:val="none"/>
          <w:lang w:val="en-US" w:eastAsia="zh-CN"/>
        </w:rPr>
        <w:t>...................13</w:t>
      </w:r>
    </w:p>
    <w:p w14:paraId="0731C7C1">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Nimbus Roman No9 L" w:hAnsi="Nimbus Roman No9 L" w:eastAsia="仿宋_GB2312" w:cs="Nimbus Roman No9 L"/>
          <w:color w:val="auto"/>
          <w:sz w:val="32"/>
          <w:szCs w:val="32"/>
          <w:highlight w:val="none"/>
          <w:lang w:val="en-US" w:eastAsia="zh-CN"/>
        </w:rPr>
      </w:pPr>
      <w:r>
        <w:rPr>
          <w:rFonts w:hint="default" w:ascii="Nimbus Roman No9 L" w:hAnsi="Nimbus Roman No9 L" w:eastAsia="仿宋_GB2312" w:cs="Nimbus Roman No9 L"/>
          <w:color w:val="auto"/>
          <w:sz w:val="32"/>
          <w:szCs w:val="32"/>
          <w:highlight w:val="none"/>
          <w:lang w:eastAsia="zh-CN"/>
        </w:rPr>
        <w:t>十</w:t>
      </w:r>
      <w:r>
        <w:rPr>
          <w:rFonts w:hint="default" w:ascii="Nimbus Roman No9 L" w:hAnsi="Nimbus Roman No9 L" w:eastAsia="仿宋_GB2312" w:cs="Nimbus Roman No9 L"/>
          <w:color w:val="auto"/>
          <w:sz w:val="32"/>
          <w:szCs w:val="32"/>
          <w:highlight w:val="none"/>
        </w:rPr>
        <w:t>、其他重要事项的情况说明</w:t>
      </w:r>
      <w:r>
        <w:rPr>
          <w:rFonts w:hint="default" w:ascii="Nimbus Roman No9 L" w:hAnsi="Nimbus Roman No9 L" w:eastAsia="仿宋_GB2312" w:cs="Nimbus Roman No9 L"/>
          <w:color w:val="auto"/>
          <w:sz w:val="32"/>
          <w:szCs w:val="32"/>
          <w:highlight w:val="none"/>
          <w:lang w:val="en-US" w:eastAsia="zh-CN"/>
        </w:rPr>
        <w:t>.......................................13</w:t>
      </w:r>
    </w:p>
    <w:p w14:paraId="340CC12B">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Nimbus Roman No9 L" w:hAnsi="Nimbus Roman No9 L" w:eastAsia="黑体" w:cs="Nimbus Roman No9 L"/>
          <w:color w:val="auto"/>
          <w:sz w:val="32"/>
          <w:szCs w:val="32"/>
          <w:highlight w:val="none"/>
          <w:lang w:val="en-US" w:eastAsia="zh-CN"/>
        </w:rPr>
      </w:pPr>
      <w:r>
        <w:rPr>
          <w:rFonts w:hint="default" w:ascii="Nimbus Roman No9 L" w:hAnsi="Nimbus Roman No9 L" w:eastAsia="黑体" w:cs="Nimbus Roman No9 L"/>
          <w:color w:val="auto"/>
          <w:sz w:val="32"/>
          <w:szCs w:val="32"/>
          <w:highlight w:val="none"/>
        </w:rPr>
        <w:t>第三部分 名词解释</w:t>
      </w:r>
      <w:r>
        <w:rPr>
          <w:rFonts w:hint="default" w:ascii="Nimbus Roman No9 L" w:hAnsi="Nimbus Roman No9 L" w:eastAsia="黑体" w:cs="Nimbus Roman No9 L"/>
          <w:color w:val="auto"/>
          <w:sz w:val="32"/>
          <w:szCs w:val="32"/>
          <w:highlight w:val="none"/>
          <w:lang w:val="en-US" w:eastAsia="zh-CN"/>
        </w:rPr>
        <w:t>.................................................................15</w:t>
      </w:r>
    </w:p>
    <w:p w14:paraId="602C65B5">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Nimbus Roman No9 L" w:hAnsi="Nimbus Roman No9 L" w:eastAsia="黑体" w:cs="Nimbus Roman No9 L"/>
          <w:color w:val="auto"/>
          <w:sz w:val="32"/>
          <w:szCs w:val="32"/>
          <w:highlight w:val="none"/>
          <w:lang w:val="en-US" w:eastAsia="zh-CN"/>
        </w:rPr>
      </w:pPr>
      <w:r>
        <w:rPr>
          <w:rFonts w:hint="default" w:ascii="Nimbus Roman No9 L" w:hAnsi="Nimbus Roman No9 L" w:eastAsia="黑体" w:cs="Nimbus Roman No9 L"/>
          <w:color w:val="auto"/>
          <w:sz w:val="32"/>
          <w:szCs w:val="32"/>
          <w:highlight w:val="none"/>
        </w:rPr>
        <w:t>第四部分 附件</w:t>
      </w:r>
      <w:r>
        <w:rPr>
          <w:rFonts w:hint="default" w:ascii="Nimbus Roman No9 L" w:hAnsi="Nimbus Roman No9 L" w:eastAsia="黑体" w:cs="Nimbus Roman No9 L"/>
          <w:color w:val="auto"/>
          <w:sz w:val="32"/>
          <w:szCs w:val="32"/>
          <w:highlight w:val="none"/>
          <w:lang w:val="en-US" w:eastAsia="zh-CN"/>
        </w:rPr>
        <w:t>.........................................................................17</w:t>
      </w:r>
    </w:p>
    <w:p w14:paraId="7CA8F648">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Nimbus Roman No9 L" w:hAnsi="Nimbus Roman No9 L" w:eastAsia="黑体" w:cs="Nimbus Roman No9 L"/>
          <w:color w:val="auto"/>
          <w:sz w:val="32"/>
          <w:szCs w:val="32"/>
          <w:highlight w:val="none"/>
          <w:lang w:val="en-US" w:eastAsia="zh-CN"/>
        </w:rPr>
      </w:pPr>
      <w:r>
        <w:rPr>
          <w:rFonts w:hint="default" w:ascii="Nimbus Roman No9 L" w:hAnsi="Nimbus Roman No9 L" w:eastAsia="黑体" w:cs="Nimbus Roman No9 L"/>
          <w:color w:val="auto"/>
          <w:sz w:val="32"/>
          <w:szCs w:val="32"/>
          <w:highlight w:val="none"/>
        </w:rPr>
        <w:t>第五部分 附表</w:t>
      </w:r>
      <w:r>
        <w:rPr>
          <w:rFonts w:hint="default" w:ascii="Nimbus Roman No9 L" w:hAnsi="Nimbus Roman No9 L" w:eastAsia="黑体" w:cs="Nimbus Roman No9 L"/>
          <w:color w:val="auto"/>
          <w:sz w:val="32"/>
          <w:szCs w:val="32"/>
          <w:highlight w:val="none"/>
          <w:lang w:val="en-US" w:eastAsia="zh-CN"/>
        </w:rPr>
        <w:t>.........................................................................18</w:t>
      </w:r>
    </w:p>
    <w:p w14:paraId="4093ACFC">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Nimbus Roman No9 L" w:hAnsi="Nimbus Roman No9 L" w:eastAsia="仿宋_GB2312" w:cs="Nimbus Roman No9 L"/>
          <w:color w:val="auto"/>
          <w:sz w:val="32"/>
          <w:szCs w:val="32"/>
          <w:highlight w:val="none"/>
          <w:lang w:val="en-US"/>
        </w:rPr>
      </w:pPr>
      <w:r>
        <w:rPr>
          <w:rFonts w:hint="default" w:ascii="Nimbus Roman No9 L" w:hAnsi="Nimbus Roman No9 L" w:eastAsia="仿宋_GB2312" w:cs="Nimbus Roman No9 L"/>
          <w:color w:val="auto"/>
          <w:sz w:val="32"/>
          <w:szCs w:val="32"/>
          <w:highlight w:val="none"/>
        </w:rPr>
        <w:t>一、收入支出决算总表</w:t>
      </w:r>
      <w:r>
        <w:rPr>
          <w:rFonts w:hint="default" w:ascii="Nimbus Roman No9 L" w:hAnsi="Nimbus Roman No9 L" w:eastAsia="黑体" w:cs="Nimbus Roman No9 L"/>
          <w:color w:val="auto"/>
          <w:sz w:val="32"/>
          <w:szCs w:val="32"/>
          <w:highlight w:val="none"/>
          <w:lang w:val="en-US" w:eastAsia="zh-CN"/>
        </w:rPr>
        <w:t>...................................................18</w:t>
      </w:r>
    </w:p>
    <w:p w14:paraId="713AAABD">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Nimbus Roman No9 L" w:hAnsi="Nimbus Roman No9 L" w:eastAsia="仿宋_GB2312" w:cs="Nimbus Roman No9 L"/>
          <w:color w:val="auto"/>
          <w:sz w:val="32"/>
          <w:szCs w:val="32"/>
          <w:highlight w:val="none"/>
        </w:rPr>
      </w:pPr>
      <w:r>
        <w:rPr>
          <w:rFonts w:hint="default" w:ascii="Nimbus Roman No9 L" w:hAnsi="Nimbus Roman No9 L" w:eastAsia="仿宋_GB2312" w:cs="Nimbus Roman No9 L"/>
          <w:color w:val="auto"/>
          <w:sz w:val="32"/>
          <w:szCs w:val="32"/>
          <w:highlight w:val="none"/>
        </w:rPr>
        <w:t>二、收入决算表</w:t>
      </w:r>
      <w:r>
        <w:rPr>
          <w:rFonts w:hint="default" w:ascii="Nimbus Roman No9 L" w:hAnsi="Nimbus Roman No9 L" w:eastAsia="黑体" w:cs="Nimbus Roman No9 L"/>
          <w:color w:val="auto"/>
          <w:sz w:val="32"/>
          <w:szCs w:val="32"/>
          <w:highlight w:val="none"/>
          <w:lang w:val="en-US" w:eastAsia="zh-CN"/>
        </w:rPr>
        <w:t>...............................................................18</w:t>
      </w:r>
    </w:p>
    <w:p w14:paraId="30747B79">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Nimbus Roman No9 L" w:hAnsi="Nimbus Roman No9 L" w:eastAsia="仿宋_GB2312" w:cs="Nimbus Roman No9 L"/>
          <w:color w:val="auto"/>
          <w:sz w:val="32"/>
          <w:szCs w:val="32"/>
          <w:highlight w:val="none"/>
          <w:lang w:val="en-US" w:eastAsia="zh-CN"/>
        </w:rPr>
      </w:pPr>
      <w:r>
        <w:rPr>
          <w:rFonts w:hint="default" w:ascii="Nimbus Roman No9 L" w:hAnsi="Nimbus Roman No9 L" w:eastAsia="仿宋_GB2312" w:cs="Nimbus Roman No9 L"/>
          <w:color w:val="auto"/>
          <w:sz w:val="32"/>
          <w:szCs w:val="32"/>
          <w:highlight w:val="none"/>
        </w:rPr>
        <w:t>三、支出决算表</w:t>
      </w:r>
      <w:r>
        <w:rPr>
          <w:rFonts w:hint="default" w:ascii="Nimbus Roman No9 L" w:hAnsi="Nimbus Roman No9 L" w:eastAsia="仿宋_GB2312" w:cs="Nimbus Roman No9 L"/>
          <w:color w:val="auto"/>
          <w:sz w:val="32"/>
          <w:szCs w:val="32"/>
          <w:highlight w:val="none"/>
          <w:lang w:val="en-US" w:eastAsia="zh-CN"/>
        </w:rPr>
        <w:t>...............................................................18</w:t>
      </w:r>
    </w:p>
    <w:p w14:paraId="10C31B6B">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Nimbus Roman No9 L" w:hAnsi="Nimbus Roman No9 L" w:eastAsia="仿宋_GB2312" w:cs="Nimbus Roman No9 L"/>
          <w:color w:val="auto"/>
          <w:sz w:val="32"/>
          <w:szCs w:val="32"/>
          <w:highlight w:val="none"/>
          <w:lang w:val="en-US" w:eastAsia="zh-CN"/>
        </w:rPr>
      </w:pPr>
      <w:r>
        <w:rPr>
          <w:rFonts w:hint="default" w:ascii="Nimbus Roman No9 L" w:hAnsi="Nimbus Roman No9 L" w:eastAsia="仿宋_GB2312" w:cs="Nimbus Roman No9 L"/>
          <w:color w:val="auto"/>
          <w:sz w:val="32"/>
          <w:szCs w:val="32"/>
          <w:highlight w:val="none"/>
        </w:rPr>
        <w:t>四、财政拨款收入支出决算总表</w:t>
      </w:r>
      <w:r>
        <w:rPr>
          <w:rFonts w:hint="default" w:ascii="Nimbus Roman No9 L" w:hAnsi="Nimbus Roman No9 L" w:eastAsia="仿宋_GB2312" w:cs="Nimbus Roman No9 L"/>
          <w:color w:val="auto"/>
          <w:sz w:val="32"/>
          <w:szCs w:val="32"/>
          <w:highlight w:val="none"/>
          <w:lang w:val="en-US" w:eastAsia="zh-CN"/>
        </w:rPr>
        <w:t>................................18</w:t>
      </w:r>
    </w:p>
    <w:p w14:paraId="0D433E1D">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Nimbus Roman No9 L" w:hAnsi="Nimbus Roman No9 L" w:eastAsia="仿宋_GB2312" w:cs="Nimbus Roman No9 L"/>
          <w:color w:val="auto"/>
          <w:sz w:val="32"/>
          <w:szCs w:val="32"/>
          <w:highlight w:val="none"/>
          <w:lang w:val="en-US" w:eastAsia="zh-CN"/>
        </w:rPr>
      </w:pPr>
      <w:r>
        <w:rPr>
          <w:rFonts w:hint="default" w:ascii="Nimbus Roman No9 L" w:hAnsi="Nimbus Roman No9 L" w:eastAsia="仿宋_GB2312" w:cs="Nimbus Roman No9 L"/>
          <w:color w:val="auto"/>
          <w:sz w:val="32"/>
          <w:szCs w:val="32"/>
          <w:highlight w:val="none"/>
        </w:rPr>
        <w:t>五、财政拨款支出决算明细表</w:t>
      </w:r>
      <w:r>
        <w:rPr>
          <w:rFonts w:hint="default" w:ascii="Nimbus Roman No9 L" w:hAnsi="Nimbus Roman No9 L" w:eastAsia="仿宋_GB2312" w:cs="Nimbus Roman No9 L"/>
          <w:color w:val="auto"/>
          <w:sz w:val="32"/>
          <w:szCs w:val="32"/>
          <w:highlight w:val="none"/>
          <w:lang w:val="en-US" w:eastAsia="zh-CN"/>
        </w:rPr>
        <w:t>....................................18</w:t>
      </w:r>
    </w:p>
    <w:p w14:paraId="4F301DDA">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Nimbus Roman No9 L" w:hAnsi="Nimbus Roman No9 L" w:eastAsia="仿宋_GB2312" w:cs="Nimbus Roman No9 L"/>
          <w:color w:val="auto"/>
          <w:sz w:val="32"/>
          <w:szCs w:val="32"/>
          <w:highlight w:val="none"/>
          <w:lang w:val="en-US" w:eastAsia="zh-CN"/>
        </w:rPr>
      </w:pPr>
      <w:r>
        <w:rPr>
          <w:rFonts w:hint="default" w:ascii="Nimbus Roman No9 L" w:hAnsi="Nimbus Roman No9 L" w:eastAsia="仿宋_GB2312" w:cs="Nimbus Roman No9 L"/>
          <w:color w:val="auto"/>
          <w:sz w:val="32"/>
          <w:szCs w:val="32"/>
          <w:highlight w:val="none"/>
        </w:rPr>
        <w:t>六、一般公共预算财政拨款支出决算表</w:t>
      </w:r>
      <w:r>
        <w:rPr>
          <w:rFonts w:hint="default" w:ascii="Nimbus Roman No9 L" w:hAnsi="Nimbus Roman No9 L" w:eastAsia="仿宋_GB2312" w:cs="Nimbus Roman No9 L"/>
          <w:color w:val="auto"/>
          <w:sz w:val="32"/>
          <w:szCs w:val="32"/>
          <w:highlight w:val="none"/>
          <w:lang w:val="en-US" w:eastAsia="zh-CN"/>
        </w:rPr>
        <w:t>....................18</w:t>
      </w:r>
    </w:p>
    <w:p w14:paraId="50648363">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Nimbus Roman No9 L" w:hAnsi="Nimbus Roman No9 L" w:eastAsia="仿宋_GB2312" w:cs="Nimbus Roman No9 L"/>
          <w:color w:val="auto"/>
          <w:sz w:val="32"/>
          <w:szCs w:val="32"/>
          <w:highlight w:val="none"/>
          <w:lang w:val="en-US" w:eastAsia="zh-CN"/>
        </w:rPr>
      </w:pPr>
      <w:r>
        <w:rPr>
          <w:rFonts w:hint="default" w:ascii="Nimbus Roman No9 L" w:hAnsi="Nimbus Roman No9 L" w:eastAsia="仿宋_GB2312" w:cs="Nimbus Roman No9 L"/>
          <w:color w:val="auto"/>
          <w:sz w:val="32"/>
          <w:szCs w:val="32"/>
          <w:highlight w:val="none"/>
        </w:rPr>
        <w:t>七、一般公共预算财政拨款支出决算明细表</w:t>
      </w:r>
      <w:r>
        <w:rPr>
          <w:rFonts w:hint="default" w:ascii="Nimbus Roman No9 L" w:hAnsi="Nimbus Roman No9 L" w:eastAsia="仿宋_GB2312" w:cs="Nimbus Roman No9 L"/>
          <w:color w:val="auto"/>
          <w:sz w:val="32"/>
          <w:szCs w:val="32"/>
          <w:highlight w:val="none"/>
          <w:lang w:val="en-US" w:eastAsia="zh-CN"/>
        </w:rPr>
        <w:t>............18</w:t>
      </w:r>
    </w:p>
    <w:p w14:paraId="58B44BAA">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Nimbus Roman No9 L" w:hAnsi="Nimbus Roman No9 L" w:eastAsia="仿宋_GB2312" w:cs="Nimbus Roman No9 L"/>
          <w:color w:val="auto"/>
          <w:sz w:val="32"/>
          <w:szCs w:val="32"/>
          <w:highlight w:val="none"/>
          <w:lang w:val="en-US" w:eastAsia="zh-CN"/>
        </w:rPr>
      </w:pPr>
      <w:r>
        <w:rPr>
          <w:rFonts w:hint="default" w:ascii="Nimbus Roman No9 L" w:hAnsi="Nimbus Roman No9 L" w:eastAsia="仿宋_GB2312" w:cs="Nimbus Roman No9 L"/>
          <w:color w:val="auto"/>
          <w:sz w:val="32"/>
          <w:szCs w:val="32"/>
          <w:highlight w:val="none"/>
        </w:rPr>
        <w:t>八、一般公共预算财政拨款基本支出决算</w:t>
      </w:r>
      <w:r>
        <w:rPr>
          <w:rFonts w:hint="default" w:ascii="Nimbus Roman No9 L" w:hAnsi="Nimbus Roman No9 L" w:eastAsia="仿宋_GB2312" w:cs="Nimbus Roman No9 L"/>
          <w:color w:val="auto"/>
          <w:sz w:val="32"/>
          <w:szCs w:val="32"/>
          <w:highlight w:val="none"/>
          <w:lang w:eastAsia="zh-CN"/>
        </w:rPr>
        <w:t>明细</w:t>
      </w:r>
      <w:r>
        <w:rPr>
          <w:rFonts w:hint="default" w:ascii="Nimbus Roman No9 L" w:hAnsi="Nimbus Roman No9 L" w:eastAsia="仿宋_GB2312" w:cs="Nimbus Roman No9 L"/>
          <w:color w:val="auto"/>
          <w:sz w:val="32"/>
          <w:szCs w:val="32"/>
          <w:highlight w:val="none"/>
        </w:rPr>
        <w:t>表</w:t>
      </w:r>
      <w:r>
        <w:rPr>
          <w:rFonts w:hint="default" w:ascii="Nimbus Roman No9 L" w:hAnsi="Nimbus Roman No9 L" w:eastAsia="仿宋_GB2312" w:cs="Nimbus Roman No9 L"/>
          <w:color w:val="auto"/>
          <w:sz w:val="32"/>
          <w:szCs w:val="32"/>
          <w:highlight w:val="none"/>
          <w:lang w:val="en-US" w:eastAsia="zh-CN"/>
        </w:rPr>
        <w:t>....18</w:t>
      </w:r>
    </w:p>
    <w:p w14:paraId="3647D3DD">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Nimbus Roman No9 L" w:hAnsi="Nimbus Roman No9 L" w:eastAsia="仿宋_GB2312" w:cs="Nimbus Roman No9 L"/>
          <w:color w:val="auto"/>
          <w:sz w:val="32"/>
          <w:szCs w:val="32"/>
          <w:highlight w:val="none"/>
          <w:lang w:val="en-US" w:eastAsia="zh-CN"/>
        </w:rPr>
      </w:pPr>
      <w:r>
        <w:rPr>
          <w:rFonts w:hint="default" w:ascii="Nimbus Roman No9 L" w:hAnsi="Nimbus Roman No9 L" w:eastAsia="仿宋_GB2312" w:cs="Nimbus Roman No9 L"/>
          <w:color w:val="auto"/>
          <w:sz w:val="32"/>
          <w:szCs w:val="32"/>
          <w:highlight w:val="none"/>
        </w:rPr>
        <w:t>九、一般公共预算财政拨款项目支出决算表</w:t>
      </w:r>
      <w:r>
        <w:rPr>
          <w:rFonts w:hint="default" w:ascii="Nimbus Roman No9 L" w:hAnsi="Nimbus Roman No9 L" w:eastAsia="仿宋_GB2312" w:cs="Nimbus Roman No9 L"/>
          <w:color w:val="auto"/>
          <w:sz w:val="32"/>
          <w:szCs w:val="32"/>
          <w:highlight w:val="none"/>
          <w:lang w:val="en-US" w:eastAsia="zh-CN"/>
        </w:rPr>
        <w:t>............17</w:t>
      </w:r>
    </w:p>
    <w:p w14:paraId="172279AF">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Nimbus Roman No9 L" w:hAnsi="Nimbus Roman No9 L" w:eastAsia="仿宋_GB2312" w:cs="Nimbus Roman No9 L"/>
          <w:color w:val="auto"/>
          <w:sz w:val="32"/>
          <w:szCs w:val="32"/>
          <w:highlight w:val="none"/>
          <w:lang w:val="en-US" w:eastAsia="zh-CN"/>
        </w:rPr>
      </w:pPr>
      <w:r>
        <w:rPr>
          <w:rFonts w:hint="default" w:ascii="Nimbus Roman No9 L" w:hAnsi="Nimbus Roman No9 L" w:eastAsia="仿宋_GB2312" w:cs="Nimbus Roman No9 L"/>
          <w:color w:val="auto"/>
          <w:sz w:val="32"/>
          <w:szCs w:val="32"/>
          <w:highlight w:val="none"/>
        </w:rPr>
        <w:t>十、政府性基金预算财政拨款收入支出决算表</w:t>
      </w:r>
      <w:r>
        <w:rPr>
          <w:rFonts w:hint="default" w:ascii="Nimbus Roman No9 L" w:hAnsi="Nimbus Roman No9 L" w:eastAsia="仿宋_GB2312" w:cs="Nimbus Roman No9 L"/>
          <w:color w:val="auto"/>
          <w:sz w:val="32"/>
          <w:szCs w:val="32"/>
          <w:highlight w:val="none"/>
          <w:lang w:val="en-US" w:eastAsia="zh-CN"/>
        </w:rPr>
        <w:t>........18</w:t>
      </w:r>
    </w:p>
    <w:p w14:paraId="536000C5">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Nimbus Roman No9 L" w:hAnsi="Nimbus Roman No9 L" w:eastAsia="仿宋_GB2312" w:cs="Nimbus Roman No9 L"/>
          <w:color w:val="auto"/>
          <w:sz w:val="32"/>
          <w:szCs w:val="32"/>
          <w:highlight w:val="none"/>
          <w:lang w:val="en-US" w:eastAsia="zh-CN"/>
        </w:rPr>
      </w:pPr>
      <w:r>
        <w:rPr>
          <w:rFonts w:hint="default" w:ascii="Nimbus Roman No9 L" w:hAnsi="Nimbus Roman No9 L" w:eastAsia="仿宋_GB2312" w:cs="Nimbus Roman No9 L"/>
          <w:color w:val="auto"/>
          <w:sz w:val="32"/>
          <w:szCs w:val="32"/>
          <w:highlight w:val="none"/>
        </w:rPr>
        <w:t>十一、国有资本经营预算财政拨款收入支出决算表</w:t>
      </w:r>
      <w:r>
        <w:rPr>
          <w:rFonts w:hint="default" w:ascii="Nimbus Roman No9 L" w:hAnsi="Nimbus Roman No9 L" w:eastAsia="仿宋_GB2312" w:cs="Nimbus Roman No9 L"/>
          <w:color w:val="auto"/>
          <w:sz w:val="32"/>
          <w:szCs w:val="32"/>
          <w:highlight w:val="none"/>
          <w:lang w:val="en-US" w:eastAsia="zh-CN"/>
        </w:rPr>
        <w:t>.18</w:t>
      </w:r>
    </w:p>
    <w:p w14:paraId="05285D22">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Nimbus Roman No9 L" w:hAnsi="Nimbus Roman No9 L" w:eastAsia="仿宋_GB2312" w:cs="Nimbus Roman No9 L"/>
          <w:color w:val="auto"/>
          <w:sz w:val="32"/>
          <w:szCs w:val="32"/>
          <w:highlight w:val="none"/>
          <w:lang w:val="en-US"/>
        </w:rPr>
      </w:pPr>
      <w:r>
        <w:rPr>
          <w:rFonts w:hint="default" w:ascii="Nimbus Roman No9 L" w:hAnsi="Nimbus Roman No9 L" w:eastAsia="仿宋_GB2312" w:cs="Nimbus Roman No9 L"/>
          <w:color w:val="auto"/>
          <w:sz w:val="32"/>
          <w:szCs w:val="32"/>
          <w:highlight w:val="none"/>
        </w:rPr>
        <w:t>十二、</w:t>
      </w:r>
      <w:r>
        <w:rPr>
          <w:rFonts w:hint="default" w:ascii="Nimbus Roman No9 L" w:hAnsi="Nimbus Roman No9 L" w:eastAsia="仿宋_GB2312" w:cs="Nimbus Roman No9 L"/>
          <w:color w:val="auto"/>
          <w:sz w:val="32"/>
          <w:szCs w:val="32"/>
          <w:highlight w:val="none"/>
          <w:lang w:val="en-US" w:eastAsia="zh-CN"/>
        </w:rPr>
        <w:t>国有资本经营预算财政拨款支出决算表........18</w:t>
      </w:r>
    </w:p>
    <w:p w14:paraId="2823D348">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Nimbus Roman No9 L" w:hAnsi="Nimbus Roman No9 L" w:eastAsia="仿宋_GB2312" w:cs="Nimbus Roman No9 L"/>
          <w:color w:val="auto"/>
          <w:sz w:val="32"/>
          <w:szCs w:val="32"/>
          <w:highlight w:val="none"/>
          <w:lang w:val="en-US" w:eastAsia="zh-CN"/>
        </w:rPr>
      </w:pPr>
      <w:r>
        <w:rPr>
          <w:rFonts w:hint="default" w:ascii="Nimbus Roman No9 L" w:hAnsi="Nimbus Roman No9 L" w:eastAsia="仿宋_GB2312" w:cs="Nimbus Roman No9 L"/>
          <w:color w:val="auto"/>
          <w:sz w:val="32"/>
          <w:szCs w:val="32"/>
          <w:highlight w:val="none"/>
        </w:rPr>
        <w:t>十三、财政拨款“三公”经费支出决算表</w:t>
      </w:r>
      <w:r>
        <w:rPr>
          <w:rFonts w:hint="default" w:ascii="Nimbus Roman No9 L" w:hAnsi="Nimbus Roman No9 L" w:eastAsia="仿宋_GB2312" w:cs="Nimbus Roman No9 L"/>
          <w:color w:val="auto"/>
          <w:sz w:val="32"/>
          <w:szCs w:val="32"/>
          <w:highlight w:val="none"/>
          <w:lang w:val="en-US" w:eastAsia="zh-CN"/>
        </w:rPr>
        <w:t>................18</w:t>
      </w:r>
    </w:p>
    <w:p w14:paraId="50387590">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3" w:firstLineChars="200"/>
        <w:jc w:val="left"/>
        <w:textAlignment w:val="auto"/>
        <w:rPr>
          <w:rFonts w:hint="default" w:ascii="Nimbus Roman No9 L" w:hAnsi="Nimbus Roman No9 L" w:eastAsia="仿宋_GB2312" w:cs="Nimbus Roman No9 L"/>
          <w:b/>
          <w:bCs/>
          <w:color w:val="auto"/>
          <w:sz w:val="32"/>
          <w:szCs w:val="32"/>
          <w:highlight w:val="none"/>
          <w:lang w:eastAsia="zh-CN"/>
        </w:rPr>
      </w:pPr>
    </w:p>
    <w:p w14:paraId="0DE748A9">
      <w:pPr>
        <w:keepNext w:val="0"/>
        <w:keepLines w:val="0"/>
        <w:pageBreakBefore w:val="0"/>
        <w:widowControl/>
        <w:kinsoku/>
        <w:wordWrap/>
        <w:overflowPunct/>
        <w:topLinePunct w:val="0"/>
        <w:autoSpaceDE/>
        <w:autoSpaceDN/>
        <w:bidi w:val="0"/>
        <w:spacing w:line="560" w:lineRule="exact"/>
        <w:jc w:val="left"/>
        <w:textAlignment w:val="auto"/>
        <w:rPr>
          <w:rFonts w:hint="default" w:ascii="Nimbus Roman No9 L" w:hAnsi="Nimbus Roman No9 L" w:eastAsia="仿宋_GB2312" w:cs="Nimbus Roman No9 L"/>
          <w:bCs/>
          <w:color w:val="auto"/>
          <w:kern w:val="44"/>
          <w:sz w:val="32"/>
          <w:szCs w:val="32"/>
          <w:highlight w:val="none"/>
        </w:rPr>
      </w:pPr>
      <w:bookmarkStart w:id="12" w:name="_Toc15377196"/>
      <w:bookmarkStart w:id="13" w:name="_Toc15396599"/>
      <w:r>
        <w:rPr>
          <w:rFonts w:hint="default" w:ascii="Nimbus Roman No9 L" w:hAnsi="Nimbus Roman No9 L" w:eastAsia="仿宋_GB2312" w:cs="Nimbus Roman No9 L"/>
          <w:b/>
          <w:color w:val="auto"/>
          <w:sz w:val="32"/>
          <w:szCs w:val="32"/>
          <w:highlight w:val="none"/>
        </w:rPr>
        <w:br w:type="page"/>
      </w:r>
    </w:p>
    <w:p w14:paraId="5B7172E7">
      <w:pPr>
        <w:pStyle w:val="5"/>
        <w:bidi w:val="0"/>
        <w:jc w:val="center"/>
        <w:rPr>
          <w:rStyle w:val="28"/>
          <w:rFonts w:hint="default" w:ascii="Nimbus Roman No9 L" w:hAnsi="Nimbus Roman No9 L" w:eastAsia="方正小标宋简体" w:cs="Nimbus Roman No9 L"/>
          <w:b/>
          <w:bCs w:val="0"/>
          <w:color w:val="auto"/>
          <w:highlight w:val="none"/>
        </w:rPr>
      </w:pPr>
      <w:bookmarkStart w:id="14" w:name="_Toc37999081"/>
      <w:r>
        <w:rPr>
          <w:rFonts w:hint="default" w:ascii="Nimbus Roman No9 L" w:hAnsi="Nimbus Roman No9 L" w:eastAsia="方正小标宋简体" w:cs="Nimbus Roman No9 L"/>
          <w:b w:val="0"/>
          <w:color w:val="auto"/>
          <w:highlight w:val="none"/>
        </w:rPr>
        <w:t>第一部分</w:t>
      </w:r>
      <w:r>
        <w:rPr>
          <w:rFonts w:hint="default" w:ascii="Nimbus Roman No9 L" w:hAnsi="Nimbus Roman No9 L" w:eastAsia="方正小标宋简体" w:cs="Nimbus Roman No9 L"/>
          <w:b w:val="0"/>
          <w:color w:val="auto"/>
          <w:highlight w:val="none"/>
          <w:lang w:val="en-US" w:eastAsia="zh-CN"/>
        </w:rPr>
        <w:t xml:space="preserve"> </w:t>
      </w:r>
      <w:r>
        <w:rPr>
          <w:rFonts w:hint="default" w:ascii="Nimbus Roman No9 L" w:hAnsi="Nimbus Roman No9 L" w:eastAsia="方正小标宋简体" w:cs="Nimbus Roman No9 L"/>
          <w:b w:val="0"/>
          <w:color w:val="auto"/>
          <w:highlight w:val="none"/>
        </w:rPr>
        <w:t xml:space="preserve"> </w:t>
      </w:r>
      <w:r>
        <w:rPr>
          <w:rStyle w:val="28"/>
          <w:rFonts w:hint="default" w:ascii="Nimbus Roman No9 L" w:hAnsi="Nimbus Roman No9 L" w:eastAsia="方正小标宋简体" w:cs="Nimbus Roman No9 L"/>
          <w:b w:val="0"/>
          <w:bCs w:val="0"/>
          <w:color w:val="auto"/>
          <w:highlight w:val="none"/>
        </w:rPr>
        <w:t>部门概况</w:t>
      </w:r>
      <w:bookmarkEnd w:id="12"/>
      <w:bookmarkEnd w:id="13"/>
      <w:bookmarkEnd w:id="14"/>
    </w:p>
    <w:p w14:paraId="1405AA80">
      <w:pPr>
        <w:widowControl/>
        <w:jc w:val="left"/>
        <w:rPr>
          <w:rFonts w:hint="default" w:ascii="Nimbus Roman No9 L" w:hAnsi="Nimbus Roman No9 L" w:eastAsia="黑体" w:cs="Nimbus Roman No9 L"/>
          <w:color w:val="auto"/>
          <w:sz w:val="32"/>
          <w:szCs w:val="32"/>
          <w:highlight w:val="none"/>
        </w:rPr>
      </w:pPr>
    </w:p>
    <w:p w14:paraId="59B57FED">
      <w:pPr>
        <w:pStyle w:val="6"/>
        <w:pageBreakBefore w:val="0"/>
        <w:widowControl w:val="0"/>
        <w:kinsoku/>
        <w:wordWrap/>
        <w:overflowPunct/>
        <w:topLinePunct w:val="0"/>
        <w:autoSpaceDE/>
        <w:autoSpaceDN/>
        <w:bidi w:val="0"/>
        <w:adjustRightInd/>
        <w:snapToGrid/>
        <w:spacing w:before="0" w:after="0"/>
        <w:ind w:firstLine="643" w:firstLineChars="200"/>
        <w:textAlignment w:val="auto"/>
        <w:rPr>
          <w:rFonts w:hint="default" w:ascii="Nimbus Roman No9 L" w:hAnsi="Nimbus Roman No9 L" w:cs="Nimbus Roman No9 L"/>
          <w:lang w:eastAsia="zh-CN"/>
        </w:rPr>
      </w:pPr>
      <w:bookmarkStart w:id="15" w:name="_Toc15377197"/>
      <w:bookmarkStart w:id="16" w:name="_Toc15396600"/>
      <w:bookmarkStart w:id="17" w:name="_Toc1834891752"/>
      <w:r>
        <w:rPr>
          <w:rFonts w:hint="default" w:ascii="Nimbus Roman No9 L" w:hAnsi="Nimbus Roman No9 L" w:cs="Nimbus Roman No9 L"/>
        </w:rPr>
        <w:t>一、</w:t>
      </w:r>
      <w:bookmarkEnd w:id="15"/>
      <w:bookmarkEnd w:id="16"/>
      <w:r>
        <w:rPr>
          <w:rFonts w:hint="eastAsia" w:ascii="Nimbus Roman No9 L" w:hAnsi="Nimbus Roman No9 L" w:cs="Nimbus Roman No9 L"/>
          <w:lang w:eastAsia="zh-CN"/>
        </w:rPr>
        <w:t>部门</w:t>
      </w:r>
      <w:r>
        <w:rPr>
          <w:rFonts w:hint="default" w:ascii="Nimbus Roman No9 L" w:hAnsi="Nimbus Roman No9 L" w:cs="Nimbus Roman No9 L"/>
          <w:lang w:eastAsia="zh-CN"/>
        </w:rPr>
        <w:t>职责</w:t>
      </w:r>
      <w:bookmarkEnd w:id="17"/>
    </w:p>
    <w:p w14:paraId="12B5C025">
      <w:pPr>
        <w:pageBreakBefore w:val="0"/>
        <w:widowControl w:val="0"/>
        <w:kinsoku/>
        <w:wordWrap/>
        <w:overflowPunct/>
        <w:topLinePunct w:val="0"/>
        <w:autoSpaceDE/>
        <w:autoSpaceDN/>
        <w:bidi w:val="0"/>
        <w:adjustRightInd/>
        <w:snapToGrid/>
        <w:spacing w:line="600" w:lineRule="atLeast"/>
        <w:ind w:firstLine="640" w:firstLineChars="200"/>
        <w:textAlignment w:val="auto"/>
        <w:rPr>
          <w:rFonts w:hint="default" w:ascii="Nimbus Roman No9 L" w:hAnsi="Nimbus Roman No9 L" w:cs="Nimbus Roman No9 L"/>
          <w:lang w:eastAsia="zh-CN"/>
        </w:rPr>
      </w:pPr>
      <w:r>
        <w:rPr>
          <w:rFonts w:hint="default" w:ascii="Nimbus Roman No9 L" w:hAnsi="Nimbus Roman No9 L" w:eastAsia="仿宋_GB2312" w:cs="Nimbus Roman No9 L"/>
          <w:sz w:val="32"/>
          <w:szCs w:val="32"/>
        </w:rPr>
        <w:t>研究实验基地和大型科学仪器设备共享平台的建设与管理，市级重点实验室的管理，自然科技资源共享平台的建设和管理，科学数据共享平台的建设与管理，科技文献共享平台的建设与管理，成果转化公共服务平台的建设与管理，网络科技环境平台的建设与管理，全市技术创新人才库的建设与管理，承担农村产业科技服务工作。</w:t>
      </w:r>
    </w:p>
    <w:p w14:paraId="33D91F8B">
      <w:pPr>
        <w:pStyle w:val="6"/>
        <w:pageBreakBefore w:val="0"/>
        <w:widowControl w:val="0"/>
        <w:kinsoku/>
        <w:wordWrap/>
        <w:overflowPunct/>
        <w:topLinePunct w:val="0"/>
        <w:autoSpaceDE/>
        <w:autoSpaceDN/>
        <w:bidi w:val="0"/>
        <w:adjustRightInd/>
        <w:snapToGrid/>
        <w:spacing w:before="0" w:after="0"/>
        <w:ind w:firstLine="643" w:firstLineChars="200"/>
        <w:textAlignment w:val="auto"/>
        <w:rPr>
          <w:rFonts w:hint="default" w:ascii="Nimbus Roman No9 L" w:hAnsi="Nimbus Roman No9 L" w:cs="Nimbus Roman No9 L"/>
        </w:rPr>
      </w:pPr>
      <w:bookmarkStart w:id="18" w:name="_Toc830415059"/>
      <w:bookmarkStart w:id="19" w:name="_Toc15396601"/>
      <w:bookmarkStart w:id="20" w:name="_Toc15377200"/>
      <w:r>
        <w:rPr>
          <w:rFonts w:hint="default" w:ascii="Nimbus Roman No9 L" w:hAnsi="Nimbus Roman No9 L" w:cs="Nimbus Roman No9 L"/>
        </w:rPr>
        <w:t>二、机构设置</w:t>
      </w:r>
      <w:bookmarkEnd w:id="18"/>
      <w:bookmarkEnd w:id="19"/>
      <w:bookmarkEnd w:id="20"/>
    </w:p>
    <w:p w14:paraId="0999D941">
      <w:pPr>
        <w:pageBreakBefore w:val="0"/>
        <w:widowControl w:val="0"/>
        <w:kinsoku/>
        <w:wordWrap/>
        <w:overflowPunct/>
        <w:topLinePunct w:val="0"/>
        <w:autoSpaceDE/>
        <w:autoSpaceDN/>
        <w:bidi w:val="0"/>
        <w:adjustRightInd/>
        <w:snapToGrid/>
        <w:spacing w:line="600" w:lineRule="atLeast"/>
        <w:ind w:firstLine="640" w:firstLineChars="200"/>
        <w:textAlignment w:val="auto"/>
        <w:rPr>
          <w:rFonts w:hint="default" w:ascii="Nimbus Roman No9 L" w:hAnsi="Nimbus Roman No9 L" w:eastAsia="仿宋_GB2312" w:cs="Nimbus Roman No9 L"/>
          <w:sz w:val="32"/>
          <w:szCs w:val="32"/>
          <w:lang w:val="en-US" w:eastAsia="zh-CN"/>
        </w:rPr>
      </w:pPr>
      <w:r>
        <w:rPr>
          <w:rFonts w:hint="default" w:ascii="Nimbus Roman No9 L" w:hAnsi="Nimbus Roman No9 L" w:eastAsia="仿宋_GB2312" w:cs="Nimbus Roman No9 L"/>
          <w:sz w:val="32"/>
          <w:szCs w:val="32"/>
          <w:lang w:eastAsia="zh-CN"/>
        </w:rPr>
        <w:t>攀枝花市科技基础条件平台属财政拨款公益二类事业单位</w:t>
      </w:r>
      <w:r>
        <w:rPr>
          <w:rFonts w:hint="default" w:ascii="Nimbus Roman No9 L" w:hAnsi="Nimbus Roman No9 L" w:eastAsia="仿宋_GB2312" w:cs="Nimbus Roman No9 L"/>
          <w:sz w:val="32"/>
          <w:szCs w:val="32"/>
          <w:lang w:val="en-US" w:eastAsia="zh-CN"/>
        </w:rPr>
        <w:t>，内设机构2个（综合部、业务部），事业编制12人。2025年底，实有在职人员12人，退休人员6人。</w:t>
      </w:r>
    </w:p>
    <w:p w14:paraId="042ADBD1">
      <w:pPr>
        <w:pageBreakBefore w:val="0"/>
        <w:widowControl/>
        <w:kinsoku/>
        <w:wordWrap/>
        <w:overflowPunct/>
        <w:topLinePunct w:val="0"/>
        <w:autoSpaceDE/>
        <w:autoSpaceDN/>
        <w:bidi w:val="0"/>
        <w:adjustRightInd/>
        <w:snapToGrid/>
        <w:jc w:val="left"/>
        <w:textAlignment w:val="auto"/>
        <w:rPr>
          <w:rFonts w:hint="default" w:ascii="Nimbus Roman No9 L" w:hAnsi="Nimbus Roman No9 L" w:eastAsia="仿宋" w:cs="Nimbus Roman No9 L"/>
          <w:color w:val="auto"/>
          <w:kern w:val="0"/>
          <w:sz w:val="32"/>
          <w:szCs w:val="32"/>
          <w:highlight w:val="none"/>
        </w:rPr>
      </w:pPr>
      <w:r>
        <w:rPr>
          <w:rFonts w:hint="default" w:ascii="Nimbus Roman No9 L" w:hAnsi="Nimbus Roman No9 L" w:eastAsia="仿宋" w:cs="Nimbus Roman No9 L"/>
          <w:color w:val="auto"/>
          <w:sz w:val="32"/>
          <w:szCs w:val="32"/>
          <w:highlight w:val="none"/>
        </w:rPr>
        <w:br w:type="page"/>
      </w:r>
    </w:p>
    <w:p w14:paraId="7155FDD9">
      <w:pPr>
        <w:pStyle w:val="5"/>
        <w:bidi w:val="0"/>
        <w:rPr>
          <w:rFonts w:hint="default" w:ascii="Nimbus Roman No9 L" w:hAnsi="Nimbus Roman No9 L" w:cs="Nimbus Roman No9 L"/>
        </w:rPr>
      </w:pPr>
      <w:bookmarkStart w:id="21" w:name="_Toc15396602"/>
      <w:bookmarkStart w:id="22" w:name="_Toc15377204"/>
      <w:bookmarkStart w:id="23" w:name="_Toc1293598275"/>
      <w:r>
        <w:rPr>
          <w:rFonts w:hint="default" w:ascii="Nimbus Roman No9 L" w:hAnsi="Nimbus Roman No9 L" w:cs="Nimbus Roman No9 L"/>
        </w:rPr>
        <w:t>第二部分</w:t>
      </w:r>
      <w:r>
        <w:rPr>
          <w:rFonts w:hint="default" w:ascii="Nimbus Roman No9 L" w:hAnsi="Nimbus Roman No9 L" w:cs="Nimbus Roman No9 L"/>
          <w:lang w:val="en-US" w:eastAsia="zh-CN"/>
        </w:rPr>
        <w:t xml:space="preserve"> </w:t>
      </w:r>
      <w:r>
        <w:rPr>
          <w:rFonts w:hint="default" w:ascii="Nimbus Roman No9 L" w:hAnsi="Nimbus Roman No9 L" w:cs="Nimbus Roman No9 L"/>
        </w:rPr>
        <w:t xml:space="preserve"> </w:t>
      </w:r>
      <w:r>
        <w:rPr>
          <w:rFonts w:hint="default" w:ascii="Nimbus Roman No9 L" w:hAnsi="Nimbus Roman No9 L" w:cs="Nimbus Roman No9 L"/>
          <w:lang w:val="en-US" w:eastAsia="zh-CN"/>
        </w:rPr>
        <w:t>2025年度</w:t>
      </w:r>
      <w:r>
        <w:rPr>
          <w:rFonts w:hint="default" w:ascii="Nimbus Roman No9 L" w:hAnsi="Nimbus Roman No9 L" w:cs="Nimbus Roman No9 L"/>
        </w:rPr>
        <w:t>部门决算情况说明</w:t>
      </w:r>
      <w:bookmarkEnd w:id="21"/>
      <w:bookmarkEnd w:id="22"/>
      <w:bookmarkEnd w:id="23"/>
    </w:p>
    <w:p w14:paraId="129EDA26">
      <w:pPr>
        <w:rPr>
          <w:rFonts w:hint="default" w:ascii="Nimbus Roman No9 L" w:hAnsi="Nimbus Roman No9 L" w:cs="Nimbus Roman No9 L"/>
          <w:color w:val="auto"/>
          <w:highlight w:val="none"/>
        </w:rPr>
      </w:pPr>
    </w:p>
    <w:p w14:paraId="4F5C2B9D">
      <w:pPr>
        <w:pStyle w:val="6"/>
        <w:keepNext/>
        <w:keepLines/>
        <w:pageBreakBefore w:val="0"/>
        <w:widowControl w:val="0"/>
        <w:kinsoku/>
        <w:wordWrap/>
        <w:overflowPunct/>
        <w:topLinePunct w:val="0"/>
        <w:autoSpaceDE/>
        <w:autoSpaceDN/>
        <w:bidi w:val="0"/>
        <w:adjustRightInd/>
        <w:snapToGrid/>
        <w:spacing w:before="0" w:after="0" w:line="416" w:lineRule="auto"/>
        <w:ind w:firstLine="640" w:firstLineChars="200"/>
        <w:textAlignment w:val="auto"/>
        <w:rPr>
          <w:rFonts w:hint="default" w:ascii="Nimbus Roman No9 L" w:hAnsi="Nimbus Roman No9 L" w:eastAsia="黑体" w:cs="Nimbus Roman No9 L"/>
          <w:b w:val="0"/>
          <w:bCs w:val="0"/>
          <w:color w:val="auto"/>
          <w:sz w:val="32"/>
          <w:szCs w:val="32"/>
          <w:highlight w:val="none"/>
          <w:lang w:eastAsia="zh-CN"/>
        </w:rPr>
      </w:pPr>
      <w:bookmarkStart w:id="24" w:name="_Toc15396603"/>
      <w:bookmarkStart w:id="25" w:name="_Toc15377205"/>
      <w:bookmarkStart w:id="26" w:name="_Toc14495472"/>
      <w:r>
        <w:rPr>
          <w:rFonts w:hint="default" w:ascii="Nimbus Roman No9 L" w:hAnsi="Nimbus Roman No9 L" w:eastAsia="黑体" w:cs="Nimbus Roman No9 L"/>
          <w:b w:val="0"/>
          <w:bCs w:val="0"/>
          <w:color w:val="auto"/>
          <w:sz w:val="32"/>
          <w:szCs w:val="32"/>
          <w:highlight w:val="none"/>
          <w:lang w:eastAsia="zh-CN"/>
        </w:rPr>
        <w:t>一、</w:t>
      </w:r>
      <w:r>
        <w:rPr>
          <w:rFonts w:hint="default" w:ascii="Nimbus Roman No9 L" w:hAnsi="Nimbus Roman No9 L" w:eastAsia="黑体" w:cs="Nimbus Roman No9 L"/>
          <w:b w:val="0"/>
          <w:bCs w:val="0"/>
          <w:color w:val="auto"/>
          <w:sz w:val="32"/>
          <w:szCs w:val="32"/>
          <w:highlight w:val="none"/>
        </w:rPr>
        <w:t>收</w:t>
      </w:r>
      <w:r>
        <w:rPr>
          <w:rFonts w:hint="default" w:ascii="Nimbus Roman No9 L" w:hAnsi="Nimbus Roman No9 L" w:eastAsia="黑体" w:cs="Nimbus Roman No9 L"/>
          <w:b w:val="0"/>
          <w:bCs w:val="0"/>
          <w:color w:val="auto"/>
          <w:sz w:val="32"/>
          <w:szCs w:val="32"/>
          <w:highlight w:val="none"/>
          <w:lang w:eastAsia="zh-CN"/>
        </w:rPr>
        <w:t>入支出决算总体情况说明</w:t>
      </w:r>
      <w:bookmarkEnd w:id="24"/>
      <w:bookmarkEnd w:id="25"/>
      <w:bookmarkEnd w:id="26"/>
    </w:p>
    <w:p w14:paraId="0E301912">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default" w:ascii="Nimbus Roman No9 L" w:hAnsi="Nimbus Roman No9 L" w:eastAsia="仿宋_GB2312" w:cs="Nimbus Roman No9 L"/>
          <w:color w:val="auto"/>
          <w:sz w:val="32"/>
          <w:szCs w:val="32"/>
          <w:highlight w:val="none"/>
          <w:lang w:eastAsia="zh-CN"/>
        </w:rPr>
      </w:pPr>
      <w:bookmarkStart w:id="27" w:name="_Toc1916662787"/>
      <w:r>
        <w:rPr>
          <w:rFonts w:hint="default" w:ascii="Nimbus Roman No9 L" w:hAnsi="Nimbus Roman No9 L" w:eastAsia="仿宋_GB2312" w:cs="Nimbus Roman No9 L"/>
          <w:color w:val="auto"/>
          <w:sz w:val="32"/>
          <w:szCs w:val="32"/>
          <w:highlight w:val="none"/>
          <w:lang w:eastAsia="zh-CN"/>
        </w:rPr>
        <w:t>2025年度收入</w:t>
      </w:r>
      <w:r>
        <w:rPr>
          <w:rFonts w:hint="default" w:ascii="Nimbus Roman No9 L" w:hAnsi="Nimbus Roman No9 L" w:eastAsia="仿宋_GB2312" w:cs="Nimbus Roman No9 L"/>
          <w:color w:val="auto"/>
          <w:sz w:val="32"/>
          <w:szCs w:val="32"/>
          <w:highlight w:val="none"/>
        </w:rPr>
        <w:t>、</w:t>
      </w:r>
      <w:r>
        <w:rPr>
          <w:rFonts w:hint="default" w:ascii="Nimbus Roman No9 L" w:hAnsi="Nimbus Roman No9 L" w:eastAsia="仿宋_GB2312" w:cs="Nimbus Roman No9 L"/>
          <w:color w:val="auto"/>
          <w:sz w:val="32"/>
          <w:szCs w:val="32"/>
          <w:highlight w:val="none"/>
          <w:lang w:eastAsia="zh-CN"/>
        </w:rPr>
        <w:t>支出</w:t>
      </w:r>
      <w:r>
        <w:rPr>
          <w:rFonts w:hint="default" w:ascii="Nimbus Roman No9 L" w:hAnsi="Nimbus Roman No9 L" w:eastAsia="仿宋_GB2312" w:cs="Nimbus Roman No9 L"/>
          <w:color w:val="auto"/>
          <w:sz w:val="32"/>
          <w:szCs w:val="32"/>
          <w:highlight w:val="none"/>
        </w:rPr>
        <w:t>总计</w:t>
      </w:r>
      <w:r>
        <w:rPr>
          <w:rFonts w:hint="default" w:ascii="Nimbus Roman No9 L" w:hAnsi="Nimbus Roman No9 L" w:eastAsia="仿宋_GB2312" w:cs="Nimbus Roman No9 L"/>
          <w:color w:val="auto"/>
          <w:sz w:val="32"/>
          <w:szCs w:val="32"/>
          <w:highlight w:val="none"/>
          <w:lang w:eastAsia="zh-CN"/>
        </w:rPr>
        <w:t>均为</w:t>
      </w:r>
      <w:r>
        <w:rPr>
          <w:rFonts w:hint="default" w:ascii="Nimbus Roman No9 L" w:hAnsi="Nimbus Roman No9 L" w:eastAsia="仿宋_GB2312" w:cs="Nimbus Roman No9 L"/>
          <w:sz w:val="32"/>
          <w:szCs w:val="32"/>
        </w:rPr>
        <w:t>264.87</w:t>
      </w:r>
      <w:r>
        <w:rPr>
          <w:rFonts w:hint="default" w:ascii="Nimbus Roman No9 L" w:hAnsi="Nimbus Roman No9 L" w:eastAsia="仿宋_GB2312" w:cs="Nimbus Roman No9 L"/>
          <w:color w:val="auto"/>
          <w:sz w:val="32"/>
          <w:szCs w:val="32"/>
          <w:highlight w:val="none"/>
        </w:rPr>
        <w:t>万元。与</w:t>
      </w:r>
      <w:r>
        <w:rPr>
          <w:rFonts w:hint="default" w:ascii="Nimbus Roman No9 L" w:hAnsi="Nimbus Roman No9 L" w:eastAsia="仿宋_GB2312" w:cs="Nimbus Roman No9 L"/>
          <w:color w:val="auto"/>
          <w:sz w:val="32"/>
          <w:szCs w:val="32"/>
          <w:highlight w:val="none"/>
          <w:lang w:eastAsia="zh-CN"/>
        </w:rPr>
        <w:t>上</w:t>
      </w:r>
      <w:r>
        <w:rPr>
          <w:rFonts w:hint="default" w:ascii="Nimbus Roman No9 L" w:hAnsi="Nimbus Roman No9 L" w:eastAsia="仿宋_GB2312" w:cs="Nimbus Roman No9 L"/>
          <w:color w:val="auto"/>
          <w:sz w:val="32"/>
          <w:szCs w:val="32"/>
          <w:highlight w:val="none"/>
        </w:rPr>
        <w:t>年</w:t>
      </w:r>
      <w:r>
        <w:rPr>
          <w:rFonts w:hint="default" w:ascii="Nimbus Roman No9 L" w:hAnsi="Nimbus Roman No9 L" w:eastAsia="仿宋_GB2312" w:cs="Nimbus Roman No9 L"/>
          <w:color w:val="auto"/>
          <w:sz w:val="32"/>
          <w:szCs w:val="32"/>
          <w:highlight w:val="none"/>
          <w:lang w:eastAsia="zh-CN"/>
        </w:rPr>
        <w:t>度</w:t>
      </w:r>
      <w:r>
        <w:rPr>
          <w:rFonts w:hint="default" w:ascii="Nimbus Roman No9 L" w:hAnsi="Nimbus Roman No9 L" w:eastAsia="仿宋_GB2312" w:cs="Nimbus Roman No9 L"/>
          <w:color w:val="auto"/>
          <w:sz w:val="32"/>
          <w:szCs w:val="32"/>
          <w:highlight w:val="none"/>
        </w:rPr>
        <w:t>相比，</w:t>
      </w:r>
      <w:r>
        <w:rPr>
          <w:rFonts w:hint="default" w:ascii="Nimbus Roman No9 L" w:hAnsi="Nimbus Roman No9 L" w:eastAsia="仿宋_GB2312" w:cs="Nimbus Roman No9 L"/>
          <w:color w:val="auto"/>
          <w:sz w:val="32"/>
          <w:szCs w:val="32"/>
          <w:highlight w:val="none"/>
          <w:lang w:eastAsia="zh-CN"/>
        </w:rPr>
        <w:t>收入</w:t>
      </w:r>
      <w:r>
        <w:rPr>
          <w:rFonts w:hint="default" w:ascii="Nimbus Roman No9 L" w:hAnsi="Nimbus Roman No9 L" w:eastAsia="仿宋_GB2312" w:cs="Nimbus Roman No9 L"/>
          <w:color w:val="auto"/>
          <w:sz w:val="32"/>
          <w:szCs w:val="32"/>
          <w:highlight w:val="none"/>
        </w:rPr>
        <w:t>、</w:t>
      </w:r>
      <w:r>
        <w:rPr>
          <w:rFonts w:hint="default" w:ascii="Nimbus Roman No9 L" w:hAnsi="Nimbus Roman No9 L" w:eastAsia="仿宋_GB2312" w:cs="Nimbus Roman No9 L"/>
          <w:color w:val="auto"/>
          <w:sz w:val="32"/>
          <w:szCs w:val="32"/>
          <w:highlight w:val="none"/>
          <w:lang w:eastAsia="zh-CN"/>
        </w:rPr>
        <w:t>支出</w:t>
      </w:r>
      <w:r>
        <w:rPr>
          <w:rFonts w:hint="default" w:ascii="Nimbus Roman No9 L" w:hAnsi="Nimbus Roman No9 L" w:eastAsia="仿宋_GB2312" w:cs="Nimbus Roman No9 L"/>
          <w:color w:val="auto"/>
          <w:sz w:val="32"/>
          <w:szCs w:val="32"/>
          <w:highlight w:val="none"/>
        </w:rPr>
        <w:t>总计各增加</w:t>
      </w:r>
      <w:r>
        <w:rPr>
          <w:rFonts w:hint="default" w:ascii="Nimbus Roman No9 L" w:hAnsi="Nimbus Roman No9 L" w:eastAsia="仿宋_GB2312" w:cs="Nimbus Roman No9 L"/>
          <w:color w:val="auto"/>
          <w:sz w:val="32"/>
          <w:szCs w:val="32"/>
          <w:highlight w:val="none"/>
          <w:lang w:val="en-US" w:eastAsia="zh-CN"/>
        </w:rPr>
        <w:t>54.58</w:t>
      </w:r>
      <w:r>
        <w:rPr>
          <w:rFonts w:hint="default" w:ascii="Nimbus Roman No9 L" w:hAnsi="Nimbus Roman No9 L" w:eastAsia="仿宋_GB2312" w:cs="Nimbus Roman No9 L"/>
          <w:color w:val="auto"/>
          <w:sz w:val="32"/>
          <w:szCs w:val="32"/>
          <w:highlight w:val="none"/>
        </w:rPr>
        <w:t>万元，增长</w:t>
      </w:r>
      <w:r>
        <w:rPr>
          <w:rFonts w:hint="eastAsia" w:ascii="Nimbus Roman No9 L" w:hAnsi="Nimbus Roman No9 L" w:eastAsia="仿宋_GB2312" w:cs="Nimbus Roman No9 L"/>
          <w:color w:val="auto"/>
          <w:sz w:val="32"/>
          <w:szCs w:val="32"/>
          <w:highlight w:val="none"/>
          <w:lang w:val="en-US" w:eastAsia="zh-CN"/>
        </w:rPr>
        <w:t>26</w:t>
      </w:r>
      <w:r>
        <w:rPr>
          <w:rFonts w:hint="default" w:ascii="Nimbus Roman No9 L" w:hAnsi="Nimbus Roman No9 L" w:eastAsia="仿宋_GB2312" w:cs="Nimbus Roman No9 L"/>
          <w:color w:val="auto"/>
          <w:sz w:val="32"/>
          <w:szCs w:val="32"/>
          <w:highlight w:val="none"/>
        </w:rPr>
        <w:t>%。主要变动原因是</w:t>
      </w:r>
      <w:r>
        <w:rPr>
          <w:rFonts w:hint="default" w:ascii="Nimbus Roman No9 L" w:hAnsi="Nimbus Roman No9 L" w:eastAsia="仿宋_GB2312" w:cs="Nimbus Roman No9 L"/>
          <w:color w:val="auto"/>
          <w:sz w:val="32"/>
          <w:szCs w:val="32"/>
          <w:highlight w:val="none"/>
          <w:lang w:eastAsia="zh-CN"/>
        </w:rPr>
        <w:t>人员增加，项目经费支出增加。</w:t>
      </w:r>
      <w:bookmarkEnd w:id="27"/>
    </w:p>
    <w:p w14:paraId="5A28F83F">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default" w:ascii="Nimbus Roman No9 L" w:hAnsi="Nimbus Roman No9 L" w:eastAsia="仿宋_GB2312" w:cs="Nimbus Roman No9 L"/>
          <w:color w:val="auto"/>
          <w:sz w:val="32"/>
          <w:szCs w:val="32"/>
          <w:highlight w:val="none"/>
        </w:rPr>
      </w:pPr>
      <w:bookmarkStart w:id="28" w:name="_Toc1628495593"/>
      <w:r>
        <w:rPr>
          <w:rFonts w:hint="default" w:ascii="Nimbus Roman No9 L" w:hAnsi="Nimbus Roman No9 L" w:eastAsia="仿宋_GB2312" w:cs="Nimbus Roman No9 L"/>
          <w:color w:val="auto"/>
          <w:sz w:val="32"/>
          <w:szCs w:val="32"/>
          <w:highlight w:val="none"/>
        </w:rPr>
        <w:t>（图1：</w:t>
      </w:r>
      <w:r>
        <w:rPr>
          <w:rFonts w:hint="default" w:ascii="Nimbus Roman No9 L" w:hAnsi="Nimbus Roman No9 L" w:eastAsia="仿宋_GB2312" w:cs="Nimbus Roman No9 L"/>
          <w:color w:val="auto"/>
          <w:sz w:val="32"/>
          <w:szCs w:val="32"/>
          <w:highlight w:val="none"/>
          <w:lang w:eastAsia="zh-CN"/>
        </w:rPr>
        <w:t>收入</w:t>
      </w:r>
      <w:r>
        <w:rPr>
          <w:rFonts w:hint="default" w:ascii="Nimbus Roman No9 L" w:hAnsi="Nimbus Roman No9 L" w:eastAsia="仿宋_GB2312" w:cs="Nimbus Roman No9 L"/>
          <w:color w:val="auto"/>
          <w:sz w:val="32"/>
          <w:szCs w:val="32"/>
          <w:highlight w:val="none"/>
        </w:rPr>
        <w:t>、</w:t>
      </w:r>
      <w:r>
        <w:rPr>
          <w:rFonts w:hint="default" w:ascii="Nimbus Roman No9 L" w:hAnsi="Nimbus Roman No9 L" w:eastAsia="仿宋_GB2312" w:cs="Nimbus Roman No9 L"/>
          <w:color w:val="auto"/>
          <w:sz w:val="32"/>
          <w:szCs w:val="32"/>
          <w:highlight w:val="none"/>
          <w:lang w:eastAsia="zh-CN"/>
        </w:rPr>
        <w:t>支出</w:t>
      </w:r>
      <w:r>
        <w:rPr>
          <w:rFonts w:hint="default" w:ascii="Nimbus Roman No9 L" w:hAnsi="Nimbus Roman No9 L" w:eastAsia="仿宋_GB2312" w:cs="Nimbus Roman No9 L"/>
          <w:color w:val="auto"/>
          <w:sz w:val="32"/>
          <w:szCs w:val="32"/>
          <w:highlight w:val="none"/>
        </w:rPr>
        <w:t>决算总计变动情况图）（柱状图）</w:t>
      </w:r>
      <w:bookmarkEnd w:id="28"/>
    </w:p>
    <w:p w14:paraId="793947D8">
      <w:pPr>
        <w:pStyle w:val="8"/>
        <w:jc w:val="center"/>
        <w:rPr>
          <w:rFonts w:hint="default" w:ascii="Nimbus Roman No9 L" w:hAnsi="Nimbus Roman No9 L" w:eastAsia="仿宋_GB2312" w:cs="Nimbus Roman No9 L"/>
          <w:color w:val="auto"/>
          <w:sz w:val="32"/>
          <w:szCs w:val="32"/>
          <w:highlight w:val="none"/>
        </w:rPr>
      </w:pPr>
      <w:r>
        <w:rPr>
          <w:rFonts w:hint="default" w:ascii="Nimbus Roman No9 L" w:hAnsi="Nimbus Roman No9 L" w:cs="Nimbus Roman No9 L"/>
        </w:rPr>
        <w:drawing>
          <wp:inline distT="0" distB="0" distL="114300" distR="114300">
            <wp:extent cx="4918710" cy="2976880"/>
            <wp:effectExtent l="4445" t="4445" r="10795" b="9525"/>
            <wp:docPr id="1120"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DD00E83">
      <w:pPr>
        <w:pStyle w:val="6"/>
        <w:keepNext/>
        <w:keepLines/>
        <w:pageBreakBefore w:val="0"/>
        <w:widowControl w:val="0"/>
        <w:kinsoku/>
        <w:wordWrap/>
        <w:overflowPunct/>
        <w:topLinePunct w:val="0"/>
        <w:autoSpaceDE/>
        <w:autoSpaceDN/>
        <w:bidi w:val="0"/>
        <w:adjustRightInd/>
        <w:snapToGrid/>
        <w:spacing w:before="0" w:after="0" w:line="416" w:lineRule="auto"/>
        <w:ind w:firstLine="640" w:firstLineChars="200"/>
        <w:textAlignment w:val="auto"/>
        <w:rPr>
          <w:rFonts w:hint="default" w:ascii="Nimbus Roman No9 L" w:hAnsi="Nimbus Roman No9 L" w:eastAsia="黑体" w:cs="Nimbus Roman No9 L"/>
          <w:b w:val="0"/>
          <w:bCs w:val="0"/>
          <w:color w:val="auto"/>
          <w:sz w:val="32"/>
          <w:szCs w:val="32"/>
          <w:highlight w:val="none"/>
          <w:lang w:eastAsia="zh-CN"/>
        </w:rPr>
      </w:pPr>
      <w:bookmarkStart w:id="29" w:name="_Toc1263159016"/>
      <w:bookmarkStart w:id="30" w:name="_Toc15377206"/>
      <w:bookmarkStart w:id="31" w:name="_Toc15396604"/>
      <w:r>
        <w:rPr>
          <w:rFonts w:hint="default" w:ascii="Nimbus Roman No9 L" w:hAnsi="Nimbus Roman No9 L" w:eastAsia="黑体" w:cs="Nimbus Roman No9 L"/>
          <w:b w:val="0"/>
          <w:bCs w:val="0"/>
          <w:color w:val="auto"/>
          <w:sz w:val="32"/>
          <w:szCs w:val="32"/>
          <w:highlight w:val="none"/>
          <w:lang w:eastAsia="zh-CN"/>
        </w:rPr>
        <w:t>二、收入决算情况说明</w:t>
      </w:r>
      <w:bookmarkEnd w:id="29"/>
      <w:bookmarkEnd w:id="30"/>
      <w:bookmarkEnd w:id="31"/>
    </w:p>
    <w:p w14:paraId="05E55CB0">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default" w:ascii="Nimbus Roman No9 L" w:hAnsi="Nimbus Roman No9 L" w:eastAsia="仿宋_GB2312" w:cs="Nimbus Roman No9 L"/>
          <w:color w:val="auto"/>
          <w:sz w:val="32"/>
          <w:szCs w:val="32"/>
          <w:highlight w:val="none"/>
          <w:lang w:eastAsia="zh-CN"/>
        </w:rPr>
      </w:pPr>
      <w:bookmarkStart w:id="32" w:name="_Toc1215509332"/>
      <w:r>
        <w:rPr>
          <w:rFonts w:hint="default" w:ascii="Nimbus Roman No9 L" w:hAnsi="Nimbus Roman No9 L" w:eastAsia="仿宋_GB2312" w:cs="Nimbus Roman No9 L"/>
          <w:color w:val="auto"/>
          <w:sz w:val="32"/>
          <w:szCs w:val="32"/>
          <w:highlight w:val="none"/>
          <w:lang w:eastAsia="zh-CN"/>
        </w:rPr>
        <w:t>2025年度本年收入合计</w:t>
      </w:r>
      <w:r>
        <w:rPr>
          <w:rFonts w:hint="default" w:ascii="Nimbus Roman No9 L" w:hAnsi="Nimbus Roman No9 L" w:eastAsia="仿宋_GB2312" w:cs="Nimbus Roman No9 L"/>
          <w:sz w:val="32"/>
          <w:szCs w:val="32"/>
        </w:rPr>
        <w:t>264.87</w:t>
      </w:r>
      <w:r>
        <w:rPr>
          <w:rFonts w:hint="default" w:ascii="Nimbus Roman No9 L" w:hAnsi="Nimbus Roman No9 L" w:eastAsia="仿宋_GB2312" w:cs="Nimbus Roman No9 L"/>
          <w:color w:val="auto"/>
          <w:sz w:val="32"/>
          <w:szCs w:val="32"/>
          <w:highlight w:val="none"/>
          <w:lang w:eastAsia="zh-CN"/>
        </w:rPr>
        <w:t>万元，其中：一般公共预算财政拨款收入</w:t>
      </w:r>
      <w:r>
        <w:rPr>
          <w:rFonts w:hint="default" w:ascii="Nimbus Roman No9 L" w:hAnsi="Nimbus Roman No9 L" w:eastAsia="仿宋_GB2312" w:cs="Nimbus Roman No9 L"/>
          <w:sz w:val="32"/>
          <w:szCs w:val="32"/>
        </w:rPr>
        <w:t>264.87</w:t>
      </w:r>
      <w:r>
        <w:rPr>
          <w:rFonts w:hint="default" w:ascii="Nimbus Roman No9 L" w:hAnsi="Nimbus Roman No9 L" w:eastAsia="仿宋_GB2312" w:cs="Nimbus Roman No9 L"/>
          <w:color w:val="auto"/>
          <w:sz w:val="32"/>
          <w:szCs w:val="32"/>
          <w:highlight w:val="none"/>
          <w:lang w:eastAsia="zh-CN"/>
        </w:rPr>
        <w:t>万元，占</w:t>
      </w:r>
      <w:r>
        <w:rPr>
          <w:rFonts w:hint="default" w:ascii="Nimbus Roman No9 L" w:hAnsi="Nimbus Roman No9 L" w:eastAsia="仿宋_GB2312" w:cs="Nimbus Roman No9 L"/>
          <w:sz w:val="32"/>
          <w:szCs w:val="32"/>
        </w:rPr>
        <w:t>100</w:t>
      </w:r>
      <w:r>
        <w:rPr>
          <w:rFonts w:hint="default" w:ascii="Nimbus Roman No9 L" w:hAnsi="Nimbus Roman No9 L" w:eastAsia="仿宋_GB2312" w:cs="Nimbus Roman No9 L"/>
          <w:color w:val="auto"/>
          <w:sz w:val="32"/>
          <w:szCs w:val="32"/>
          <w:highlight w:val="none"/>
          <w:lang w:eastAsia="zh-CN"/>
        </w:rPr>
        <w:t>%；政府性基金预算财政拨款收入</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sz w:val="32"/>
          <w:szCs w:val="32"/>
          <w:highlight w:val="none"/>
          <w:lang w:eastAsia="zh-CN"/>
        </w:rPr>
        <w:t>万元，占</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sz w:val="32"/>
          <w:szCs w:val="32"/>
          <w:highlight w:val="none"/>
          <w:lang w:eastAsia="zh-CN"/>
        </w:rPr>
        <w:t>%；国有资本经营预算财政拨款收入</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sz w:val="32"/>
          <w:szCs w:val="32"/>
          <w:highlight w:val="none"/>
          <w:lang w:eastAsia="zh-CN"/>
        </w:rPr>
        <w:t>万元，占</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sz w:val="32"/>
          <w:szCs w:val="32"/>
          <w:highlight w:val="none"/>
          <w:lang w:eastAsia="zh-CN"/>
        </w:rPr>
        <w:t>%；上级补助收入</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sz w:val="32"/>
          <w:szCs w:val="32"/>
          <w:highlight w:val="none"/>
          <w:lang w:eastAsia="zh-CN"/>
        </w:rPr>
        <w:t>万元，占</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sz w:val="32"/>
          <w:szCs w:val="32"/>
          <w:highlight w:val="none"/>
          <w:lang w:eastAsia="zh-CN"/>
        </w:rPr>
        <w:t>%；事业收入</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sz w:val="32"/>
          <w:szCs w:val="32"/>
          <w:highlight w:val="none"/>
          <w:lang w:eastAsia="zh-CN"/>
        </w:rPr>
        <w:t>万元，占</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sz w:val="32"/>
          <w:szCs w:val="32"/>
          <w:highlight w:val="none"/>
          <w:lang w:eastAsia="zh-CN"/>
        </w:rPr>
        <w:t>%；经营收入</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sz w:val="32"/>
          <w:szCs w:val="32"/>
          <w:highlight w:val="none"/>
          <w:lang w:eastAsia="zh-CN"/>
        </w:rPr>
        <w:t>万元，占</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sz w:val="32"/>
          <w:szCs w:val="32"/>
          <w:highlight w:val="none"/>
          <w:lang w:eastAsia="zh-CN"/>
        </w:rPr>
        <w:t>%；附属单位上缴收入</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sz w:val="32"/>
          <w:szCs w:val="32"/>
          <w:highlight w:val="none"/>
          <w:lang w:eastAsia="zh-CN"/>
        </w:rPr>
        <w:t>万元，占</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sz w:val="32"/>
          <w:szCs w:val="32"/>
          <w:highlight w:val="none"/>
          <w:lang w:eastAsia="zh-CN"/>
        </w:rPr>
        <w:t>%；其他收入</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sz w:val="32"/>
          <w:szCs w:val="32"/>
          <w:highlight w:val="none"/>
          <w:lang w:eastAsia="zh-CN"/>
        </w:rPr>
        <w:t>万元，占</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sz w:val="32"/>
          <w:szCs w:val="32"/>
          <w:highlight w:val="none"/>
          <w:lang w:eastAsia="zh-CN"/>
        </w:rPr>
        <w:t>%。</w:t>
      </w:r>
      <w:bookmarkEnd w:id="32"/>
    </w:p>
    <w:p w14:paraId="1E6D298C">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default" w:ascii="Nimbus Roman No9 L" w:hAnsi="Nimbus Roman No9 L" w:eastAsia="仿宋_GB2312" w:cs="Nimbus Roman No9 L"/>
          <w:color w:val="auto"/>
          <w:sz w:val="32"/>
          <w:szCs w:val="32"/>
          <w:highlight w:val="none"/>
          <w:lang w:eastAsia="zh-CN"/>
        </w:rPr>
      </w:pPr>
      <w:bookmarkStart w:id="33" w:name="_Toc1008575126"/>
      <w:r>
        <w:rPr>
          <w:rFonts w:hint="default" w:ascii="Nimbus Roman No9 L" w:hAnsi="Nimbus Roman No9 L" w:eastAsia="仿宋_GB2312" w:cs="Nimbus Roman No9 L"/>
          <w:color w:val="auto"/>
          <w:sz w:val="32"/>
          <w:szCs w:val="32"/>
          <w:highlight w:val="none"/>
          <w:lang w:eastAsia="zh-CN"/>
        </w:rPr>
        <w:t>（图2：收入决算结构图）（饼状图）</w:t>
      </w:r>
      <w:bookmarkEnd w:id="33"/>
    </w:p>
    <w:p w14:paraId="05E0B219">
      <w:pPr>
        <w:pStyle w:val="8"/>
        <w:jc w:val="center"/>
        <w:rPr>
          <w:rFonts w:hint="default" w:ascii="Nimbus Roman No9 L" w:hAnsi="Nimbus Roman No9 L" w:eastAsia="仿宋_GB2312" w:cs="Nimbus Roman No9 L"/>
          <w:color w:val="auto"/>
          <w:sz w:val="32"/>
          <w:szCs w:val="32"/>
          <w:highlight w:val="none"/>
          <w:lang w:eastAsia="zh-CN"/>
        </w:rPr>
      </w:pPr>
      <w:r>
        <w:rPr>
          <w:rFonts w:hint="default" w:ascii="Nimbus Roman No9 L" w:hAnsi="Nimbus Roman No9 L" w:cs="Nimbus Roman No9 L"/>
        </w:rPr>
        <w:drawing>
          <wp:inline distT="0" distB="0" distL="114300" distR="114300">
            <wp:extent cx="4239260" cy="2543810"/>
            <wp:effectExtent l="4445" t="4445" r="23495" b="23495"/>
            <wp:docPr id="17442"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07EEB46">
      <w:pPr>
        <w:pStyle w:val="6"/>
        <w:keepNext/>
        <w:keepLines/>
        <w:pageBreakBefore w:val="0"/>
        <w:widowControl w:val="0"/>
        <w:kinsoku/>
        <w:wordWrap/>
        <w:overflowPunct/>
        <w:topLinePunct w:val="0"/>
        <w:autoSpaceDE/>
        <w:autoSpaceDN/>
        <w:bidi w:val="0"/>
        <w:adjustRightInd/>
        <w:snapToGrid/>
        <w:spacing w:before="0" w:after="0" w:line="416" w:lineRule="auto"/>
        <w:ind w:firstLine="643" w:firstLineChars="200"/>
        <w:textAlignment w:val="auto"/>
        <w:rPr>
          <w:rStyle w:val="29"/>
          <w:rFonts w:hint="default" w:ascii="Nimbus Roman No9 L" w:hAnsi="Nimbus Roman No9 L" w:eastAsia="黑体" w:cs="Nimbus Roman No9 L"/>
          <w:b w:val="0"/>
          <w:bCs/>
          <w:color w:val="auto"/>
          <w:highlight w:val="none"/>
        </w:rPr>
      </w:pPr>
      <w:bookmarkStart w:id="34" w:name="_Toc15377207"/>
      <w:bookmarkStart w:id="35" w:name="_Toc15396605"/>
      <w:bookmarkStart w:id="36" w:name="_Toc1679193063"/>
      <w:r>
        <w:rPr>
          <w:rFonts w:hint="default" w:ascii="Nimbus Roman No9 L" w:hAnsi="Nimbus Roman No9 L" w:eastAsia="黑体" w:cs="Nimbus Roman No9 L"/>
          <w:color w:val="auto"/>
          <w:sz w:val="32"/>
          <w:szCs w:val="32"/>
          <w:highlight w:val="none"/>
          <w:lang w:eastAsia="zh-CN"/>
        </w:rPr>
        <w:t>三、</w:t>
      </w:r>
      <w:r>
        <w:rPr>
          <w:rFonts w:hint="default" w:ascii="Nimbus Roman No9 L" w:hAnsi="Nimbus Roman No9 L" w:eastAsia="黑体" w:cs="Nimbus Roman No9 L"/>
          <w:color w:val="auto"/>
          <w:sz w:val="32"/>
          <w:szCs w:val="32"/>
          <w:highlight w:val="none"/>
        </w:rPr>
        <w:t>支</w:t>
      </w:r>
      <w:r>
        <w:rPr>
          <w:rStyle w:val="29"/>
          <w:rFonts w:hint="default" w:ascii="Nimbus Roman No9 L" w:hAnsi="Nimbus Roman No9 L" w:eastAsia="黑体" w:cs="Nimbus Roman No9 L"/>
          <w:b w:val="0"/>
          <w:bCs/>
          <w:color w:val="auto"/>
          <w:highlight w:val="none"/>
        </w:rPr>
        <w:t>出决算情况说明</w:t>
      </w:r>
      <w:bookmarkEnd w:id="34"/>
      <w:bookmarkEnd w:id="35"/>
      <w:bookmarkEnd w:id="36"/>
    </w:p>
    <w:p w14:paraId="52EF63B2">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default" w:ascii="Nimbus Roman No9 L" w:hAnsi="Nimbus Roman No9 L" w:eastAsia="仿宋_GB2312" w:cs="Nimbus Roman No9 L"/>
          <w:b/>
          <w:bCs/>
          <w:color w:val="auto"/>
          <w:sz w:val="32"/>
          <w:szCs w:val="32"/>
          <w:highlight w:val="none"/>
          <w:lang w:eastAsia="zh-CN"/>
        </w:rPr>
      </w:pPr>
      <w:bookmarkStart w:id="37" w:name="_Toc383372198"/>
      <w:r>
        <w:rPr>
          <w:rFonts w:hint="default" w:ascii="Nimbus Roman No9 L" w:hAnsi="Nimbus Roman No9 L" w:eastAsia="仿宋_GB2312" w:cs="Nimbus Roman No9 L"/>
          <w:color w:val="auto"/>
          <w:sz w:val="32"/>
          <w:szCs w:val="32"/>
          <w:highlight w:val="none"/>
          <w:lang w:eastAsia="zh-CN"/>
        </w:rPr>
        <w:t>2025年度本年支出合计</w:t>
      </w:r>
      <w:r>
        <w:rPr>
          <w:rFonts w:hint="default" w:ascii="Nimbus Roman No9 L" w:hAnsi="Nimbus Roman No9 L" w:eastAsia="仿宋_GB2312" w:cs="Nimbus Roman No9 L"/>
          <w:sz w:val="32"/>
          <w:szCs w:val="32"/>
        </w:rPr>
        <w:t>264.87</w:t>
      </w:r>
      <w:r>
        <w:rPr>
          <w:rFonts w:hint="default" w:ascii="Nimbus Roman No9 L" w:hAnsi="Nimbus Roman No9 L" w:eastAsia="仿宋_GB2312" w:cs="Nimbus Roman No9 L"/>
          <w:color w:val="auto"/>
          <w:sz w:val="32"/>
          <w:szCs w:val="32"/>
          <w:highlight w:val="none"/>
          <w:lang w:eastAsia="zh-CN"/>
        </w:rPr>
        <w:t>万元，其中：基本支出</w:t>
      </w:r>
      <w:r>
        <w:rPr>
          <w:rFonts w:hint="default" w:ascii="Nimbus Roman No9 L" w:hAnsi="Nimbus Roman No9 L" w:eastAsia="仿宋_GB2312" w:cs="Nimbus Roman No9 L"/>
          <w:sz w:val="32"/>
          <w:szCs w:val="32"/>
        </w:rPr>
        <w:t>238.57</w:t>
      </w:r>
      <w:r>
        <w:rPr>
          <w:rFonts w:hint="default" w:ascii="Nimbus Roman No9 L" w:hAnsi="Nimbus Roman No9 L" w:eastAsia="仿宋_GB2312" w:cs="Nimbus Roman No9 L"/>
          <w:color w:val="auto"/>
          <w:sz w:val="32"/>
          <w:szCs w:val="32"/>
          <w:highlight w:val="none"/>
          <w:lang w:eastAsia="zh-CN"/>
        </w:rPr>
        <w:t>万元，占</w:t>
      </w:r>
      <w:r>
        <w:rPr>
          <w:rFonts w:hint="default" w:ascii="Nimbus Roman No9 L" w:hAnsi="Nimbus Roman No9 L" w:eastAsia="仿宋_GB2312" w:cs="Nimbus Roman No9 L"/>
          <w:sz w:val="32"/>
          <w:szCs w:val="32"/>
        </w:rPr>
        <w:t>90.</w:t>
      </w:r>
      <w:r>
        <w:rPr>
          <w:rFonts w:hint="eastAsia" w:ascii="Nimbus Roman No9 L" w:hAnsi="Nimbus Roman No9 L" w:eastAsia="仿宋_GB2312" w:cs="Nimbus Roman No9 L"/>
          <w:sz w:val="32"/>
          <w:szCs w:val="32"/>
          <w:lang w:val="en-US" w:eastAsia="zh-CN"/>
        </w:rPr>
        <w:t>1</w:t>
      </w:r>
      <w:r>
        <w:rPr>
          <w:rFonts w:hint="default" w:ascii="Nimbus Roman No9 L" w:hAnsi="Nimbus Roman No9 L" w:eastAsia="仿宋_GB2312" w:cs="Nimbus Roman No9 L"/>
          <w:color w:val="auto"/>
          <w:sz w:val="32"/>
          <w:szCs w:val="32"/>
          <w:highlight w:val="none"/>
          <w:lang w:eastAsia="zh-CN"/>
        </w:rPr>
        <w:t>%；项目支出</w:t>
      </w:r>
      <w:r>
        <w:rPr>
          <w:rFonts w:hint="default" w:ascii="Nimbus Roman No9 L" w:hAnsi="Nimbus Roman No9 L" w:eastAsia="仿宋_GB2312" w:cs="Nimbus Roman No9 L"/>
          <w:sz w:val="32"/>
          <w:szCs w:val="32"/>
        </w:rPr>
        <w:t>26.3</w:t>
      </w:r>
      <w:r>
        <w:rPr>
          <w:rFonts w:hint="default" w:ascii="Nimbus Roman No9 L" w:hAnsi="Nimbus Roman No9 L" w:eastAsia="仿宋_GB2312" w:cs="Nimbus Roman No9 L"/>
          <w:color w:val="auto"/>
          <w:sz w:val="32"/>
          <w:szCs w:val="32"/>
          <w:highlight w:val="none"/>
          <w:lang w:eastAsia="zh-CN"/>
        </w:rPr>
        <w:t>万元，占</w:t>
      </w:r>
      <w:r>
        <w:rPr>
          <w:rFonts w:hint="default" w:ascii="Nimbus Roman No9 L" w:hAnsi="Nimbus Roman No9 L" w:eastAsia="仿宋_GB2312" w:cs="Nimbus Roman No9 L"/>
          <w:sz w:val="32"/>
          <w:szCs w:val="32"/>
        </w:rPr>
        <w:t>9.9</w:t>
      </w:r>
      <w:r>
        <w:rPr>
          <w:rFonts w:hint="default" w:ascii="Nimbus Roman No9 L" w:hAnsi="Nimbus Roman No9 L" w:eastAsia="仿宋_GB2312" w:cs="Nimbus Roman No9 L"/>
          <w:color w:val="auto"/>
          <w:sz w:val="32"/>
          <w:szCs w:val="32"/>
          <w:highlight w:val="none"/>
          <w:lang w:eastAsia="zh-CN"/>
        </w:rPr>
        <w:t>%；上缴上级支出</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sz w:val="32"/>
          <w:szCs w:val="32"/>
          <w:highlight w:val="none"/>
          <w:lang w:eastAsia="zh-CN"/>
        </w:rPr>
        <w:t>万元，占</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sz w:val="32"/>
          <w:szCs w:val="32"/>
          <w:highlight w:val="none"/>
          <w:lang w:eastAsia="zh-CN"/>
        </w:rPr>
        <w:t>%；经营支出</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sz w:val="32"/>
          <w:szCs w:val="32"/>
          <w:highlight w:val="none"/>
          <w:lang w:eastAsia="zh-CN"/>
        </w:rPr>
        <w:t>万元，占</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sz w:val="32"/>
          <w:szCs w:val="32"/>
          <w:highlight w:val="none"/>
          <w:lang w:eastAsia="zh-CN"/>
        </w:rPr>
        <w:t>%；对附属单位补助支出</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sz w:val="32"/>
          <w:szCs w:val="32"/>
          <w:highlight w:val="none"/>
          <w:lang w:eastAsia="zh-CN"/>
        </w:rPr>
        <w:t>万元，占</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sz w:val="32"/>
          <w:szCs w:val="32"/>
          <w:highlight w:val="none"/>
          <w:lang w:eastAsia="zh-CN"/>
        </w:rPr>
        <w:t>%。</w:t>
      </w:r>
      <w:bookmarkEnd w:id="37"/>
    </w:p>
    <w:p w14:paraId="41A1255A">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default" w:ascii="Nimbus Roman No9 L" w:hAnsi="Nimbus Roman No9 L" w:eastAsia="仿宋_GB2312" w:cs="Nimbus Roman No9 L"/>
          <w:color w:val="auto"/>
          <w:sz w:val="32"/>
          <w:szCs w:val="32"/>
          <w:highlight w:val="none"/>
          <w:lang w:eastAsia="zh-CN"/>
        </w:rPr>
      </w:pPr>
      <w:bookmarkStart w:id="38" w:name="_Toc1949859212"/>
      <w:r>
        <w:rPr>
          <w:rFonts w:hint="default" w:ascii="Nimbus Roman No9 L" w:hAnsi="Nimbus Roman No9 L" w:eastAsia="仿宋_GB2312" w:cs="Nimbus Roman No9 L"/>
          <w:color w:val="auto"/>
          <w:sz w:val="32"/>
          <w:szCs w:val="32"/>
          <w:highlight w:val="none"/>
          <w:lang w:eastAsia="zh-CN"/>
        </w:rPr>
        <w:t>（图3：支出决算结构图）（饼状图）</w:t>
      </w:r>
      <w:bookmarkEnd w:id="38"/>
    </w:p>
    <w:p w14:paraId="267E8BF8">
      <w:pPr>
        <w:pStyle w:val="8"/>
        <w:jc w:val="center"/>
        <w:rPr>
          <w:rFonts w:hint="default" w:ascii="Nimbus Roman No9 L" w:hAnsi="Nimbus Roman No9 L" w:eastAsia="仿宋_GB2312" w:cs="Nimbus Roman No9 L"/>
          <w:color w:val="auto"/>
          <w:sz w:val="32"/>
          <w:szCs w:val="32"/>
          <w:highlight w:val="none"/>
          <w:lang w:eastAsia="zh-CN"/>
        </w:rPr>
      </w:pPr>
      <w:r>
        <w:drawing>
          <wp:inline distT="0" distB="0" distL="114300" distR="114300">
            <wp:extent cx="3943350" cy="2534285"/>
            <wp:effectExtent l="4445" t="4445" r="14605" b="13970"/>
            <wp:docPr id="12347"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D53FBD1">
      <w:pPr>
        <w:pStyle w:val="6"/>
        <w:keepNext/>
        <w:keepLines/>
        <w:pageBreakBefore w:val="0"/>
        <w:widowControl w:val="0"/>
        <w:kinsoku/>
        <w:wordWrap/>
        <w:overflowPunct/>
        <w:topLinePunct w:val="0"/>
        <w:autoSpaceDE/>
        <w:autoSpaceDN/>
        <w:bidi w:val="0"/>
        <w:adjustRightInd/>
        <w:snapToGrid/>
        <w:spacing w:before="0" w:after="0" w:line="416" w:lineRule="auto"/>
        <w:ind w:firstLine="643" w:firstLineChars="200"/>
        <w:textAlignment w:val="auto"/>
        <w:rPr>
          <w:rFonts w:hint="default" w:ascii="Nimbus Roman No9 L" w:hAnsi="Nimbus Roman No9 L" w:cs="Nimbus Roman No9 L"/>
        </w:rPr>
      </w:pPr>
      <w:bookmarkStart w:id="39" w:name="_Toc15396606"/>
      <w:bookmarkStart w:id="40" w:name="_Toc1042173313"/>
      <w:bookmarkStart w:id="41" w:name="_Toc15377208"/>
      <w:r>
        <w:rPr>
          <w:rFonts w:hint="default" w:ascii="Nimbus Roman No9 L" w:hAnsi="Nimbus Roman No9 L" w:cs="Nimbus Roman No9 L"/>
        </w:rPr>
        <w:t>四、财政拨款收入支出决算总体情况说明</w:t>
      </w:r>
      <w:bookmarkEnd w:id="39"/>
      <w:bookmarkEnd w:id="40"/>
      <w:bookmarkEnd w:id="41"/>
    </w:p>
    <w:p w14:paraId="7297A265">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default" w:ascii="Nimbus Roman No9 L" w:hAnsi="Nimbus Roman No9 L" w:eastAsia="仿宋_GB2312" w:cs="Nimbus Roman No9 L"/>
          <w:color w:val="auto"/>
          <w:sz w:val="32"/>
          <w:szCs w:val="32"/>
          <w:highlight w:val="none"/>
          <w:lang w:eastAsia="zh-CN"/>
        </w:rPr>
      </w:pPr>
      <w:bookmarkStart w:id="42" w:name="_Toc207991797"/>
      <w:r>
        <w:rPr>
          <w:rFonts w:hint="default" w:ascii="Nimbus Roman No9 L" w:hAnsi="Nimbus Roman No9 L" w:eastAsia="仿宋_GB2312" w:cs="Nimbus Roman No9 L"/>
          <w:color w:val="auto"/>
          <w:kern w:val="2"/>
          <w:sz w:val="32"/>
          <w:szCs w:val="32"/>
          <w:highlight w:val="none"/>
          <w:lang w:val="en-US" w:eastAsia="zh-CN" w:bidi="ar-SA"/>
        </w:rPr>
        <w:t>2025年度财政拨款收入、支出总计均为</w:t>
      </w:r>
      <w:r>
        <w:rPr>
          <w:rFonts w:hint="default" w:ascii="Nimbus Roman No9 L" w:hAnsi="Nimbus Roman No9 L" w:eastAsia="仿宋_GB2312" w:cs="Nimbus Roman No9 L"/>
          <w:sz w:val="32"/>
          <w:szCs w:val="32"/>
        </w:rPr>
        <w:t>264.87</w:t>
      </w:r>
      <w:r>
        <w:rPr>
          <w:rFonts w:hint="default" w:ascii="Nimbus Roman No9 L" w:hAnsi="Nimbus Roman No9 L" w:eastAsia="仿宋_GB2312" w:cs="Nimbus Roman No9 L"/>
          <w:color w:val="auto"/>
          <w:kern w:val="2"/>
          <w:sz w:val="32"/>
          <w:szCs w:val="32"/>
          <w:highlight w:val="none"/>
          <w:lang w:val="en-US" w:eastAsia="zh-CN" w:bidi="ar-SA"/>
        </w:rPr>
        <w:t>万元。</w:t>
      </w:r>
      <w:r>
        <w:rPr>
          <w:rFonts w:hint="default" w:ascii="Nimbus Roman No9 L" w:hAnsi="Nimbus Roman No9 L" w:eastAsia="仿宋_GB2312" w:cs="Nimbus Roman No9 L"/>
          <w:color w:val="auto"/>
          <w:sz w:val="32"/>
          <w:szCs w:val="32"/>
          <w:highlight w:val="none"/>
        </w:rPr>
        <w:t>与</w:t>
      </w:r>
      <w:r>
        <w:rPr>
          <w:rFonts w:hint="default" w:ascii="Nimbus Roman No9 L" w:hAnsi="Nimbus Roman No9 L" w:eastAsia="仿宋_GB2312" w:cs="Nimbus Roman No9 L"/>
          <w:color w:val="auto"/>
          <w:sz w:val="32"/>
          <w:szCs w:val="32"/>
          <w:highlight w:val="none"/>
          <w:lang w:eastAsia="zh-CN"/>
        </w:rPr>
        <w:t>上</w:t>
      </w:r>
      <w:r>
        <w:rPr>
          <w:rFonts w:hint="default" w:ascii="Nimbus Roman No9 L" w:hAnsi="Nimbus Roman No9 L" w:eastAsia="仿宋_GB2312" w:cs="Nimbus Roman No9 L"/>
          <w:color w:val="auto"/>
          <w:sz w:val="32"/>
          <w:szCs w:val="32"/>
          <w:highlight w:val="none"/>
        </w:rPr>
        <w:t>年</w:t>
      </w:r>
      <w:r>
        <w:rPr>
          <w:rFonts w:hint="default" w:ascii="Nimbus Roman No9 L" w:hAnsi="Nimbus Roman No9 L" w:eastAsia="仿宋_GB2312" w:cs="Nimbus Roman No9 L"/>
          <w:color w:val="auto"/>
          <w:sz w:val="32"/>
          <w:szCs w:val="32"/>
          <w:highlight w:val="none"/>
          <w:lang w:eastAsia="zh-CN"/>
        </w:rPr>
        <w:t>度</w:t>
      </w:r>
      <w:r>
        <w:rPr>
          <w:rFonts w:hint="default" w:ascii="Nimbus Roman No9 L" w:hAnsi="Nimbus Roman No9 L" w:eastAsia="仿宋_GB2312" w:cs="Nimbus Roman No9 L"/>
          <w:color w:val="auto"/>
          <w:sz w:val="32"/>
          <w:szCs w:val="32"/>
          <w:highlight w:val="none"/>
        </w:rPr>
        <w:t>相比，</w:t>
      </w:r>
      <w:r>
        <w:rPr>
          <w:rFonts w:hint="default" w:ascii="Nimbus Roman No9 L" w:hAnsi="Nimbus Roman No9 L" w:eastAsia="仿宋_GB2312" w:cs="Nimbus Roman No9 L"/>
          <w:color w:val="auto"/>
          <w:sz w:val="32"/>
          <w:szCs w:val="32"/>
          <w:highlight w:val="none"/>
          <w:lang w:eastAsia="zh-CN"/>
        </w:rPr>
        <w:t>收入</w:t>
      </w:r>
      <w:r>
        <w:rPr>
          <w:rFonts w:hint="default" w:ascii="Nimbus Roman No9 L" w:hAnsi="Nimbus Roman No9 L" w:eastAsia="仿宋_GB2312" w:cs="Nimbus Roman No9 L"/>
          <w:color w:val="auto"/>
          <w:sz w:val="32"/>
          <w:szCs w:val="32"/>
          <w:highlight w:val="none"/>
        </w:rPr>
        <w:t>、</w:t>
      </w:r>
      <w:r>
        <w:rPr>
          <w:rFonts w:hint="default" w:ascii="Nimbus Roman No9 L" w:hAnsi="Nimbus Roman No9 L" w:eastAsia="仿宋_GB2312" w:cs="Nimbus Roman No9 L"/>
          <w:color w:val="auto"/>
          <w:sz w:val="32"/>
          <w:szCs w:val="32"/>
          <w:highlight w:val="none"/>
          <w:lang w:eastAsia="zh-CN"/>
        </w:rPr>
        <w:t>支出</w:t>
      </w:r>
      <w:r>
        <w:rPr>
          <w:rFonts w:hint="default" w:ascii="Nimbus Roman No9 L" w:hAnsi="Nimbus Roman No9 L" w:eastAsia="仿宋_GB2312" w:cs="Nimbus Roman No9 L"/>
          <w:color w:val="auto"/>
          <w:sz w:val="32"/>
          <w:szCs w:val="32"/>
          <w:highlight w:val="none"/>
        </w:rPr>
        <w:t>总计各增加</w:t>
      </w:r>
      <w:r>
        <w:rPr>
          <w:rFonts w:hint="default" w:ascii="Nimbus Roman No9 L" w:hAnsi="Nimbus Roman No9 L" w:eastAsia="仿宋_GB2312" w:cs="Nimbus Roman No9 L"/>
          <w:color w:val="auto"/>
          <w:sz w:val="32"/>
          <w:szCs w:val="32"/>
          <w:highlight w:val="none"/>
          <w:lang w:val="en-US" w:eastAsia="zh-CN"/>
        </w:rPr>
        <w:t>54.58</w:t>
      </w:r>
      <w:r>
        <w:rPr>
          <w:rFonts w:hint="default" w:ascii="Nimbus Roman No9 L" w:hAnsi="Nimbus Roman No9 L" w:eastAsia="仿宋_GB2312" w:cs="Nimbus Roman No9 L"/>
          <w:color w:val="auto"/>
          <w:sz w:val="32"/>
          <w:szCs w:val="32"/>
          <w:highlight w:val="none"/>
        </w:rPr>
        <w:t>万元，增长</w:t>
      </w:r>
      <w:r>
        <w:rPr>
          <w:rFonts w:hint="default" w:ascii="Nimbus Roman No9 L" w:hAnsi="Nimbus Roman No9 L" w:eastAsia="仿宋_GB2312" w:cs="Nimbus Roman No9 L"/>
          <w:color w:val="auto"/>
          <w:sz w:val="32"/>
          <w:szCs w:val="32"/>
          <w:highlight w:val="none"/>
          <w:lang w:val="en-US" w:eastAsia="zh-CN"/>
        </w:rPr>
        <w:t>2</w:t>
      </w:r>
      <w:r>
        <w:rPr>
          <w:rFonts w:hint="eastAsia" w:ascii="Nimbus Roman No9 L" w:hAnsi="Nimbus Roman No9 L" w:eastAsia="仿宋_GB2312" w:cs="Nimbus Roman No9 L"/>
          <w:color w:val="auto"/>
          <w:sz w:val="32"/>
          <w:szCs w:val="32"/>
          <w:highlight w:val="none"/>
          <w:lang w:val="en-US" w:eastAsia="zh-CN"/>
        </w:rPr>
        <w:t>6</w:t>
      </w:r>
      <w:r>
        <w:rPr>
          <w:rFonts w:hint="default" w:ascii="Nimbus Roman No9 L" w:hAnsi="Nimbus Roman No9 L" w:eastAsia="仿宋_GB2312" w:cs="Nimbus Roman No9 L"/>
          <w:color w:val="auto"/>
          <w:sz w:val="32"/>
          <w:szCs w:val="32"/>
          <w:highlight w:val="none"/>
        </w:rPr>
        <w:t>%。主要变动原因是</w:t>
      </w:r>
      <w:r>
        <w:rPr>
          <w:rFonts w:hint="default" w:ascii="Nimbus Roman No9 L" w:hAnsi="Nimbus Roman No9 L" w:eastAsia="仿宋_GB2312" w:cs="Nimbus Roman No9 L"/>
          <w:color w:val="auto"/>
          <w:sz w:val="32"/>
          <w:szCs w:val="32"/>
          <w:highlight w:val="none"/>
          <w:lang w:eastAsia="zh-CN"/>
        </w:rPr>
        <w:t>人员增加，项目经费支出增加。</w:t>
      </w:r>
      <w:bookmarkEnd w:id="42"/>
    </w:p>
    <w:p w14:paraId="65DA8E6B">
      <w:pPr>
        <w:spacing w:line="600" w:lineRule="exact"/>
        <w:ind w:firstLine="640" w:firstLineChars="200"/>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eastAsia="仿宋_GB2312" w:cs="Nimbus Roman No9 L"/>
          <w:color w:val="auto"/>
          <w:kern w:val="2"/>
          <w:sz w:val="32"/>
          <w:szCs w:val="32"/>
          <w:highlight w:val="none"/>
          <w:lang w:val="en-US" w:eastAsia="zh-CN" w:bidi="ar-SA"/>
        </w:rPr>
        <w:t>（图4：财政拨款收、支决算总计变动情况）（柱状图）</w:t>
      </w:r>
    </w:p>
    <w:p w14:paraId="13E90446">
      <w:pPr>
        <w:pStyle w:val="8"/>
        <w:jc w:val="center"/>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cs="Nimbus Roman No9 L"/>
        </w:rPr>
        <w:drawing>
          <wp:inline distT="0" distB="0" distL="114300" distR="114300">
            <wp:extent cx="5271770" cy="2762885"/>
            <wp:effectExtent l="4445" t="4445" r="19685" b="13970"/>
            <wp:docPr id="11318"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33C57E6">
      <w:pPr>
        <w:pStyle w:val="6"/>
        <w:keepNext/>
        <w:keepLines/>
        <w:pageBreakBefore w:val="0"/>
        <w:widowControl w:val="0"/>
        <w:kinsoku/>
        <w:wordWrap/>
        <w:overflowPunct/>
        <w:topLinePunct w:val="0"/>
        <w:autoSpaceDE/>
        <w:autoSpaceDN/>
        <w:bidi w:val="0"/>
        <w:adjustRightInd/>
        <w:snapToGrid/>
        <w:spacing w:before="0" w:after="0" w:line="416" w:lineRule="auto"/>
        <w:ind w:firstLine="643" w:firstLineChars="200"/>
        <w:textAlignment w:val="auto"/>
        <w:rPr>
          <w:rFonts w:hint="default" w:ascii="Nimbus Roman No9 L" w:hAnsi="Nimbus Roman No9 L" w:cs="Nimbus Roman No9 L"/>
        </w:rPr>
      </w:pPr>
      <w:bookmarkStart w:id="43" w:name="_Toc110853671"/>
      <w:bookmarkStart w:id="44" w:name="_Toc15377209"/>
      <w:bookmarkStart w:id="45" w:name="_Toc15396607"/>
      <w:r>
        <w:rPr>
          <w:rFonts w:hint="default" w:ascii="Nimbus Roman No9 L" w:hAnsi="Nimbus Roman No9 L" w:cs="Nimbus Roman No9 L"/>
        </w:rPr>
        <w:t>五、一般公共预算财政拨款支出决算情况说明</w:t>
      </w:r>
      <w:bookmarkEnd w:id="43"/>
      <w:bookmarkEnd w:id="44"/>
      <w:bookmarkEnd w:id="45"/>
    </w:p>
    <w:p w14:paraId="7A0673B4">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default" w:ascii="Nimbus Roman No9 L" w:hAnsi="Nimbus Roman No9 L" w:eastAsia="楷体_GB2312" w:cs="Nimbus Roman No9 L"/>
          <w:b/>
          <w:bCs w:val="0"/>
          <w:color w:val="auto"/>
          <w:kern w:val="2"/>
          <w:sz w:val="32"/>
          <w:szCs w:val="32"/>
          <w:highlight w:val="none"/>
          <w:lang w:val="en-US" w:eastAsia="zh-CN" w:bidi="ar-SA"/>
        </w:rPr>
      </w:pPr>
      <w:bookmarkStart w:id="46" w:name="_Toc15377210"/>
      <w:r>
        <w:rPr>
          <w:rFonts w:hint="default" w:ascii="Nimbus Roman No9 L" w:hAnsi="Nimbus Roman No9 L" w:eastAsia="楷体_GB2312" w:cs="Nimbus Roman No9 L"/>
          <w:b/>
          <w:bCs w:val="0"/>
          <w:color w:val="auto"/>
          <w:kern w:val="2"/>
          <w:sz w:val="32"/>
          <w:szCs w:val="32"/>
          <w:highlight w:val="none"/>
          <w:lang w:val="en-US" w:eastAsia="zh-CN" w:bidi="ar-SA"/>
        </w:rPr>
        <w:t>（一）一般公共预算财政拨款支出决算总体情况</w:t>
      </w:r>
      <w:bookmarkEnd w:id="46"/>
    </w:p>
    <w:p w14:paraId="39A1CAEA">
      <w:pPr>
        <w:spacing w:line="600" w:lineRule="exact"/>
        <w:ind w:firstLine="640"/>
        <w:rPr>
          <w:rFonts w:hint="default" w:ascii="Nimbus Roman No9 L" w:hAnsi="Nimbus Roman No9 L" w:eastAsia="仿宋_GB2312" w:cs="Nimbus Roman No9 L"/>
          <w:color w:val="auto"/>
          <w:sz w:val="32"/>
          <w:szCs w:val="32"/>
          <w:highlight w:val="none"/>
          <w:lang w:eastAsia="zh-CN"/>
        </w:rPr>
      </w:pPr>
      <w:r>
        <w:rPr>
          <w:rFonts w:hint="default" w:ascii="Nimbus Roman No9 L" w:hAnsi="Nimbus Roman No9 L" w:eastAsia="仿宋_GB2312" w:cs="Nimbus Roman No9 L"/>
          <w:color w:val="auto"/>
          <w:kern w:val="2"/>
          <w:sz w:val="32"/>
          <w:szCs w:val="32"/>
          <w:highlight w:val="none"/>
          <w:lang w:val="en-US" w:eastAsia="zh-CN" w:bidi="ar-SA"/>
        </w:rPr>
        <w:t>2025年度一般公共预算财政拨款支出</w:t>
      </w:r>
      <w:r>
        <w:rPr>
          <w:rFonts w:hint="default" w:ascii="Nimbus Roman No9 L" w:hAnsi="Nimbus Roman No9 L" w:eastAsia="仿宋_GB2312" w:cs="Nimbus Roman No9 L"/>
          <w:sz w:val="32"/>
          <w:szCs w:val="32"/>
        </w:rPr>
        <w:t>264.87</w:t>
      </w:r>
      <w:r>
        <w:rPr>
          <w:rFonts w:hint="default" w:ascii="Nimbus Roman No9 L" w:hAnsi="Nimbus Roman No9 L" w:eastAsia="仿宋_GB2312" w:cs="Nimbus Roman No9 L"/>
          <w:color w:val="auto"/>
          <w:kern w:val="2"/>
          <w:sz w:val="32"/>
          <w:szCs w:val="32"/>
          <w:highlight w:val="none"/>
          <w:lang w:val="en-US" w:eastAsia="zh-CN" w:bidi="ar-SA"/>
        </w:rPr>
        <w:t>万元，占本年支出合计的</w:t>
      </w:r>
      <w:r>
        <w:rPr>
          <w:rFonts w:hint="default" w:ascii="Nimbus Roman No9 L" w:hAnsi="Nimbus Roman No9 L" w:eastAsia="仿宋_GB2312" w:cs="Nimbus Roman No9 L"/>
          <w:sz w:val="32"/>
          <w:szCs w:val="32"/>
        </w:rPr>
        <w:t>100</w:t>
      </w:r>
      <w:r>
        <w:rPr>
          <w:rFonts w:hint="default" w:ascii="Nimbus Roman No9 L" w:hAnsi="Nimbus Roman No9 L" w:eastAsia="仿宋_GB2312" w:cs="Nimbus Roman No9 L"/>
          <w:color w:val="auto"/>
          <w:kern w:val="2"/>
          <w:sz w:val="32"/>
          <w:szCs w:val="32"/>
          <w:highlight w:val="none"/>
          <w:lang w:val="en-US" w:eastAsia="zh-CN" w:bidi="ar-SA"/>
        </w:rPr>
        <w:t>%。与上年度相比，一般公共预算财政拨款支出</w:t>
      </w:r>
      <w:r>
        <w:rPr>
          <w:rFonts w:hint="default" w:ascii="Nimbus Roman No9 L" w:hAnsi="Nimbus Roman No9 L" w:eastAsia="仿宋_GB2312" w:cs="Nimbus Roman No9 L"/>
          <w:color w:val="auto"/>
          <w:sz w:val="32"/>
          <w:szCs w:val="32"/>
          <w:highlight w:val="none"/>
        </w:rPr>
        <w:t>增加</w:t>
      </w:r>
      <w:r>
        <w:rPr>
          <w:rFonts w:hint="default" w:ascii="Nimbus Roman No9 L" w:hAnsi="Nimbus Roman No9 L" w:eastAsia="仿宋_GB2312" w:cs="Nimbus Roman No9 L"/>
          <w:color w:val="auto"/>
          <w:sz w:val="32"/>
          <w:szCs w:val="32"/>
          <w:highlight w:val="none"/>
          <w:lang w:val="en-US" w:eastAsia="zh-CN"/>
        </w:rPr>
        <w:t>54.58</w:t>
      </w:r>
      <w:r>
        <w:rPr>
          <w:rFonts w:hint="default" w:ascii="Nimbus Roman No9 L" w:hAnsi="Nimbus Roman No9 L" w:eastAsia="仿宋_GB2312" w:cs="Nimbus Roman No9 L"/>
          <w:color w:val="auto"/>
          <w:sz w:val="32"/>
          <w:szCs w:val="32"/>
          <w:highlight w:val="none"/>
        </w:rPr>
        <w:t>万元，增长</w:t>
      </w:r>
      <w:r>
        <w:rPr>
          <w:rFonts w:hint="default" w:ascii="Nimbus Roman No9 L" w:hAnsi="Nimbus Roman No9 L" w:eastAsia="仿宋_GB2312" w:cs="Nimbus Roman No9 L"/>
          <w:color w:val="auto"/>
          <w:sz w:val="32"/>
          <w:szCs w:val="32"/>
          <w:highlight w:val="none"/>
          <w:lang w:val="en-US" w:eastAsia="zh-CN"/>
        </w:rPr>
        <w:t>2</w:t>
      </w:r>
      <w:r>
        <w:rPr>
          <w:rFonts w:hint="eastAsia" w:ascii="Nimbus Roman No9 L" w:hAnsi="Nimbus Roman No9 L" w:eastAsia="仿宋_GB2312" w:cs="Nimbus Roman No9 L"/>
          <w:color w:val="auto"/>
          <w:sz w:val="32"/>
          <w:szCs w:val="32"/>
          <w:highlight w:val="none"/>
          <w:lang w:val="en-US" w:eastAsia="zh-CN"/>
        </w:rPr>
        <w:t>6</w:t>
      </w:r>
      <w:r>
        <w:rPr>
          <w:rFonts w:hint="default" w:ascii="Nimbus Roman No9 L" w:hAnsi="Nimbus Roman No9 L" w:eastAsia="仿宋_GB2312" w:cs="Nimbus Roman No9 L"/>
          <w:color w:val="auto"/>
          <w:sz w:val="32"/>
          <w:szCs w:val="32"/>
          <w:highlight w:val="none"/>
        </w:rPr>
        <w:t>%。主要变动原因是</w:t>
      </w:r>
      <w:r>
        <w:rPr>
          <w:rFonts w:hint="default" w:ascii="Nimbus Roman No9 L" w:hAnsi="Nimbus Roman No9 L" w:eastAsia="仿宋_GB2312" w:cs="Nimbus Roman No9 L"/>
          <w:color w:val="auto"/>
          <w:sz w:val="32"/>
          <w:szCs w:val="32"/>
          <w:highlight w:val="none"/>
          <w:lang w:eastAsia="zh-CN"/>
        </w:rPr>
        <w:t>人员增加，项目经费支出增加。</w:t>
      </w:r>
    </w:p>
    <w:p w14:paraId="2EF0DDCB">
      <w:pPr>
        <w:spacing w:line="600" w:lineRule="exact"/>
        <w:ind w:firstLine="640"/>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eastAsia="仿宋_GB2312" w:cs="Nimbus Roman No9 L"/>
          <w:color w:val="auto"/>
          <w:kern w:val="2"/>
          <w:sz w:val="32"/>
          <w:szCs w:val="32"/>
          <w:highlight w:val="none"/>
          <w:lang w:val="en-US" w:eastAsia="zh-CN" w:bidi="ar-SA"/>
        </w:rPr>
        <w:t>（图5：一般公共预算财政拨款支出决算变动情况）（柱状图）</w:t>
      </w:r>
    </w:p>
    <w:p w14:paraId="1CEDCCBE">
      <w:pPr>
        <w:pStyle w:val="8"/>
        <w:rPr>
          <w:rFonts w:hint="default" w:ascii="Nimbus Roman No9 L" w:hAnsi="Nimbus Roman No9 L" w:eastAsia="仿宋_GB2312" w:cs="Nimbus Roman No9 L"/>
          <w:color w:val="auto"/>
          <w:kern w:val="2"/>
          <w:sz w:val="32"/>
          <w:szCs w:val="32"/>
          <w:highlight w:val="none"/>
          <w:lang w:val="en-US" w:eastAsia="zh-CN" w:bidi="ar-SA"/>
        </w:rPr>
      </w:pPr>
    </w:p>
    <w:p w14:paraId="5A0D09EB">
      <w:pPr>
        <w:pStyle w:val="8"/>
        <w:rPr>
          <w:rFonts w:hint="default" w:ascii="Nimbus Roman No9 L" w:hAnsi="Nimbus Roman No9 L" w:eastAsia="仿宋_GB2312" w:cs="Nimbus Roman No9 L"/>
          <w:color w:val="auto"/>
          <w:kern w:val="2"/>
          <w:sz w:val="32"/>
          <w:szCs w:val="32"/>
          <w:highlight w:val="none"/>
          <w:lang w:val="en-US" w:eastAsia="zh-CN" w:bidi="ar-SA"/>
        </w:rPr>
      </w:pPr>
    </w:p>
    <w:p w14:paraId="7D847318">
      <w:pPr>
        <w:pStyle w:val="8"/>
        <w:rPr>
          <w:rFonts w:hint="default" w:ascii="Nimbus Roman No9 L" w:hAnsi="Nimbus Roman No9 L" w:eastAsia="仿宋_GB2312" w:cs="Nimbus Roman No9 L"/>
          <w:color w:val="auto"/>
          <w:kern w:val="2"/>
          <w:sz w:val="32"/>
          <w:szCs w:val="32"/>
          <w:highlight w:val="none"/>
          <w:lang w:val="en-US" w:eastAsia="zh-CN" w:bidi="ar-SA"/>
        </w:rPr>
      </w:pPr>
    </w:p>
    <w:p w14:paraId="789A8BA7">
      <w:pPr>
        <w:pStyle w:val="8"/>
        <w:jc w:val="center"/>
        <w:rPr>
          <w:rFonts w:hint="default" w:ascii="Nimbus Roman No9 L" w:hAnsi="Nimbus Roman No9 L" w:eastAsia="楷体_GB2312" w:cs="Nimbus Roman No9 L"/>
          <w:b/>
          <w:color w:val="auto"/>
          <w:sz w:val="32"/>
          <w:szCs w:val="32"/>
          <w:highlight w:val="none"/>
        </w:rPr>
      </w:pPr>
      <w:bookmarkStart w:id="47" w:name="_Toc15377211"/>
      <w:r>
        <w:rPr>
          <w:rFonts w:hint="default" w:ascii="Nimbus Roman No9 L" w:hAnsi="Nimbus Roman No9 L" w:cs="Nimbus Roman No9 L"/>
        </w:rPr>
        <w:drawing>
          <wp:inline distT="0" distB="0" distL="114300" distR="114300">
            <wp:extent cx="4363720" cy="2466975"/>
            <wp:effectExtent l="4445" t="4445" r="13335" b="5080"/>
            <wp:docPr id="723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6753BDC">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default" w:ascii="Nimbus Roman No9 L" w:hAnsi="Nimbus Roman No9 L" w:eastAsia="楷体_GB2312" w:cs="Nimbus Roman No9 L"/>
          <w:b/>
          <w:bCs w:val="0"/>
          <w:color w:val="auto"/>
          <w:kern w:val="2"/>
          <w:sz w:val="32"/>
          <w:szCs w:val="32"/>
          <w:highlight w:val="none"/>
          <w:lang w:val="en-US" w:eastAsia="zh-CN" w:bidi="ar-SA"/>
        </w:rPr>
      </w:pPr>
      <w:r>
        <w:rPr>
          <w:rFonts w:hint="default" w:ascii="Nimbus Roman No9 L" w:hAnsi="Nimbus Roman No9 L" w:eastAsia="楷体_GB2312" w:cs="Nimbus Roman No9 L"/>
          <w:b/>
          <w:bCs w:val="0"/>
          <w:color w:val="auto"/>
          <w:kern w:val="2"/>
          <w:sz w:val="32"/>
          <w:szCs w:val="32"/>
          <w:highlight w:val="none"/>
          <w:lang w:val="en-US" w:eastAsia="zh-CN" w:bidi="ar-SA"/>
        </w:rPr>
        <w:t>（二）一般公共预算财政拨款支出决算结构情况</w:t>
      </w:r>
      <w:bookmarkEnd w:id="47"/>
    </w:p>
    <w:p w14:paraId="052B835E">
      <w:pPr>
        <w:spacing w:line="600" w:lineRule="exact"/>
        <w:ind w:firstLine="640"/>
        <w:rPr>
          <w:rFonts w:hint="default" w:ascii="Nimbus Roman No9 L" w:hAnsi="Nimbus Roman No9 L" w:eastAsia="仿宋_GB2312" w:cs="Nimbus Roman No9 L"/>
          <w:b/>
          <w:bCs/>
          <w:color w:val="auto"/>
          <w:kern w:val="2"/>
          <w:sz w:val="32"/>
          <w:szCs w:val="32"/>
          <w:highlight w:val="none"/>
          <w:lang w:val="en-US" w:eastAsia="zh-CN" w:bidi="ar-SA"/>
        </w:rPr>
      </w:pPr>
      <w:r>
        <w:rPr>
          <w:rFonts w:hint="default" w:ascii="Nimbus Roman No9 L" w:hAnsi="Nimbus Roman No9 L" w:eastAsia="仿宋_GB2312" w:cs="Nimbus Roman No9 L"/>
          <w:color w:val="auto"/>
          <w:kern w:val="2"/>
          <w:sz w:val="32"/>
          <w:szCs w:val="32"/>
          <w:highlight w:val="none"/>
          <w:lang w:val="en-US" w:eastAsia="zh-CN" w:bidi="ar-SA"/>
        </w:rPr>
        <w:t>2025年度一般公共预算财政拨款支出</w:t>
      </w:r>
      <w:r>
        <w:rPr>
          <w:rFonts w:hint="default" w:ascii="Nimbus Roman No9 L" w:hAnsi="Nimbus Roman No9 L" w:eastAsia="仿宋_GB2312" w:cs="Nimbus Roman No9 L"/>
          <w:sz w:val="32"/>
          <w:szCs w:val="32"/>
        </w:rPr>
        <w:t>264.87</w:t>
      </w:r>
      <w:r>
        <w:rPr>
          <w:rFonts w:hint="default" w:ascii="Nimbus Roman No9 L" w:hAnsi="Nimbus Roman No9 L" w:eastAsia="仿宋_GB2312" w:cs="Nimbus Roman No9 L"/>
          <w:color w:val="auto"/>
          <w:kern w:val="2"/>
          <w:sz w:val="32"/>
          <w:szCs w:val="32"/>
          <w:highlight w:val="none"/>
          <w:lang w:val="en-US" w:eastAsia="zh-CN" w:bidi="ar-SA"/>
        </w:rPr>
        <w:t>万元，主要用于以下方面：科学技术支出192.03万元，占72.5%；社会保障和就业支出43.29万元，占16.</w:t>
      </w:r>
      <w:r>
        <w:rPr>
          <w:rFonts w:hint="eastAsia" w:ascii="Nimbus Roman No9 L" w:hAnsi="Nimbus Roman No9 L" w:eastAsia="仿宋_GB2312" w:cs="Nimbus Roman No9 L"/>
          <w:color w:val="auto"/>
          <w:kern w:val="2"/>
          <w:sz w:val="32"/>
          <w:szCs w:val="32"/>
          <w:highlight w:val="none"/>
          <w:lang w:val="en-US" w:eastAsia="zh-CN" w:bidi="ar-SA"/>
        </w:rPr>
        <w:t>3</w:t>
      </w:r>
      <w:r>
        <w:rPr>
          <w:rFonts w:hint="default" w:ascii="Nimbus Roman No9 L" w:hAnsi="Nimbus Roman No9 L" w:eastAsia="仿宋_GB2312" w:cs="Nimbus Roman No9 L"/>
          <w:color w:val="auto"/>
          <w:kern w:val="2"/>
          <w:sz w:val="32"/>
          <w:szCs w:val="32"/>
          <w:highlight w:val="none"/>
          <w:lang w:val="en-US" w:eastAsia="zh-CN" w:bidi="ar-SA"/>
        </w:rPr>
        <w:t>%；</w:t>
      </w:r>
      <w:r>
        <w:rPr>
          <w:rFonts w:hint="default" w:ascii="Nimbus Roman No9 L" w:hAnsi="Nimbus Roman No9 L" w:eastAsia="仿宋" w:cs="Nimbus Roman No9 L"/>
          <w:b/>
          <w:bCs/>
          <w:sz w:val="32"/>
          <w:szCs w:val="32"/>
        </w:rPr>
        <w:t>卫生健康支出</w:t>
      </w:r>
      <w:r>
        <w:rPr>
          <w:rFonts w:hint="default" w:ascii="Nimbus Roman No9 L" w:hAnsi="Nimbus Roman No9 L" w:eastAsia="仿宋_GB2312" w:cs="Nimbus Roman No9 L"/>
          <w:color w:val="auto"/>
          <w:kern w:val="2"/>
          <w:sz w:val="32"/>
          <w:szCs w:val="32"/>
          <w:highlight w:val="none"/>
          <w:lang w:val="en-US" w:eastAsia="zh-CN" w:bidi="ar-SA"/>
        </w:rPr>
        <w:t>13.45万元，占5.</w:t>
      </w:r>
      <w:r>
        <w:rPr>
          <w:rFonts w:hint="eastAsia" w:ascii="Nimbus Roman No9 L" w:hAnsi="Nimbus Roman No9 L" w:eastAsia="仿宋_GB2312" w:cs="Nimbus Roman No9 L"/>
          <w:color w:val="auto"/>
          <w:kern w:val="2"/>
          <w:sz w:val="32"/>
          <w:szCs w:val="32"/>
          <w:highlight w:val="none"/>
          <w:lang w:val="en-US" w:eastAsia="zh-CN" w:bidi="ar-SA"/>
        </w:rPr>
        <w:t>1</w:t>
      </w:r>
      <w:r>
        <w:rPr>
          <w:rFonts w:hint="default" w:ascii="Nimbus Roman No9 L" w:hAnsi="Nimbus Roman No9 L" w:eastAsia="仿宋_GB2312" w:cs="Nimbus Roman No9 L"/>
          <w:color w:val="auto"/>
          <w:kern w:val="2"/>
          <w:sz w:val="32"/>
          <w:szCs w:val="32"/>
          <w:highlight w:val="none"/>
          <w:lang w:val="en-US" w:eastAsia="zh-CN" w:bidi="ar-SA"/>
        </w:rPr>
        <w:t>%</w:t>
      </w:r>
      <w:r>
        <w:rPr>
          <w:rFonts w:hint="default" w:ascii="Nimbus Roman No9 L" w:hAnsi="Nimbus Roman No9 L" w:eastAsia="仿宋" w:cs="Nimbus Roman No9 L"/>
          <w:sz w:val="32"/>
          <w:szCs w:val="32"/>
          <w:lang w:val="en-US" w:eastAsia="zh-CN"/>
        </w:rPr>
        <w:t>；</w:t>
      </w:r>
      <w:r>
        <w:rPr>
          <w:rFonts w:hint="default" w:ascii="Nimbus Roman No9 L" w:hAnsi="Nimbus Roman No9 L" w:eastAsia="仿宋" w:cs="Nimbus Roman No9 L"/>
          <w:b/>
          <w:bCs/>
          <w:sz w:val="32"/>
          <w:szCs w:val="32"/>
        </w:rPr>
        <w:t>住房保障支出</w:t>
      </w:r>
      <w:r>
        <w:rPr>
          <w:rFonts w:hint="default" w:ascii="Nimbus Roman No9 L" w:hAnsi="Nimbus Roman No9 L" w:eastAsia="仿宋_GB2312" w:cs="Nimbus Roman No9 L"/>
          <w:color w:val="auto"/>
          <w:kern w:val="2"/>
          <w:sz w:val="32"/>
          <w:szCs w:val="32"/>
          <w:highlight w:val="none"/>
          <w:lang w:val="en-US" w:eastAsia="zh-CN" w:bidi="ar-SA"/>
        </w:rPr>
        <w:t>16.09万元，占6.</w:t>
      </w:r>
      <w:r>
        <w:rPr>
          <w:rFonts w:hint="eastAsia" w:ascii="Nimbus Roman No9 L" w:hAnsi="Nimbus Roman No9 L" w:eastAsia="仿宋_GB2312" w:cs="Nimbus Roman No9 L"/>
          <w:color w:val="auto"/>
          <w:kern w:val="2"/>
          <w:sz w:val="32"/>
          <w:szCs w:val="32"/>
          <w:highlight w:val="none"/>
          <w:lang w:val="en-US" w:eastAsia="zh-CN" w:bidi="ar-SA"/>
        </w:rPr>
        <w:t>1</w:t>
      </w:r>
      <w:r>
        <w:rPr>
          <w:rFonts w:hint="default" w:ascii="Nimbus Roman No9 L" w:hAnsi="Nimbus Roman No9 L" w:eastAsia="仿宋_GB2312" w:cs="Nimbus Roman No9 L"/>
          <w:color w:val="auto"/>
          <w:kern w:val="2"/>
          <w:sz w:val="32"/>
          <w:szCs w:val="32"/>
          <w:highlight w:val="none"/>
          <w:lang w:val="en-US" w:eastAsia="zh-CN" w:bidi="ar-SA"/>
        </w:rPr>
        <w:t>%</w:t>
      </w:r>
      <w:r>
        <w:rPr>
          <w:rFonts w:hint="default" w:ascii="Nimbus Roman No9 L" w:hAnsi="Nimbus Roman No9 L" w:eastAsia="仿宋" w:cs="Nimbus Roman No9 L"/>
          <w:sz w:val="32"/>
          <w:szCs w:val="32"/>
        </w:rPr>
        <w:t>。</w:t>
      </w:r>
    </w:p>
    <w:p w14:paraId="45991005">
      <w:pPr>
        <w:spacing w:line="600" w:lineRule="exact"/>
        <w:ind w:firstLine="640"/>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eastAsia="仿宋_GB2312" w:cs="Nimbus Roman No9 L"/>
          <w:color w:val="auto"/>
          <w:kern w:val="2"/>
          <w:sz w:val="32"/>
          <w:szCs w:val="32"/>
          <w:highlight w:val="none"/>
          <w:lang w:val="en-US" w:eastAsia="zh-CN" w:bidi="ar-SA"/>
        </w:rPr>
        <w:t>（图6：一般公共预算财政拨款支出决算结构）（饼状图）</w:t>
      </w:r>
    </w:p>
    <w:p w14:paraId="69D1453D">
      <w:pPr>
        <w:pStyle w:val="8"/>
        <w:jc w:val="center"/>
        <w:rPr>
          <w:rFonts w:hint="default" w:ascii="Nimbus Roman No9 L" w:hAnsi="Nimbus Roman No9 L" w:eastAsia="仿宋_GB2312" w:cs="Nimbus Roman No9 L"/>
          <w:color w:val="auto"/>
          <w:kern w:val="2"/>
          <w:sz w:val="32"/>
          <w:szCs w:val="32"/>
          <w:highlight w:val="none"/>
          <w:lang w:val="en-US" w:eastAsia="zh-CN" w:bidi="ar-SA"/>
        </w:rPr>
      </w:pPr>
      <w:r>
        <w:drawing>
          <wp:inline distT="0" distB="0" distL="114300" distR="114300">
            <wp:extent cx="3943350" cy="2534285"/>
            <wp:effectExtent l="4445" t="4445" r="14605" b="13970"/>
            <wp:docPr id="1438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3C2449B">
      <w:pPr>
        <w:bidi w:val="0"/>
        <w:rPr>
          <w:rFonts w:hint="default" w:ascii="Nimbus Roman No9 L" w:hAnsi="Nimbus Roman No9 L" w:eastAsia="楷体_GB2312" w:cs="Nimbus Roman No9 L"/>
          <w:b/>
          <w:bCs w:val="0"/>
          <w:color w:val="auto"/>
          <w:kern w:val="2"/>
          <w:sz w:val="32"/>
          <w:szCs w:val="32"/>
          <w:highlight w:val="none"/>
          <w:lang w:val="en-US" w:eastAsia="zh-CN" w:bidi="ar-SA"/>
        </w:rPr>
      </w:pPr>
      <w:bookmarkStart w:id="48" w:name="_Toc15377212"/>
      <w:r>
        <w:rPr>
          <w:rFonts w:hint="default" w:ascii="Nimbus Roman No9 L" w:hAnsi="Nimbus Roman No9 L" w:eastAsia="楷体_GB2312" w:cs="Nimbus Roman No9 L"/>
          <w:b/>
          <w:bCs w:val="0"/>
          <w:color w:val="auto"/>
          <w:kern w:val="2"/>
          <w:sz w:val="32"/>
          <w:szCs w:val="32"/>
          <w:highlight w:val="none"/>
          <w:lang w:val="en-US" w:eastAsia="zh-CN" w:bidi="ar-SA"/>
        </w:rPr>
        <w:t>（三）一般公共预算财政拨款支出决算具体情况</w:t>
      </w:r>
      <w:bookmarkEnd w:id="48"/>
    </w:p>
    <w:p w14:paraId="067A6026">
      <w:pPr>
        <w:spacing w:line="600" w:lineRule="exact"/>
        <w:ind w:firstLine="640"/>
        <w:rPr>
          <w:rFonts w:hint="default" w:ascii="Nimbus Roman No9 L" w:hAnsi="Nimbus Roman No9 L" w:eastAsia="仿宋_GB2312" w:cs="Nimbus Roman No9 L"/>
          <w:color w:val="auto"/>
          <w:kern w:val="2"/>
          <w:sz w:val="32"/>
          <w:szCs w:val="32"/>
          <w:highlight w:val="none"/>
          <w:lang w:val="en-US" w:eastAsia="zh-CN" w:bidi="ar-SA"/>
        </w:rPr>
      </w:pPr>
      <w:bookmarkStart w:id="49" w:name="_Toc15378460"/>
      <w:bookmarkStart w:id="50" w:name="_Toc15377444"/>
      <w:bookmarkStart w:id="51" w:name="_Toc15377213"/>
      <w:r>
        <w:rPr>
          <w:rFonts w:hint="default" w:ascii="Nimbus Roman No9 L" w:hAnsi="Nimbus Roman No9 L" w:eastAsia="仿宋_GB2312" w:cs="Nimbus Roman No9 L"/>
          <w:color w:val="auto"/>
          <w:kern w:val="2"/>
          <w:sz w:val="32"/>
          <w:szCs w:val="32"/>
          <w:highlight w:val="none"/>
          <w:lang w:val="en-US" w:eastAsia="zh-CN" w:bidi="ar-SA"/>
        </w:rPr>
        <w:t>2025年度一般公共预算支出决算数为</w:t>
      </w:r>
      <w:r>
        <w:rPr>
          <w:rFonts w:hint="default" w:ascii="Nimbus Roman No9 L" w:hAnsi="Nimbus Roman No9 L" w:eastAsia="仿宋_GB2312" w:cs="Nimbus Roman No9 L"/>
          <w:sz w:val="32"/>
          <w:szCs w:val="32"/>
        </w:rPr>
        <w:t>264.87</w:t>
      </w:r>
      <w:r>
        <w:rPr>
          <w:rFonts w:hint="default" w:ascii="Nimbus Roman No9 L" w:hAnsi="Nimbus Roman No9 L" w:eastAsia="仿宋_GB2312" w:cs="Nimbus Roman No9 L"/>
          <w:color w:val="auto"/>
          <w:kern w:val="2"/>
          <w:sz w:val="32"/>
          <w:szCs w:val="32"/>
          <w:highlight w:val="none"/>
          <w:lang w:val="en-US" w:eastAsia="zh-CN" w:bidi="ar-SA"/>
        </w:rPr>
        <w:t>，完成预算100%。其中：</w:t>
      </w:r>
      <w:bookmarkEnd w:id="49"/>
      <w:bookmarkEnd w:id="50"/>
      <w:bookmarkEnd w:id="51"/>
    </w:p>
    <w:p w14:paraId="24F38903">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Style w:val="17"/>
          <w:rFonts w:hint="default" w:ascii="Nimbus Roman No9 L" w:hAnsi="Nimbus Roman No9 L" w:eastAsia="仿宋" w:cs="Nimbus Roman No9 L"/>
          <w:b w:val="0"/>
          <w:bCs/>
          <w:sz w:val="32"/>
          <w:szCs w:val="32"/>
          <w:lang w:eastAsia="zh-CN"/>
        </w:rPr>
      </w:pPr>
      <w:bookmarkStart w:id="52" w:name="_Toc15377214"/>
      <w:bookmarkStart w:id="53" w:name="_Toc15396608"/>
      <w:r>
        <w:rPr>
          <w:rStyle w:val="17"/>
          <w:rFonts w:hint="default" w:ascii="Nimbus Roman No9 L" w:hAnsi="Nimbus Roman No9 L" w:eastAsia="仿宋" w:cs="Nimbus Roman No9 L"/>
          <w:bCs/>
          <w:sz w:val="32"/>
          <w:szCs w:val="32"/>
        </w:rPr>
        <w:t>1.科学技术（类）</w:t>
      </w:r>
      <w:r>
        <w:rPr>
          <w:rStyle w:val="17"/>
          <w:rFonts w:hint="default" w:ascii="Nimbus Roman No9 L" w:hAnsi="Nimbus Roman No9 L" w:eastAsia="仿宋" w:cs="Nimbus Roman No9 L"/>
          <w:bCs/>
          <w:sz w:val="32"/>
          <w:szCs w:val="32"/>
          <w:lang w:eastAsia="zh-CN"/>
        </w:rPr>
        <w:t>科技条件与服务（款）机构运行（项）</w:t>
      </w:r>
      <w:r>
        <w:rPr>
          <w:rStyle w:val="17"/>
          <w:rFonts w:hint="default" w:ascii="Nimbus Roman No9 L" w:hAnsi="Nimbus Roman No9 L" w:eastAsia="仿宋" w:cs="Nimbus Roman No9 L"/>
          <w:b w:val="0"/>
          <w:bCs/>
          <w:sz w:val="32"/>
          <w:szCs w:val="32"/>
          <w:lang w:eastAsia="zh-CN"/>
        </w:rPr>
        <w:t>：</w:t>
      </w:r>
      <w:r>
        <w:rPr>
          <w:rStyle w:val="17"/>
          <w:rFonts w:hint="default" w:ascii="Nimbus Roman No9 L" w:hAnsi="Nimbus Roman No9 L" w:eastAsia="仿宋" w:cs="Nimbus Roman No9 L"/>
          <w:b w:val="0"/>
          <w:bCs/>
          <w:sz w:val="32"/>
          <w:szCs w:val="32"/>
        </w:rPr>
        <w:t>支出决算为</w:t>
      </w:r>
      <w:r>
        <w:rPr>
          <w:rStyle w:val="17"/>
          <w:rFonts w:hint="default" w:ascii="Nimbus Roman No9 L" w:hAnsi="Nimbus Roman No9 L" w:eastAsia="仿宋" w:cs="Nimbus Roman No9 L"/>
          <w:b w:val="0"/>
          <w:bCs/>
          <w:sz w:val="32"/>
          <w:szCs w:val="32"/>
          <w:lang w:val="en-US" w:eastAsia="zh-CN"/>
        </w:rPr>
        <w:t>165.73</w:t>
      </w:r>
      <w:r>
        <w:rPr>
          <w:rStyle w:val="17"/>
          <w:rFonts w:hint="default" w:ascii="Nimbus Roman No9 L" w:hAnsi="Nimbus Roman No9 L" w:eastAsia="仿宋" w:cs="Nimbus Roman No9 L"/>
          <w:b w:val="0"/>
          <w:bCs/>
          <w:sz w:val="32"/>
          <w:szCs w:val="32"/>
        </w:rPr>
        <w:t>万元，完成预算</w:t>
      </w:r>
      <w:r>
        <w:rPr>
          <w:rStyle w:val="17"/>
          <w:rFonts w:hint="default" w:ascii="Nimbus Roman No9 L" w:hAnsi="Nimbus Roman No9 L" w:eastAsia="仿宋" w:cs="Nimbus Roman No9 L"/>
          <w:b w:val="0"/>
          <w:bCs/>
          <w:sz w:val="32"/>
          <w:szCs w:val="32"/>
          <w:lang w:val="en-US" w:eastAsia="zh-CN"/>
        </w:rPr>
        <w:t>100</w:t>
      </w:r>
      <w:r>
        <w:rPr>
          <w:rStyle w:val="17"/>
          <w:rFonts w:hint="default" w:ascii="Nimbus Roman No9 L" w:hAnsi="Nimbus Roman No9 L" w:eastAsia="仿宋" w:cs="Nimbus Roman No9 L"/>
          <w:b w:val="0"/>
          <w:bCs/>
          <w:sz w:val="32"/>
          <w:szCs w:val="32"/>
        </w:rPr>
        <w:t>%</w:t>
      </w:r>
      <w:r>
        <w:rPr>
          <w:rStyle w:val="17"/>
          <w:rFonts w:hint="default" w:ascii="Nimbus Roman No9 L" w:hAnsi="Nimbus Roman No9 L" w:eastAsia="仿宋" w:cs="Nimbus Roman No9 L"/>
          <w:b w:val="0"/>
          <w:bCs/>
          <w:sz w:val="32"/>
          <w:szCs w:val="32"/>
          <w:lang w:eastAsia="zh-CN"/>
        </w:rPr>
        <w:t>；</w:t>
      </w:r>
      <w:r>
        <w:rPr>
          <w:rStyle w:val="17"/>
          <w:rFonts w:hint="default" w:ascii="Nimbus Roman No9 L" w:hAnsi="Nimbus Roman No9 L" w:eastAsia="仿宋" w:cs="Nimbus Roman No9 L"/>
          <w:bCs/>
          <w:sz w:val="32"/>
          <w:szCs w:val="32"/>
          <w:lang w:eastAsia="zh-CN"/>
        </w:rPr>
        <w:t>其他科学技术支出（款）其他科学技术支出（项）：</w:t>
      </w:r>
      <w:r>
        <w:rPr>
          <w:rStyle w:val="17"/>
          <w:rFonts w:hint="default" w:ascii="Nimbus Roman No9 L" w:hAnsi="Nimbus Roman No9 L" w:eastAsia="仿宋" w:cs="Nimbus Roman No9 L"/>
          <w:b w:val="0"/>
          <w:bCs/>
          <w:sz w:val="32"/>
          <w:szCs w:val="32"/>
        </w:rPr>
        <w:t>支出决算为</w:t>
      </w:r>
      <w:r>
        <w:rPr>
          <w:rStyle w:val="17"/>
          <w:rFonts w:hint="default" w:ascii="Nimbus Roman No9 L" w:hAnsi="Nimbus Roman No9 L" w:eastAsia="仿宋" w:cs="Nimbus Roman No9 L"/>
          <w:b w:val="0"/>
          <w:bCs/>
          <w:sz w:val="32"/>
          <w:szCs w:val="32"/>
          <w:lang w:val="en-US" w:eastAsia="zh-CN"/>
        </w:rPr>
        <w:t>26.3</w:t>
      </w:r>
      <w:r>
        <w:rPr>
          <w:rStyle w:val="17"/>
          <w:rFonts w:hint="default" w:ascii="Nimbus Roman No9 L" w:hAnsi="Nimbus Roman No9 L" w:eastAsia="仿宋" w:cs="Nimbus Roman No9 L"/>
          <w:b w:val="0"/>
          <w:bCs/>
          <w:sz w:val="32"/>
          <w:szCs w:val="32"/>
        </w:rPr>
        <w:t>万元，完成预算</w:t>
      </w:r>
      <w:r>
        <w:rPr>
          <w:rStyle w:val="17"/>
          <w:rFonts w:hint="default" w:ascii="Nimbus Roman No9 L" w:hAnsi="Nimbus Roman No9 L" w:eastAsia="仿宋" w:cs="Nimbus Roman No9 L"/>
          <w:b w:val="0"/>
          <w:bCs/>
          <w:sz w:val="32"/>
          <w:szCs w:val="32"/>
          <w:lang w:val="en-US" w:eastAsia="zh-CN"/>
        </w:rPr>
        <w:t>100</w:t>
      </w:r>
      <w:r>
        <w:rPr>
          <w:rStyle w:val="17"/>
          <w:rFonts w:hint="default" w:ascii="Nimbus Roman No9 L" w:hAnsi="Nimbus Roman No9 L" w:eastAsia="仿宋" w:cs="Nimbus Roman No9 L"/>
          <w:b w:val="0"/>
          <w:bCs/>
          <w:sz w:val="32"/>
          <w:szCs w:val="32"/>
        </w:rPr>
        <w:t>%</w:t>
      </w:r>
      <w:r>
        <w:rPr>
          <w:rStyle w:val="17"/>
          <w:rFonts w:hint="default" w:ascii="Nimbus Roman No9 L" w:hAnsi="Nimbus Roman No9 L" w:eastAsia="仿宋" w:cs="Nimbus Roman No9 L"/>
          <w:b w:val="0"/>
          <w:bCs/>
          <w:sz w:val="32"/>
          <w:szCs w:val="32"/>
          <w:lang w:eastAsia="zh-CN"/>
        </w:rPr>
        <w:t>；</w:t>
      </w:r>
    </w:p>
    <w:p w14:paraId="67867EBB">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Nimbus Roman No9 L" w:hAnsi="Nimbus Roman No9 L" w:eastAsia="仿宋" w:cs="Nimbus Roman No9 L"/>
          <w:b/>
          <w:sz w:val="32"/>
          <w:szCs w:val="32"/>
          <w:lang w:eastAsia="zh-CN"/>
        </w:rPr>
      </w:pPr>
      <w:r>
        <w:rPr>
          <w:rStyle w:val="17"/>
          <w:rFonts w:hint="default" w:ascii="Nimbus Roman No9 L" w:hAnsi="Nimbus Roman No9 L" w:eastAsia="仿宋" w:cs="Nimbus Roman No9 L"/>
          <w:bCs/>
          <w:sz w:val="32"/>
          <w:szCs w:val="32"/>
          <w:lang w:val="en-US" w:eastAsia="zh-CN"/>
        </w:rPr>
        <w:t>2</w:t>
      </w:r>
      <w:r>
        <w:rPr>
          <w:rStyle w:val="17"/>
          <w:rFonts w:hint="default" w:ascii="Nimbus Roman No9 L" w:hAnsi="Nimbus Roman No9 L" w:eastAsia="仿宋" w:cs="Nimbus Roman No9 L"/>
          <w:bCs/>
          <w:sz w:val="32"/>
          <w:szCs w:val="32"/>
        </w:rPr>
        <w:t>.社会保障和就业（类）行政事业单位养老支出（款）事业单位离退休（项）:</w:t>
      </w:r>
      <w:r>
        <w:rPr>
          <w:rStyle w:val="17"/>
          <w:rFonts w:hint="default" w:ascii="Nimbus Roman No9 L" w:hAnsi="Nimbus Roman No9 L" w:eastAsia="仿宋" w:cs="Nimbus Roman No9 L"/>
          <w:b w:val="0"/>
          <w:bCs/>
          <w:sz w:val="32"/>
          <w:szCs w:val="32"/>
        </w:rPr>
        <w:t xml:space="preserve"> 支出决算为</w:t>
      </w:r>
      <w:r>
        <w:rPr>
          <w:rStyle w:val="17"/>
          <w:rFonts w:hint="default" w:ascii="Nimbus Roman No9 L" w:hAnsi="Nimbus Roman No9 L" w:eastAsia="仿宋" w:cs="Nimbus Roman No9 L"/>
          <w:b w:val="0"/>
          <w:bCs/>
          <w:sz w:val="32"/>
          <w:szCs w:val="32"/>
          <w:lang w:val="en-US" w:eastAsia="zh-CN"/>
        </w:rPr>
        <w:t>20.88</w:t>
      </w:r>
      <w:r>
        <w:rPr>
          <w:rStyle w:val="17"/>
          <w:rFonts w:hint="default" w:ascii="Nimbus Roman No9 L" w:hAnsi="Nimbus Roman No9 L" w:eastAsia="仿宋" w:cs="Nimbus Roman No9 L"/>
          <w:b w:val="0"/>
          <w:bCs/>
          <w:sz w:val="32"/>
          <w:szCs w:val="32"/>
        </w:rPr>
        <w:t>万元，完成预算</w:t>
      </w:r>
      <w:r>
        <w:rPr>
          <w:rStyle w:val="17"/>
          <w:rFonts w:hint="default" w:ascii="Nimbus Roman No9 L" w:hAnsi="Nimbus Roman No9 L" w:eastAsia="仿宋" w:cs="Nimbus Roman No9 L"/>
          <w:b w:val="0"/>
          <w:bCs/>
          <w:sz w:val="32"/>
          <w:szCs w:val="32"/>
          <w:lang w:val="en-US" w:eastAsia="zh-CN"/>
        </w:rPr>
        <w:t>100</w:t>
      </w:r>
      <w:r>
        <w:rPr>
          <w:rStyle w:val="17"/>
          <w:rFonts w:hint="default" w:ascii="Nimbus Roman No9 L" w:hAnsi="Nimbus Roman No9 L" w:eastAsia="仿宋" w:cs="Nimbus Roman No9 L"/>
          <w:b w:val="0"/>
          <w:bCs/>
          <w:sz w:val="32"/>
          <w:szCs w:val="32"/>
        </w:rPr>
        <w:t>%</w:t>
      </w:r>
      <w:r>
        <w:rPr>
          <w:rStyle w:val="17"/>
          <w:rFonts w:hint="default" w:ascii="Nimbus Roman No9 L" w:hAnsi="Nimbus Roman No9 L" w:eastAsia="仿宋" w:cs="Nimbus Roman No9 L"/>
          <w:b w:val="0"/>
          <w:bCs/>
          <w:sz w:val="32"/>
          <w:szCs w:val="32"/>
          <w:lang w:eastAsia="zh-CN"/>
        </w:rPr>
        <w:t>；</w:t>
      </w:r>
      <w:r>
        <w:rPr>
          <w:rStyle w:val="17"/>
          <w:rFonts w:hint="default" w:ascii="Nimbus Roman No9 L" w:hAnsi="Nimbus Roman No9 L" w:eastAsia="仿宋" w:cs="Nimbus Roman No9 L"/>
          <w:bCs/>
          <w:sz w:val="32"/>
          <w:szCs w:val="32"/>
        </w:rPr>
        <w:t>行政事业单位养老支出（款）机关事业单位基本养老保险缴费支出（项）:</w:t>
      </w:r>
      <w:r>
        <w:rPr>
          <w:rStyle w:val="17"/>
          <w:rFonts w:hint="default" w:ascii="Nimbus Roman No9 L" w:hAnsi="Nimbus Roman No9 L" w:eastAsia="仿宋" w:cs="Nimbus Roman No9 L"/>
          <w:b w:val="0"/>
          <w:bCs/>
          <w:sz w:val="32"/>
          <w:szCs w:val="32"/>
        </w:rPr>
        <w:t xml:space="preserve"> 支出决算为</w:t>
      </w:r>
      <w:r>
        <w:rPr>
          <w:rStyle w:val="17"/>
          <w:rFonts w:hint="default" w:ascii="Nimbus Roman No9 L" w:hAnsi="Nimbus Roman No9 L" w:eastAsia="仿宋" w:cs="Nimbus Roman No9 L"/>
          <w:b w:val="0"/>
          <w:bCs/>
          <w:sz w:val="32"/>
          <w:szCs w:val="32"/>
          <w:lang w:val="en-US" w:eastAsia="zh-CN"/>
        </w:rPr>
        <w:t>22.41</w:t>
      </w:r>
      <w:r>
        <w:rPr>
          <w:rStyle w:val="17"/>
          <w:rFonts w:hint="default" w:ascii="Nimbus Roman No9 L" w:hAnsi="Nimbus Roman No9 L" w:eastAsia="仿宋" w:cs="Nimbus Roman No9 L"/>
          <w:b w:val="0"/>
          <w:bCs/>
          <w:sz w:val="32"/>
          <w:szCs w:val="32"/>
        </w:rPr>
        <w:t>万元，完成预算</w:t>
      </w:r>
      <w:r>
        <w:rPr>
          <w:rStyle w:val="17"/>
          <w:rFonts w:hint="default" w:ascii="Nimbus Roman No9 L" w:hAnsi="Nimbus Roman No9 L" w:eastAsia="仿宋" w:cs="Nimbus Roman No9 L"/>
          <w:b w:val="0"/>
          <w:bCs/>
          <w:sz w:val="32"/>
          <w:szCs w:val="32"/>
          <w:lang w:val="en-US" w:eastAsia="zh-CN"/>
        </w:rPr>
        <w:t>100</w:t>
      </w:r>
      <w:r>
        <w:rPr>
          <w:rStyle w:val="17"/>
          <w:rFonts w:hint="default" w:ascii="Nimbus Roman No9 L" w:hAnsi="Nimbus Roman No9 L" w:eastAsia="仿宋" w:cs="Nimbus Roman No9 L"/>
          <w:b w:val="0"/>
          <w:bCs/>
          <w:sz w:val="32"/>
          <w:szCs w:val="32"/>
        </w:rPr>
        <w:t>%</w:t>
      </w:r>
      <w:r>
        <w:rPr>
          <w:rStyle w:val="17"/>
          <w:rFonts w:hint="default" w:ascii="Nimbus Roman No9 L" w:hAnsi="Nimbus Roman No9 L" w:eastAsia="仿宋" w:cs="Nimbus Roman No9 L"/>
          <w:b w:val="0"/>
          <w:bCs/>
          <w:sz w:val="32"/>
          <w:szCs w:val="32"/>
          <w:lang w:eastAsia="zh-CN"/>
        </w:rPr>
        <w:t>；</w:t>
      </w:r>
    </w:p>
    <w:p w14:paraId="1472F8B6">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Nimbus Roman No9 L" w:hAnsi="Nimbus Roman No9 L" w:eastAsia="仿宋" w:cs="Nimbus Roman No9 L"/>
          <w:sz w:val="32"/>
          <w:szCs w:val="32"/>
        </w:rPr>
      </w:pPr>
      <w:r>
        <w:rPr>
          <w:rStyle w:val="17"/>
          <w:rFonts w:hint="default" w:ascii="Nimbus Roman No9 L" w:hAnsi="Nimbus Roman No9 L" w:eastAsia="仿宋" w:cs="Nimbus Roman No9 L"/>
          <w:bCs/>
          <w:sz w:val="32"/>
          <w:szCs w:val="32"/>
          <w:lang w:val="en-US" w:eastAsia="zh-CN"/>
        </w:rPr>
        <w:t>3.</w:t>
      </w:r>
      <w:r>
        <w:rPr>
          <w:rStyle w:val="17"/>
          <w:rFonts w:hint="default" w:ascii="Nimbus Roman No9 L" w:hAnsi="Nimbus Roman No9 L" w:eastAsia="仿宋" w:cs="Nimbus Roman No9 L"/>
          <w:bCs/>
          <w:sz w:val="32"/>
          <w:szCs w:val="32"/>
        </w:rPr>
        <w:t>卫生健康支出（类）行政事业单位医疗（款） 事业单位医疗（项）:</w:t>
      </w:r>
      <w:r>
        <w:rPr>
          <w:rStyle w:val="17"/>
          <w:rFonts w:hint="default" w:ascii="Nimbus Roman No9 L" w:hAnsi="Nimbus Roman No9 L" w:eastAsia="仿宋" w:cs="Nimbus Roman No9 L"/>
          <w:b w:val="0"/>
          <w:bCs/>
          <w:sz w:val="32"/>
          <w:szCs w:val="32"/>
        </w:rPr>
        <w:t xml:space="preserve"> 支出决算为</w:t>
      </w:r>
      <w:r>
        <w:rPr>
          <w:rStyle w:val="17"/>
          <w:rFonts w:hint="default" w:ascii="Nimbus Roman No9 L" w:hAnsi="Nimbus Roman No9 L" w:eastAsia="仿宋" w:cs="Nimbus Roman No9 L"/>
          <w:b w:val="0"/>
          <w:bCs/>
          <w:sz w:val="32"/>
          <w:szCs w:val="32"/>
          <w:lang w:val="en-US" w:eastAsia="zh-CN"/>
        </w:rPr>
        <w:t>10.74</w:t>
      </w:r>
      <w:r>
        <w:rPr>
          <w:rStyle w:val="17"/>
          <w:rFonts w:hint="default" w:ascii="Nimbus Roman No9 L" w:hAnsi="Nimbus Roman No9 L" w:eastAsia="仿宋" w:cs="Nimbus Roman No9 L"/>
          <w:b w:val="0"/>
          <w:bCs/>
          <w:sz w:val="32"/>
          <w:szCs w:val="32"/>
        </w:rPr>
        <w:t>万元，完成预算</w:t>
      </w:r>
      <w:r>
        <w:rPr>
          <w:rStyle w:val="17"/>
          <w:rFonts w:hint="default" w:ascii="Nimbus Roman No9 L" w:hAnsi="Nimbus Roman No9 L" w:eastAsia="仿宋" w:cs="Nimbus Roman No9 L"/>
          <w:b w:val="0"/>
          <w:bCs/>
          <w:sz w:val="32"/>
          <w:szCs w:val="32"/>
          <w:lang w:val="en-US" w:eastAsia="zh-CN"/>
        </w:rPr>
        <w:t>100</w:t>
      </w:r>
      <w:r>
        <w:rPr>
          <w:rStyle w:val="17"/>
          <w:rFonts w:hint="default" w:ascii="Nimbus Roman No9 L" w:hAnsi="Nimbus Roman No9 L" w:eastAsia="仿宋" w:cs="Nimbus Roman No9 L"/>
          <w:b w:val="0"/>
          <w:bCs/>
          <w:sz w:val="32"/>
          <w:szCs w:val="32"/>
        </w:rPr>
        <w:t>%</w:t>
      </w:r>
      <w:r>
        <w:rPr>
          <w:rStyle w:val="17"/>
          <w:rFonts w:hint="default" w:ascii="Nimbus Roman No9 L" w:hAnsi="Nimbus Roman No9 L" w:eastAsia="仿宋" w:cs="Nimbus Roman No9 L"/>
          <w:b w:val="0"/>
          <w:bCs/>
          <w:sz w:val="32"/>
          <w:szCs w:val="32"/>
          <w:lang w:eastAsia="zh-CN"/>
        </w:rPr>
        <w:t>；</w:t>
      </w:r>
      <w:r>
        <w:rPr>
          <w:rStyle w:val="17"/>
          <w:rFonts w:hint="default" w:ascii="Nimbus Roman No9 L" w:hAnsi="Nimbus Roman No9 L" w:eastAsia="仿宋" w:cs="Nimbus Roman No9 L"/>
          <w:bCs/>
          <w:sz w:val="32"/>
          <w:szCs w:val="32"/>
        </w:rPr>
        <w:t>卫生健康支出（类）行政事业单位医疗（款） 公务员医疗补助（项）:</w:t>
      </w:r>
      <w:r>
        <w:rPr>
          <w:rStyle w:val="17"/>
          <w:rFonts w:hint="default" w:ascii="Nimbus Roman No9 L" w:hAnsi="Nimbus Roman No9 L" w:eastAsia="仿宋" w:cs="Nimbus Roman No9 L"/>
          <w:b w:val="0"/>
          <w:bCs/>
          <w:sz w:val="32"/>
          <w:szCs w:val="32"/>
        </w:rPr>
        <w:t>支出决算为</w:t>
      </w:r>
      <w:r>
        <w:rPr>
          <w:rStyle w:val="17"/>
          <w:rFonts w:hint="default" w:ascii="Nimbus Roman No9 L" w:hAnsi="Nimbus Roman No9 L" w:eastAsia="仿宋" w:cs="Nimbus Roman No9 L"/>
          <w:b w:val="0"/>
          <w:bCs/>
          <w:sz w:val="32"/>
          <w:szCs w:val="32"/>
          <w:lang w:val="en-US" w:eastAsia="zh-CN"/>
        </w:rPr>
        <w:t>1.41</w:t>
      </w:r>
      <w:r>
        <w:rPr>
          <w:rStyle w:val="17"/>
          <w:rFonts w:hint="default" w:ascii="Nimbus Roman No9 L" w:hAnsi="Nimbus Roman No9 L" w:eastAsia="仿宋" w:cs="Nimbus Roman No9 L"/>
          <w:b w:val="0"/>
          <w:bCs/>
          <w:sz w:val="32"/>
          <w:szCs w:val="32"/>
        </w:rPr>
        <w:t>万元，完成预算</w:t>
      </w:r>
      <w:r>
        <w:rPr>
          <w:rStyle w:val="17"/>
          <w:rFonts w:hint="default" w:ascii="Nimbus Roman No9 L" w:hAnsi="Nimbus Roman No9 L" w:eastAsia="仿宋" w:cs="Nimbus Roman No9 L"/>
          <w:b w:val="0"/>
          <w:bCs/>
          <w:sz w:val="32"/>
          <w:szCs w:val="32"/>
          <w:lang w:val="en-US" w:eastAsia="zh-CN"/>
        </w:rPr>
        <w:t>100</w:t>
      </w:r>
      <w:r>
        <w:rPr>
          <w:rStyle w:val="17"/>
          <w:rFonts w:hint="default" w:ascii="Nimbus Roman No9 L" w:hAnsi="Nimbus Roman No9 L" w:eastAsia="仿宋" w:cs="Nimbus Roman No9 L"/>
          <w:b w:val="0"/>
          <w:bCs/>
          <w:sz w:val="32"/>
          <w:szCs w:val="32"/>
        </w:rPr>
        <w:t xml:space="preserve">% </w:t>
      </w:r>
      <w:r>
        <w:rPr>
          <w:rStyle w:val="17"/>
          <w:rFonts w:hint="default" w:ascii="Nimbus Roman No9 L" w:hAnsi="Nimbus Roman No9 L" w:eastAsia="仿宋" w:cs="Nimbus Roman No9 L"/>
          <w:b w:val="0"/>
          <w:bCs/>
          <w:sz w:val="32"/>
          <w:szCs w:val="32"/>
          <w:lang w:eastAsia="zh-CN"/>
        </w:rPr>
        <w:t>；</w:t>
      </w:r>
      <w:r>
        <w:rPr>
          <w:rStyle w:val="17"/>
          <w:rFonts w:hint="default" w:ascii="Nimbus Roman No9 L" w:hAnsi="Nimbus Roman No9 L" w:eastAsia="仿宋" w:cs="Nimbus Roman No9 L"/>
          <w:bCs/>
          <w:sz w:val="32"/>
          <w:szCs w:val="32"/>
        </w:rPr>
        <w:t>行政事业单位医疗（款）其他行政事业单位医疗支出（项）:</w:t>
      </w:r>
      <w:r>
        <w:rPr>
          <w:rStyle w:val="17"/>
          <w:rFonts w:hint="default" w:ascii="Nimbus Roman No9 L" w:hAnsi="Nimbus Roman No9 L" w:eastAsia="仿宋" w:cs="Nimbus Roman No9 L"/>
          <w:b w:val="0"/>
          <w:bCs/>
          <w:sz w:val="32"/>
          <w:szCs w:val="32"/>
        </w:rPr>
        <w:t>支出决算为</w:t>
      </w:r>
      <w:r>
        <w:rPr>
          <w:rStyle w:val="17"/>
          <w:rFonts w:hint="default" w:ascii="Nimbus Roman No9 L" w:hAnsi="Nimbus Roman No9 L" w:eastAsia="仿宋" w:cs="Nimbus Roman No9 L"/>
          <w:b w:val="0"/>
          <w:bCs/>
          <w:sz w:val="32"/>
          <w:szCs w:val="32"/>
          <w:lang w:val="en-US" w:eastAsia="zh-CN"/>
        </w:rPr>
        <w:t>1.3</w:t>
      </w:r>
      <w:r>
        <w:rPr>
          <w:rStyle w:val="17"/>
          <w:rFonts w:hint="default" w:ascii="Nimbus Roman No9 L" w:hAnsi="Nimbus Roman No9 L" w:eastAsia="仿宋" w:cs="Nimbus Roman No9 L"/>
          <w:b w:val="0"/>
          <w:bCs/>
          <w:sz w:val="32"/>
          <w:szCs w:val="32"/>
        </w:rPr>
        <w:t>万元，完成预算</w:t>
      </w:r>
      <w:r>
        <w:rPr>
          <w:rStyle w:val="17"/>
          <w:rFonts w:hint="default" w:ascii="Nimbus Roman No9 L" w:hAnsi="Nimbus Roman No9 L" w:eastAsia="仿宋" w:cs="Nimbus Roman No9 L"/>
          <w:b w:val="0"/>
          <w:bCs/>
          <w:sz w:val="32"/>
          <w:szCs w:val="32"/>
          <w:lang w:val="en-US" w:eastAsia="zh-CN"/>
        </w:rPr>
        <w:t>100</w:t>
      </w:r>
      <w:r>
        <w:rPr>
          <w:rStyle w:val="17"/>
          <w:rFonts w:hint="default" w:ascii="Nimbus Roman No9 L" w:hAnsi="Nimbus Roman No9 L" w:eastAsia="仿宋" w:cs="Nimbus Roman No9 L"/>
          <w:b w:val="0"/>
          <w:bCs/>
          <w:sz w:val="32"/>
          <w:szCs w:val="32"/>
        </w:rPr>
        <w:t>%</w:t>
      </w:r>
      <w:r>
        <w:rPr>
          <w:rStyle w:val="17"/>
          <w:rFonts w:hint="default" w:ascii="Nimbus Roman No9 L" w:hAnsi="Nimbus Roman No9 L" w:eastAsia="仿宋" w:cs="Nimbus Roman No9 L"/>
          <w:b w:val="0"/>
          <w:bCs/>
          <w:sz w:val="32"/>
          <w:szCs w:val="32"/>
          <w:lang w:eastAsia="zh-CN"/>
        </w:rPr>
        <w:t>；</w:t>
      </w:r>
    </w:p>
    <w:p w14:paraId="07943C25">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Nimbus Roman No9 L" w:hAnsi="Nimbus Roman No9 L" w:eastAsia="仿宋_GB2312" w:cs="Nimbus Roman No9 L"/>
          <w:color w:val="auto"/>
          <w:kern w:val="2"/>
          <w:sz w:val="32"/>
          <w:szCs w:val="32"/>
          <w:highlight w:val="none"/>
          <w:lang w:val="en-US" w:eastAsia="zh-CN" w:bidi="ar-SA"/>
        </w:rPr>
      </w:pPr>
      <w:r>
        <w:rPr>
          <w:rStyle w:val="17"/>
          <w:rFonts w:hint="default" w:ascii="Nimbus Roman No9 L" w:hAnsi="Nimbus Roman No9 L" w:eastAsia="仿宋" w:cs="Nimbus Roman No9 L"/>
          <w:bCs/>
          <w:sz w:val="32"/>
          <w:szCs w:val="32"/>
          <w:lang w:val="en-US" w:eastAsia="zh-CN"/>
        </w:rPr>
        <w:t>4</w:t>
      </w:r>
      <w:r>
        <w:rPr>
          <w:rStyle w:val="17"/>
          <w:rFonts w:hint="default" w:ascii="Nimbus Roman No9 L" w:hAnsi="Nimbus Roman No9 L" w:eastAsia="仿宋" w:cs="Nimbus Roman No9 L"/>
          <w:bCs/>
          <w:sz w:val="32"/>
          <w:szCs w:val="32"/>
        </w:rPr>
        <w:t>.住房保障（类）住房改革支出（款） 住房公积金（项）:</w:t>
      </w:r>
      <w:r>
        <w:rPr>
          <w:rStyle w:val="17"/>
          <w:rFonts w:hint="default" w:ascii="Nimbus Roman No9 L" w:hAnsi="Nimbus Roman No9 L" w:eastAsia="仿宋" w:cs="Nimbus Roman No9 L"/>
          <w:b w:val="0"/>
          <w:bCs/>
          <w:sz w:val="32"/>
          <w:szCs w:val="32"/>
        </w:rPr>
        <w:t xml:space="preserve"> </w:t>
      </w:r>
      <w:r>
        <w:rPr>
          <w:rFonts w:hint="default" w:ascii="Nimbus Roman No9 L" w:hAnsi="Nimbus Roman No9 L" w:eastAsia="仿宋_GB2312" w:cs="Nimbus Roman No9 L"/>
          <w:color w:val="auto"/>
          <w:kern w:val="2"/>
          <w:sz w:val="32"/>
          <w:szCs w:val="32"/>
          <w:highlight w:val="none"/>
          <w:lang w:val="en-US" w:eastAsia="zh-CN" w:bidi="ar-SA"/>
        </w:rPr>
        <w:t>支出决算为16.09万元，完成预算100%。</w:t>
      </w:r>
    </w:p>
    <w:p w14:paraId="140F4411">
      <w:pPr>
        <w:pStyle w:val="6"/>
        <w:keepNext/>
        <w:keepLines/>
        <w:pageBreakBefore w:val="0"/>
        <w:widowControl w:val="0"/>
        <w:kinsoku/>
        <w:wordWrap/>
        <w:overflowPunct/>
        <w:topLinePunct w:val="0"/>
        <w:autoSpaceDE/>
        <w:autoSpaceDN/>
        <w:bidi w:val="0"/>
        <w:adjustRightInd/>
        <w:snapToGrid/>
        <w:spacing w:before="0" w:after="0" w:line="416" w:lineRule="auto"/>
        <w:ind w:firstLine="643" w:firstLineChars="200"/>
        <w:textAlignment w:val="auto"/>
        <w:rPr>
          <w:rStyle w:val="29"/>
          <w:rFonts w:hint="default" w:ascii="Nimbus Roman No9 L" w:hAnsi="Nimbus Roman No9 L" w:cs="Nimbus Roman No9 L"/>
          <w:b/>
          <w:bCs/>
          <w:color w:val="auto"/>
          <w:highlight w:val="none"/>
        </w:rPr>
      </w:pPr>
      <w:bookmarkStart w:id="54" w:name="_Toc463134887"/>
      <w:r>
        <w:rPr>
          <w:rStyle w:val="28"/>
          <w:rFonts w:hint="default" w:ascii="Nimbus Roman No9 L" w:hAnsi="Nimbus Roman No9 L" w:cs="Nimbus Roman No9 L"/>
          <w:b/>
          <w:bCs/>
          <w:sz w:val="32"/>
          <w:szCs w:val="32"/>
        </w:rPr>
        <w:t>六、一般公共预算财政拨款基本支出决算情况说明</w:t>
      </w:r>
      <w:bookmarkEnd w:id="52"/>
      <w:bookmarkEnd w:id="53"/>
      <w:bookmarkEnd w:id="54"/>
      <w:r>
        <w:rPr>
          <w:rStyle w:val="29"/>
          <w:rFonts w:hint="default" w:ascii="Nimbus Roman No9 L" w:hAnsi="Nimbus Roman No9 L" w:eastAsia="黑体" w:cs="Nimbus Roman No9 L"/>
          <w:b w:val="0"/>
          <w:bCs/>
          <w:color w:val="auto"/>
          <w:highlight w:val="none"/>
        </w:rPr>
        <w:tab/>
      </w:r>
    </w:p>
    <w:p w14:paraId="371B7AE8">
      <w:pPr>
        <w:spacing w:line="600" w:lineRule="exact"/>
        <w:ind w:firstLine="640"/>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eastAsia="仿宋_GB2312" w:cs="Nimbus Roman No9 L"/>
          <w:color w:val="auto"/>
          <w:kern w:val="2"/>
          <w:sz w:val="32"/>
          <w:szCs w:val="32"/>
          <w:highlight w:val="none"/>
          <w:lang w:val="en-US" w:eastAsia="zh-CN" w:bidi="ar-SA"/>
        </w:rPr>
        <w:t>2025年度一般公共预算财政拨款基本支出238.57万元，其中：</w:t>
      </w:r>
    </w:p>
    <w:p w14:paraId="1D771F65">
      <w:pPr>
        <w:spacing w:line="600" w:lineRule="exact"/>
        <w:ind w:firstLine="640"/>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eastAsia="仿宋_GB2312" w:cs="Nimbus Roman No9 L"/>
          <w:color w:val="auto"/>
          <w:kern w:val="2"/>
          <w:sz w:val="32"/>
          <w:szCs w:val="32"/>
          <w:highlight w:val="none"/>
          <w:lang w:val="en-US" w:eastAsia="zh-CN" w:bidi="ar-SA"/>
        </w:rPr>
        <w:t>人员经费225.09万元，主要包括：基本工资、津贴补贴、绩效工资、机关事业单位基本养老保险缴费、职工基本医疗保险缴费、公务员医疗补助缴费、其他社会保障缴费、住房公积金、其他工资福利支出、生活补助、医疗费补助、奖励金。</w:t>
      </w:r>
      <w:r>
        <w:rPr>
          <w:rFonts w:hint="default" w:ascii="Nimbus Roman No9 L" w:hAnsi="Nimbus Roman No9 L" w:eastAsia="仿宋_GB2312" w:cs="Nimbus Roman No9 L"/>
          <w:color w:val="auto"/>
          <w:kern w:val="2"/>
          <w:sz w:val="32"/>
          <w:szCs w:val="32"/>
          <w:highlight w:val="none"/>
          <w:lang w:val="en-US" w:eastAsia="zh-CN" w:bidi="ar-SA"/>
        </w:rPr>
        <w:br w:type="textWrapping"/>
      </w:r>
      <w:r>
        <w:rPr>
          <w:rFonts w:hint="default" w:ascii="Nimbus Roman No9 L" w:hAnsi="Nimbus Roman No9 L" w:eastAsia="仿宋_GB2312" w:cs="Nimbus Roman No9 L"/>
          <w:color w:val="auto"/>
          <w:kern w:val="2"/>
          <w:sz w:val="32"/>
          <w:szCs w:val="32"/>
          <w:highlight w:val="none"/>
          <w:lang w:val="en-US" w:eastAsia="zh-CN" w:bidi="ar-SA"/>
        </w:rPr>
        <w:t>　　公用经费13.47万元，主要包括：办公费、电费、物业管理费、差旅费、公务接待费、劳务费、工会经费、福利费、公务用车运行维护费、其他商品和服务支出。</w:t>
      </w:r>
    </w:p>
    <w:p w14:paraId="2DFE16DE">
      <w:pPr>
        <w:pStyle w:val="5"/>
        <w:keepNext/>
        <w:keepLines/>
        <w:pageBreakBefore w:val="0"/>
        <w:widowControl w:val="0"/>
        <w:kinsoku/>
        <w:wordWrap/>
        <w:overflowPunct/>
        <w:topLinePunct w:val="0"/>
        <w:autoSpaceDE/>
        <w:autoSpaceDN/>
        <w:bidi w:val="0"/>
        <w:adjustRightInd/>
        <w:snapToGrid/>
        <w:spacing w:before="0" w:after="0" w:line="579" w:lineRule="auto"/>
        <w:ind w:firstLine="643" w:firstLineChars="200"/>
        <w:textAlignment w:val="auto"/>
        <w:rPr>
          <w:rFonts w:hint="default" w:ascii="Nimbus Roman No9 L" w:hAnsi="Nimbus Roman No9 L" w:cs="Nimbus Roman No9 L"/>
          <w:sz w:val="32"/>
          <w:szCs w:val="32"/>
        </w:rPr>
      </w:pPr>
      <w:bookmarkStart w:id="55" w:name="_Toc15396609"/>
      <w:bookmarkStart w:id="56" w:name="_Toc419909246"/>
      <w:bookmarkStart w:id="57" w:name="_Toc15377215"/>
      <w:r>
        <w:rPr>
          <w:rFonts w:hint="default" w:ascii="Nimbus Roman No9 L" w:hAnsi="Nimbus Roman No9 L" w:cs="Nimbus Roman No9 L"/>
          <w:sz w:val="32"/>
          <w:szCs w:val="32"/>
        </w:rPr>
        <w:t>七、财政拨款“三公”经费支出决算情况说明</w:t>
      </w:r>
      <w:bookmarkEnd w:id="55"/>
      <w:bookmarkEnd w:id="56"/>
      <w:bookmarkEnd w:id="57"/>
    </w:p>
    <w:p w14:paraId="0945EAFA">
      <w:pPr>
        <w:spacing w:line="600" w:lineRule="exact"/>
        <w:ind w:firstLine="643" w:firstLineChars="200"/>
        <w:outlineLvl w:val="2"/>
        <w:rPr>
          <w:rFonts w:hint="default" w:ascii="Nimbus Roman No9 L" w:hAnsi="Nimbus Roman No9 L" w:eastAsia="楷体_GB2312" w:cs="Nimbus Roman No9 L"/>
          <w:b/>
          <w:color w:val="auto"/>
          <w:sz w:val="32"/>
          <w:szCs w:val="32"/>
          <w:highlight w:val="none"/>
          <w:lang w:val="en-US" w:eastAsia="zh-CN"/>
        </w:rPr>
      </w:pPr>
      <w:bookmarkStart w:id="58" w:name="_Toc464919335"/>
      <w:bookmarkStart w:id="59" w:name="_Toc15377216"/>
      <w:r>
        <w:rPr>
          <w:rFonts w:hint="default" w:ascii="Nimbus Roman No9 L" w:hAnsi="Nimbus Roman No9 L" w:eastAsia="楷体_GB2312" w:cs="Nimbus Roman No9 L"/>
          <w:b/>
          <w:color w:val="auto"/>
          <w:sz w:val="32"/>
          <w:szCs w:val="32"/>
          <w:highlight w:val="none"/>
          <w:lang w:val="en-US" w:eastAsia="zh-CN"/>
        </w:rPr>
        <w:t>（一）财政拨款“三公”经费支出决算总体情况说明</w:t>
      </w:r>
      <w:bookmarkEnd w:id="58"/>
      <w:bookmarkEnd w:id="59"/>
    </w:p>
    <w:p w14:paraId="63D5BC67">
      <w:pPr>
        <w:spacing w:line="600" w:lineRule="exact"/>
        <w:ind w:firstLine="640"/>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eastAsia="仿宋_GB2312" w:cs="Nimbus Roman No9 L"/>
          <w:color w:val="auto"/>
          <w:kern w:val="2"/>
          <w:sz w:val="32"/>
          <w:szCs w:val="32"/>
          <w:highlight w:val="none"/>
          <w:lang w:val="en-US" w:eastAsia="zh-CN" w:bidi="ar-SA"/>
        </w:rPr>
        <w:t>2025年度财政拨款“三公”经费支出决算为1.25万元，完成预算100%，较上年度增加0.13万元，增长11.6%。</w:t>
      </w:r>
    </w:p>
    <w:p w14:paraId="23DD2615">
      <w:pPr>
        <w:spacing w:line="600" w:lineRule="exact"/>
        <w:ind w:firstLine="643" w:firstLineChars="200"/>
        <w:outlineLvl w:val="2"/>
        <w:rPr>
          <w:rFonts w:hint="default" w:ascii="Nimbus Roman No9 L" w:hAnsi="Nimbus Roman No9 L" w:eastAsia="楷体_GB2312" w:cs="Nimbus Roman No9 L"/>
          <w:b/>
          <w:color w:val="auto"/>
          <w:sz w:val="32"/>
          <w:szCs w:val="32"/>
          <w:highlight w:val="none"/>
          <w:lang w:val="en-US" w:eastAsia="zh-CN"/>
        </w:rPr>
      </w:pPr>
      <w:bookmarkStart w:id="60" w:name="_Toc15377217"/>
      <w:bookmarkStart w:id="61" w:name="_Toc325989737"/>
      <w:r>
        <w:rPr>
          <w:rFonts w:hint="default" w:ascii="Nimbus Roman No9 L" w:hAnsi="Nimbus Roman No9 L" w:eastAsia="楷体_GB2312" w:cs="Nimbus Roman No9 L"/>
          <w:b/>
          <w:color w:val="auto"/>
          <w:sz w:val="32"/>
          <w:szCs w:val="32"/>
          <w:highlight w:val="none"/>
          <w:lang w:val="en-US" w:eastAsia="zh-CN"/>
        </w:rPr>
        <w:t>（二）财政拨款“三公”经费支出决算具体情况说明</w:t>
      </w:r>
      <w:bookmarkEnd w:id="60"/>
      <w:bookmarkEnd w:id="61"/>
    </w:p>
    <w:p w14:paraId="27ABE2D0">
      <w:pPr>
        <w:spacing w:line="600" w:lineRule="exact"/>
        <w:ind w:firstLine="640"/>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eastAsia="仿宋_GB2312" w:cs="Nimbus Roman No9 L"/>
          <w:color w:val="auto"/>
          <w:kern w:val="2"/>
          <w:sz w:val="32"/>
          <w:szCs w:val="32"/>
          <w:highlight w:val="none"/>
          <w:lang w:val="en-US" w:eastAsia="zh-CN" w:bidi="ar-SA"/>
        </w:rPr>
        <w:t>2025年度财政拨款“三公”经费支出决算中，因公出国（境）费支出决算</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kern w:val="2"/>
          <w:sz w:val="32"/>
          <w:szCs w:val="32"/>
          <w:highlight w:val="none"/>
          <w:lang w:val="en-US" w:eastAsia="zh-CN" w:bidi="ar-SA"/>
        </w:rPr>
        <w:t>万元，占0%；公务用车购置及运行维护费支出决算</w:t>
      </w:r>
      <w:r>
        <w:rPr>
          <w:rFonts w:hint="default" w:ascii="Nimbus Roman No9 L" w:hAnsi="Nimbus Roman No9 L" w:eastAsia="仿宋_GB2312" w:cs="Nimbus Roman No9 L"/>
          <w:sz w:val="32"/>
          <w:szCs w:val="32"/>
        </w:rPr>
        <w:t>1.04</w:t>
      </w:r>
      <w:r>
        <w:rPr>
          <w:rFonts w:hint="default" w:ascii="Nimbus Roman No9 L" w:hAnsi="Nimbus Roman No9 L" w:eastAsia="仿宋_GB2312" w:cs="Nimbus Roman No9 L"/>
          <w:color w:val="auto"/>
          <w:kern w:val="2"/>
          <w:sz w:val="32"/>
          <w:szCs w:val="32"/>
          <w:highlight w:val="none"/>
          <w:lang w:val="en-US" w:eastAsia="zh-CN" w:bidi="ar-SA"/>
        </w:rPr>
        <w:t>万元，占83.2%；公务接待费支出决算</w:t>
      </w:r>
      <w:r>
        <w:rPr>
          <w:rFonts w:hint="default" w:ascii="Nimbus Roman No9 L" w:hAnsi="Nimbus Roman No9 L" w:eastAsia="仿宋_GB2312" w:cs="Nimbus Roman No9 L"/>
          <w:sz w:val="32"/>
          <w:szCs w:val="32"/>
        </w:rPr>
        <w:t>0.21</w:t>
      </w:r>
      <w:r>
        <w:rPr>
          <w:rFonts w:hint="default" w:ascii="Nimbus Roman No9 L" w:hAnsi="Nimbus Roman No9 L" w:eastAsia="仿宋_GB2312" w:cs="Nimbus Roman No9 L"/>
          <w:color w:val="auto"/>
          <w:kern w:val="2"/>
          <w:sz w:val="32"/>
          <w:szCs w:val="32"/>
          <w:highlight w:val="none"/>
          <w:lang w:val="en-US" w:eastAsia="zh-CN" w:bidi="ar-SA"/>
        </w:rPr>
        <w:t>万元，占16.8%。具体情况如下：</w:t>
      </w:r>
    </w:p>
    <w:p w14:paraId="24FEFB08">
      <w:pPr>
        <w:spacing w:line="600" w:lineRule="exact"/>
        <w:ind w:firstLine="640"/>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eastAsia="仿宋_GB2312" w:cs="Nimbus Roman No9 L"/>
          <w:color w:val="auto"/>
          <w:kern w:val="2"/>
          <w:sz w:val="32"/>
          <w:szCs w:val="32"/>
          <w:highlight w:val="none"/>
          <w:lang w:val="en-US" w:eastAsia="zh-CN" w:bidi="ar-SA"/>
        </w:rPr>
        <w:t>（图7：财政拨款“三公”经费支出结构）（饼状图）</w:t>
      </w:r>
    </w:p>
    <w:p w14:paraId="44A2E810">
      <w:pPr>
        <w:pStyle w:val="8"/>
        <w:jc w:val="center"/>
        <w:rPr>
          <w:rFonts w:hint="default" w:ascii="Nimbus Roman No9 L" w:hAnsi="Nimbus Roman No9 L" w:eastAsia="仿宋_GB2312" w:cs="Nimbus Roman No9 L"/>
          <w:color w:val="auto"/>
          <w:kern w:val="2"/>
          <w:sz w:val="32"/>
          <w:szCs w:val="32"/>
          <w:highlight w:val="none"/>
          <w:lang w:val="en-US" w:eastAsia="zh-CN" w:bidi="ar-SA"/>
        </w:rPr>
      </w:pPr>
      <w:r>
        <w:drawing>
          <wp:inline distT="0" distB="0" distL="114300" distR="114300">
            <wp:extent cx="3943350" cy="2534285"/>
            <wp:effectExtent l="4445" t="4445" r="14605" b="13970"/>
            <wp:docPr id="1540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A1923EA">
      <w:pPr>
        <w:spacing w:line="600" w:lineRule="exact"/>
        <w:ind w:firstLine="640"/>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eastAsia="仿宋_GB2312" w:cs="Nimbus Roman No9 L"/>
          <w:b/>
          <w:bCs/>
          <w:color w:val="auto"/>
          <w:kern w:val="2"/>
          <w:sz w:val="32"/>
          <w:szCs w:val="32"/>
          <w:highlight w:val="none"/>
          <w:lang w:val="en-US" w:eastAsia="zh-CN" w:bidi="ar-SA"/>
        </w:rPr>
        <w:t>1.因公出国（境）经费支出</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b/>
          <w:bCs/>
          <w:color w:val="auto"/>
          <w:kern w:val="2"/>
          <w:sz w:val="32"/>
          <w:szCs w:val="32"/>
          <w:highlight w:val="none"/>
          <w:lang w:val="en-US" w:eastAsia="zh-CN" w:bidi="ar-SA"/>
        </w:rPr>
        <w:t>万元。</w:t>
      </w:r>
      <w:r>
        <w:rPr>
          <w:rFonts w:hint="default" w:ascii="Nimbus Roman No9 L" w:hAnsi="Nimbus Roman No9 L" w:eastAsia="仿宋_GB2312" w:cs="Nimbus Roman No9 L"/>
          <w:color w:val="auto"/>
          <w:kern w:val="2"/>
          <w:sz w:val="32"/>
          <w:szCs w:val="32"/>
          <w:highlight w:val="none"/>
          <w:lang w:val="en-US" w:eastAsia="zh-CN" w:bidi="ar-SA"/>
        </w:rPr>
        <w:t>全年安排因公出国（境）团组</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kern w:val="2"/>
          <w:sz w:val="32"/>
          <w:szCs w:val="32"/>
          <w:highlight w:val="none"/>
          <w:lang w:val="en-US" w:eastAsia="zh-CN" w:bidi="ar-SA"/>
        </w:rPr>
        <w:t>次，出国（境）</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kern w:val="2"/>
          <w:sz w:val="32"/>
          <w:szCs w:val="32"/>
          <w:highlight w:val="none"/>
          <w:lang w:val="en-US" w:eastAsia="zh-CN" w:bidi="ar-SA"/>
        </w:rPr>
        <w:t>人。因公出国（境）支出决算与2023年持平。主要原因是</w:t>
      </w:r>
      <w:r>
        <w:rPr>
          <w:rFonts w:hint="default" w:ascii="Nimbus Roman No9 L" w:hAnsi="Nimbus Roman No9 L" w:eastAsia="仿宋_GB2312" w:cs="Nimbus Roman No9 L"/>
          <w:sz w:val="32"/>
          <w:szCs w:val="32"/>
        </w:rPr>
        <w:t>未产生因公出国</w:t>
      </w:r>
      <w:r>
        <w:rPr>
          <w:rFonts w:hint="default" w:ascii="Nimbus Roman No9 L" w:hAnsi="Nimbus Roman No9 L" w:eastAsia="仿宋_GB2312" w:cs="Nimbus Roman No9 L"/>
          <w:sz w:val="32"/>
          <w:szCs w:val="32"/>
          <w:lang w:eastAsia="zh-CN"/>
        </w:rPr>
        <w:t>支出。</w:t>
      </w:r>
    </w:p>
    <w:p w14:paraId="3A4527F2">
      <w:pPr>
        <w:spacing w:line="600" w:lineRule="exact"/>
        <w:ind w:firstLine="640"/>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eastAsia="仿宋_GB2312" w:cs="Nimbus Roman No9 L"/>
          <w:b/>
          <w:bCs/>
          <w:color w:val="auto"/>
          <w:kern w:val="2"/>
          <w:sz w:val="32"/>
          <w:szCs w:val="32"/>
          <w:highlight w:val="none"/>
          <w:lang w:val="en-US" w:eastAsia="zh-CN" w:bidi="ar-SA"/>
        </w:rPr>
        <w:t>2.公务用车购置及运行维护费支出1.04万元，完成预算100%。</w:t>
      </w:r>
      <w:r>
        <w:rPr>
          <w:rFonts w:hint="default" w:ascii="Nimbus Roman No9 L" w:hAnsi="Nimbus Roman No9 L" w:eastAsia="仿宋_GB2312" w:cs="Nimbus Roman No9 L"/>
          <w:color w:val="auto"/>
          <w:kern w:val="2"/>
          <w:sz w:val="32"/>
          <w:szCs w:val="32"/>
          <w:highlight w:val="none"/>
          <w:lang w:val="en-US" w:eastAsia="zh-CN" w:bidi="ar-SA"/>
        </w:rPr>
        <w:t>公务用车购置及运行维护费支出决算比上年度减少0.08万元，下降7.1%。主要原因是加强公车管理，压减相关费用支出。</w:t>
      </w:r>
    </w:p>
    <w:p w14:paraId="38885A76">
      <w:pPr>
        <w:spacing w:line="600" w:lineRule="exact"/>
        <w:ind w:firstLine="640"/>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eastAsia="仿宋_GB2312" w:cs="Nimbus Roman No9 L"/>
          <w:color w:val="auto"/>
          <w:kern w:val="2"/>
          <w:sz w:val="32"/>
          <w:szCs w:val="32"/>
          <w:highlight w:val="none"/>
          <w:lang w:val="en-US" w:eastAsia="zh-CN" w:bidi="ar-SA"/>
        </w:rPr>
        <w:t>其中：公务用车购置支出</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kern w:val="2"/>
          <w:sz w:val="32"/>
          <w:szCs w:val="32"/>
          <w:highlight w:val="none"/>
          <w:lang w:val="en-US" w:eastAsia="zh-CN" w:bidi="ar-SA"/>
        </w:rPr>
        <w:t>万元。全年按规定更新购置公务用车0辆，其中：轿车0辆、金额0万元，越野车0辆、金额0万元，载客汽车0辆、金额0万元。截至2025年12月31日，单位共有公务用车1辆，其中：轿车1辆、越野车0辆、载客汽车0辆。</w:t>
      </w:r>
    </w:p>
    <w:p w14:paraId="31A3C479">
      <w:pPr>
        <w:spacing w:line="600" w:lineRule="exact"/>
        <w:ind w:firstLine="640"/>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eastAsia="仿宋_GB2312" w:cs="Nimbus Roman No9 L"/>
          <w:color w:val="auto"/>
          <w:kern w:val="2"/>
          <w:sz w:val="32"/>
          <w:szCs w:val="32"/>
          <w:highlight w:val="none"/>
          <w:lang w:val="en-US" w:eastAsia="zh-CN" w:bidi="ar-SA"/>
        </w:rPr>
        <w:t>公务用车运行维护费支出</w:t>
      </w:r>
      <w:r>
        <w:rPr>
          <w:rFonts w:hint="default" w:ascii="Nimbus Roman No9 L" w:hAnsi="Nimbus Roman No9 L" w:eastAsia="仿宋_GB2312" w:cs="Nimbus Roman No9 L"/>
          <w:sz w:val="32"/>
          <w:szCs w:val="32"/>
        </w:rPr>
        <w:t>1.04</w:t>
      </w:r>
      <w:r>
        <w:rPr>
          <w:rFonts w:hint="default" w:ascii="Nimbus Roman No9 L" w:hAnsi="Nimbus Roman No9 L" w:eastAsia="仿宋_GB2312" w:cs="Nimbus Roman No9 L"/>
          <w:color w:val="auto"/>
          <w:kern w:val="2"/>
          <w:sz w:val="32"/>
          <w:szCs w:val="32"/>
          <w:highlight w:val="none"/>
          <w:lang w:val="en-US" w:eastAsia="zh-CN" w:bidi="ar-SA"/>
        </w:rPr>
        <w:t>万元。主要用于全市科普讲解大赛、科普活动月、科普培训</w:t>
      </w:r>
      <w:r>
        <w:rPr>
          <w:rFonts w:hint="default" w:ascii="Nimbus Roman No9 L" w:hAnsi="Nimbus Roman No9 L" w:eastAsia="仿宋_GB2312" w:cs="Nimbus Roman No9 L"/>
          <w:sz w:val="32"/>
          <w:szCs w:val="32"/>
          <w:lang w:eastAsia="zh-CN"/>
        </w:rPr>
        <w:t>等</w:t>
      </w:r>
      <w:r>
        <w:rPr>
          <w:rFonts w:hint="default" w:ascii="Nimbus Roman No9 L" w:hAnsi="Nimbus Roman No9 L" w:eastAsia="仿宋_GB2312" w:cs="Nimbus Roman No9 L"/>
          <w:sz w:val="32"/>
          <w:szCs w:val="32"/>
        </w:rPr>
        <w:t>公务用车燃料费、维修费</w:t>
      </w:r>
      <w:r>
        <w:rPr>
          <w:rFonts w:hint="default" w:ascii="Nimbus Roman No9 L" w:hAnsi="Nimbus Roman No9 L" w:eastAsia="仿宋_GB2312" w:cs="Nimbus Roman No9 L"/>
          <w:sz w:val="32"/>
          <w:szCs w:val="32"/>
          <w:lang w:eastAsia="zh-CN"/>
        </w:rPr>
        <w:t>，及车辆年检、</w:t>
      </w:r>
      <w:r>
        <w:rPr>
          <w:rFonts w:hint="default" w:ascii="Nimbus Roman No9 L" w:hAnsi="Nimbus Roman No9 L" w:eastAsia="仿宋_GB2312" w:cs="Nimbus Roman No9 L"/>
          <w:sz w:val="32"/>
          <w:szCs w:val="32"/>
        </w:rPr>
        <w:t>保险费</w:t>
      </w:r>
      <w:r>
        <w:rPr>
          <w:rFonts w:hint="default" w:ascii="Nimbus Roman No9 L" w:hAnsi="Nimbus Roman No9 L" w:eastAsia="仿宋_GB2312" w:cs="Nimbus Roman No9 L"/>
          <w:sz w:val="32"/>
          <w:szCs w:val="32"/>
          <w:lang w:eastAsia="zh-CN"/>
        </w:rPr>
        <w:t>的</w:t>
      </w:r>
      <w:r>
        <w:rPr>
          <w:rFonts w:hint="default" w:ascii="Nimbus Roman No9 L" w:hAnsi="Nimbus Roman No9 L" w:eastAsia="仿宋_GB2312" w:cs="Nimbus Roman No9 L"/>
          <w:sz w:val="32"/>
          <w:szCs w:val="32"/>
        </w:rPr>
        <w:t>支出</w:t>
      </w:r>
      <w:r>
        <w:rPr>
          <w:rFonts w:hint="default" w:ascii="Nimbus Roman No9 L" w:hAnsi="Nimbus Roman No9 L" w:eastAsia="仿宋_GB2312" w:cs="Nimbus Roman No9 L"/>
          <w:color w:val="auto"/>
          <w:kern w:val="2"/>
          <w:sz w:val="32"/>
          <w:szCs w:val="32"/>
          <w:highlight w:val="none"/>
          <w:lang w:val="en-US" w:eastAsia="zh-CN" w:bidi="ar-SA"/>
        </w:rPr>
        <w:t>。</w:t>
      </w:r>
    </w:p>
    <w:p w14:paraId="75CB8A5D">
      <w:pPr>
        <w:spacing w:line="600" w:lineRule="exact"/>
        <w:ind w:firstLine="640"/>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eastAsia="仿宋_GB2312" w:cs="Nimbus Roman No9 L"/>
          <w:b/>
          <w:bCs/>
          <w:color w:val="auto"/>
          <w:kern w:val="2"/>
          <w:sz w:val="32"/>
          <w:szCs w:val="32"/>
          <w:highlight w:val="none"/>
          <w:lang w:val="en-US" w:eastAsia="zh-CN" w:bidi="ar-SA"/>
        </w:rPr>
        <w:t>3.公务接待费支出0.21万元，完成预算100%。</w:t>
      </w:r>
      <w:r>
        <w:rPr>
          <w:rFonts w:hint="default" w:ascii="Nimbus Roman No9 L" w:hAnsi="Nimbus Roman No9 L" w:eastAsia="仿宋_GB2312" w:cs="Nimbus Roman No9 L"/>
          <w:color w:val="auto"/>
          <w:kern w:val="2"/>
          <w:sz w:val="32"/>
          <w:szCs w:val="32"/>
          <w:highlight w:val="none"/>
          <w:lang w:val="en-US" w:eastAsia="zh-CN" w:bidi="ar-SA"/>
        </w:rPr>
        <w:t>公务接待费支出决算比上年度增加0.21万元，增长100%。主要原因是本年度产生接待任务1次。其中：</w:t>
      </w:r>
    </w:p>
    <w:p w14:paraId="473369C8">
      <w:pPr>
        <w:spacing w:line="600" w:lineRule="exact"/>
        <w:ind w:firstLine="640"/>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eastAsia="仿宋_GB2312" w:cs="Nimbus Roman No9 L"/>
          <w:color w:val="auto"/>
          <w:kern w:val="2"/>
          <w:sz w:val="32"/>
          <w:szCs w:val="32"/>
          <w:highlight w:val="none"/>
          <w:lang w:val="en-US" w:eastAsia="zh-CN" w:bidi="ar-SA"/>
        </w:rPr>
        <w:t>国内公务接待支出</w:t>
      </w:r>
      <w:r>
        <w:rPr>
          <w:rFonts w:hint="default" w:ascii="Nimbus Roman No9 L" w:hAnsi="Nimbus Roman No9 L" w:eastAsia="仿宋_GB2312" w:cs="Nimbus Roman No9 L"/>
          <w:sz w:val="32"/>
          <w:szCs w:val="32"/>
        </w:rPr>
        <w:t>0.21</w:t>
      </w:r>
      <w:r>
        <w:rPr>
          <w:rFonts w:hint="default" w:ascii="Nimbus Roman No9 L" w:hAnsi="Nimbus Roman No9 L" w:eastAsia="仿宋_GB2312" w:cs="Nimbus Roman No9 L"/>
          <w:color w:val="auto"/>
          <w:kern w:val="2"/>
          <w:sz w:val="32"/>
          <w:szCs w:val="32"/>
          <w:highlight w:val="none"/>
          <w:lang w:val="en-US" w:eastAsia="zh-CN" w:bidi="ar-SA"/>
        </w:rPr>
        <w:t>万元，主要用于其他地市州外单位来攀开展工作对接、学习考察等活动开支的用餐费。国内公务接待1批次，17人次（不包括陪同人员），共计支出0.21万元，具体内容包括：1.广安市科创中心来攀考察接待费。</w:t>
      </w:r>
    </w:p>
    <w:p w14:paraId="110EB30D">
      <w:pPr>
        <w:spacing w:line="600" w:lineRule="exact"/>
        <w:ind w:firstLine="640"/>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eastAsia="仿宋_GB2312" w:cs="Nimbus Roman No9 L"/>
          <w:color w:val="auto"/>
          <w:kern w:val="2"/>
          <w:sz w:val="32"/>
          <w:szCs w:val="32"/>
          <w:highlight w:val="none"/>
          <w:lang w:val="en-US" w:eastAsia="zh-CN" w:bidi="ar-SA"/>
        </w:rPr>
        <w:t>外事接待支出</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kern w:val="2"/>
          <w:sz w:val="32"/>
          <w:szCs w:val="32"/>
          <w:highlight w:val="none"/>
          <w:lang w:val="en-US" w:eastAsia="zh-CN" w:bidi="ar-SA"/>
        </w:rPr>
        <w:t>万元。</w:t>
      </w:r>
    </w:p>
    <w:p w14:paraId="15B81884">
      <w:pPr>
        <w:pStyle w:val="6"/>
        <w:pageBreakBefore w:val="0"/>
        <w:widowControl w:val="0"/>
        <w:kinsoku/>
        <w:wordWrap/>
        <w:overflowPunct/>
        <w:topLinePunct w:val="0"/>
        <w:autoSpaceDE/>
        <w:autoSpaceDN/>
        <w:bidi w:val="0"/>
        <w:adjustRightInd/>
        <w:snapToGrid/>
        <w:spacing w:before="0" w:after="0"/>
        <w:ind w:firstLine="643" w:firstLineChars="200"/>
        <w:textAlignment w:val="auto"/>
        <w:rPr>
          <w:rFonts w:hint="default" w:ascii="Nimbus Roman No9 L" w:hAnsi="Nimbus Roman No9 L" w:cs="Nimbus Roman No9 L"/>
        </w:rPr>
      </w:pPr>
      <w:bookmarkStart w:id="62" w:name="_Toc15396610"/>
      <w:bookmarkStart w:id="63" w:name="_Toc1043773710"/>
      <w:bookmarkStart w:id="64" w:name="_Toc15377218"/>
      <w:r>
        <w:rPr>
          <w:rFonts w:hint="default" w:ascii="Nimbus Roman No9 L" w:hAnsi="Nimbus Roman No9 L" w:cs="Nimbus Roman No9 L"/>
        </w:rPr>
        <w:t>八、政府性基金预算支出决算情况说明</w:t>
      </w:r>
      <w:bookmarkEnd w:id="62"/>
      <w:bookmarkEnd w:id="63"/>
      <w:bookmarkEnd w:id="64"/>
    </w:p>
    <w:p w14:paraId="2747E6F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outlineLvl w:val="1"/>
        <w:rPr>
          <w:rFonts w:hint="default" w:ascii="Nimbus Roman No9 L" w:hAnsi="Nimbus Roman No9 L" w:eastAsia="仿宋_GB2312" w:cs="Nimbus Roman No9 L"/>
          <w:color w:val="auto"/>
          <w:kern w:val="2"/>
          <w:sz w:val="32"/>
          <w:szCs w:val="32"/>
          <w:highlight w:val="none"/>
          <w:lang w:val="en-US" w:eastAsia="zh-CN" w:bidi="ar-SA"/>
        </w:rPr>
      </w:pPr>
      <w:bookmarkStart w:id="65" w:name="_Toc702446935"/>
      <w:r>
        <w:rPr>
          <w:rFonts w:hint="default" w:ascii="Nimbus Roman No9 L" w:hAnsi="Nimbus Roman No9 L" w:eastAsia="仿宋_GB2312" w:cs="Nimbus Roman No9 L"/>
          <w:color w:val="auto"/>
          <w:kern w:val="2"/>
          <w:sz w:val="32"/>
          <w:szCs w:val="32"/>
          <w:highlight w:val="none"/>
          <w:lang w:val="en-US" w:eastAsia="zh-CN" w:bidi="ar-SA"/>
        </w:rPr>
        <w:t>2025年度政府性基金预算财政拨款支出</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kern w:val="2"/>
          <w:sz w:val="32"/>
          <w:szCs w:val="32"/>
          <w:highlight w:val="none"/>
          <w:lang w:val="en-US" w:eastAsia="zh-CN" w:bidi="ar-SA"/>
        </w:rPr>
        <w:t>万元，与上年度</w:t>
      </w:r>
      <w:bookmarkStart w:id="66" w:name="_Toc15377219"/>
      <w:bookmarkStart w:id="67" w:name="_Toc15396611"/>
      <w:r>
        <w:rPr>
          <w:rFonts w:hint="default" w:ascii="Nimbus Roman No9 L" w:hAnsi="Nimbus Roman No9 L" w:eastAsia="仿宋_GB2312" w:cs="Nimbus Roman No9 L"/>
          <w:color w:val="auto"/>
          <w:kern w:val="2"/>
          <w:sz w:val="32"/>
          <w:szCs w:val="32"/>
          <w:highlight w:val="none"/>
          <w:lang w:val="en-US" w:eastAsia="zh-CN" w:bidi="ar-SA"/>
        </w:rPr>
        <w:t>持平。</w:t>
      </w:r>
      <w:bookmarkEnd w:id="65"/>
    </w:p>
    <w:p w14:paraId="5BDFE922">
      <w:pPr>
        <w:pStyle w:val="6"/>
        <w:pageBreakBefore w:val="0"/>
        <w:widowControl w:val="0"/>
        <w:kinsoku/>
        <w:wordWrap/>
        <w:overflowPunct/>
        <w:topLinePunct w:val="0"/>
        <w:autoSpaceDE/>
        <w:autoSpaceDN/>
        <w:bidi w:val="0"/>
        <w:adjustRightInd/>
        <w:snapToGrid/>
        <w:spacing w:before="0" w:after="0"/>
        <w:ind w:firstLine="643" w:firstLineChars="200"/>
        <w:textAlignment w:val="auto"/>
        <w:rPr>
          <w:rFonts w:hint="default" w:ascii="Nimbus Roman No9 L" w:hAnsi="Nimbus Roman No9 L" w:cs="Nimbus Roman No9 L"/>
        </w:rPr>
      </w:pPr>
      <w:bookmarkStart w:id="68" w:name="_Toc153192539"/>
      <w:r>
        <w:rPr>
          <w:rFonts w:hint="default" w:ascii="Nimbus Roman No9 L" w:hAnsi="Nimbus Roman No9 L" w:cs="Nimbus Roman No9 L"/>
          <w:lang w:val="en-US" w:eastAsia="zh-CN"/>
        </w:rPr>
        <w:t>九</w:t>
      </w:r>
      <w:r>
        <w:rPr>
          <w:rFonts w:hint="default" w:ascii="Nimbus Roman No9 L" w:hAnsi="Nimbus Roman No9 L" w:cs="Nimbus Roman No9 L"/>
          <w:lang w:eastAsia="zh-CN"/>
        </w:rPr>
        <w:t>、</w:t>
      </w:r>
      <w:r>
        <w:rPr>
          <w:rFonts w:hint="default" w:ascii="Nimbus Roman No9 L" w:hAnsi="Nimbus Roman No9 L" w:cs="Nimbus Roman No9 L"/>
        </w:rPr>
        <w:t>国有资本经营预算支出决算情况说明</w:t>
      </w:r>
      <w:bookmarkEnd w:id="66"/>
      <w:bookmarkEnd w:id="67"/>
      <w:bookmarkEnd w:id="68"/>
    </w:p>
    <w:p w14:paraId="62C8A26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outlineLvl w:val="1"/>
        <w:rPr>
          <w:rFonts w:hint="default" w:ascii="Nimbus Roman No9 L" w:hAnsi="Nimbus Roman No9 L" w:eastAsia="仿宋_GB2312" w:cs="Nimbus Roman No9 L"/>
          <w:color w:val="auto"/>
          <w:kern w:val="2"/>
          <w:sz w:val="32"/>
          <w:szCs w:val="32"/>
          <w:highlight w:val="none"/>
          <w:lang w:val="en-US" w:eastAsia="zh-CN" w:bidi="ar-SA"/>
        </w:rPr>
      </w:pPr>
      <w:bookmarkStart w:id="69" w:name="_Toc1391290860"/>
      <w:r>
        <w:rPr>
          <w:rFonts w:hint="default" w:ascii="Nimbus Roman No9 L" w:hAnsi="Nimbus Roman No9 L" w:eastAsia="仿宋_GB2312" w:cs="Nimbus Roman No9 L"/>
          <w:color w:val="auto"/>
          <w:kern w:val="2"/>
          <w:sz w:val="32"/>
          <w:szCs w:val="32"/>
          <w:highlight w:val="none"/>
          <w:lang w:val="en-US" w:eastAsia="zh-CN" w:bidi="ar-SA"/>
        </w:rPr>
        <w:t>2025年度国有资本经营预算财政拨款支出</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kern w:val="2"/>
          <w:sz w:val="32"/>
          <w:szCs w:val="32"/>
          <w:highlight w:val="none"/>
          <w:lang w:val="en-US" w:eastAsia="zh-CN" w:bidi="ar-SA"/>
        </w:rPr>
        <w:t>万元，</w:t>
      </w:r>
      <w:bookmarkStart w:id="70" w:name="_Toc15377221"/>
      <w:bookmarkStart w:id="71" w:name="_Toc15396612"/>
      <w:r>
        <w:rPr>
          <w:rFonts w:hint="default" w:ascii="Nimbus Roman No9 L" w:hAnsi="Nimbus Roman No9 L" w:eastAsia="仿宋_GB2312" w:cs="Nimbus Roman No9 L"/>
          <w:color w:val="auto"/>
          <w:kern w:val="2"/>
          <w:sz w:val="32"/>
          <w:szCs w:val="32"/>
          <w:highlight w:val="none"/>
          <w:lang w:val="en-US" w:eastAsia="zh-CN" w:bidi="ar-SA"/>
        </w:rPr>
        <w:t>与上年度持平。</w:t>
      </w:r>
      <w:bookmarkEnd w:id="69"/>
    </w:p>
    <w:p w14:paraId="61565F50">
      <w:pPr>
        <w:pStyle w:val="6"/>
        <w:pageBreakBefore w:val="0"/>
        <w:widowControl w:val="0"/>
        <w:kinsoku/>
        <w:wordWrap/>
        <w:overflowPunct/>
        <w:topLinePunct w:val="0"/>
        <w:autoSpaceDE/>
        <w:autoSpaceDN/>
        <w:bidi w:val="0"/>
        <w:adjustRightInd/>
        <w:snapToGrid/>
        <w:spacing w:before="0" w:after="0"/>
        <w:ind w:firstLine="643" w:firstLineChars="200"/>
        <w:textAlignment w:val="auto"/>
        <w:rPr>
          <w:rFonts w:hint="default" w:ascii="Nimbus Roman No9 L" w:hAnsi="Nimbus Roman No9 L" w:cs="Nimbus Roman No9 L"/>
        </w:rPr>
      </w:pPr>
      <w:bookmarkStart w:id="72" w:name="_Toc967265469"/>
      <w:r>
        <w:rPr>
          <w:rFonts w:hint="default" w:ascii="Nimbus Roman No9 L" w:hAnsi="Nimbus Roman No9 L" w:cs="Nimbus Roman No9 L"/>
          <w:lang w:eastAsia="zh-CN"/>
        </w:rPr>
        <w:t>十、</w:t>
      </w:r>
      <w:r>
        <w:rPr>
          <w:rFonts w:hint="default" w:ascii="Nimbus Roman No9 L" w:hAnsi="Nimbus Roman No9 L" w:cs="Nimbus Roman No9 L"/>
        </w:rPr>
        <w:t>其他重要事项的情况说明</w:t>
      </w:r>
      <w:bookmarkEnd w:id="70"/>
      <w:bookmarkEnd w:id="71"/>
      <w:bookmarkEnd w:id="72"/>
    </w:p>
    <w:p w14:paraId="081F876E">
      <w:pPr>
        <w:spacing w:line="600" w:lineRule="exact"/>
        <w:ind w:firstLine="643" w:firstLineChars="200"/>
        <w:outlineLvl w:val="2"/>
        <w:rPr>
          <w:rFonts w:hint="default" w:ascii="Nimbus Roman No9 L" w:hAnsi="Nimbus Roman No9 L" w:eastAsia="楷体_GB2312" w:cs="Nimbus Roman No9 L"/>
          <w:b/>
          <w:color w:val="auto"/>
          <w:sz w:val="32"/>
          <w:szCs w:val="32"/>
          <w:highlight w:val="none"/>
        </w:rPr>
      </w:pPr>
      <w:bookmarkStart w:id="73" w:name="_Toc15377222"/>
      <w:bookmarkStart w:id="74" w:name="_Toc91439430"/>
      <w:r>
        <w:rPr>
          <w:rFonts w:hint="default" w:ascii="Nimbus Roman No9 L" w:hAnsi="Nimbus Roman No9 L" w:eastAsia="楷体_GB2312" w:cs="Nimbus Roman No9 L"/>
          <w:b/>
          <w:color w:val="auto"/>
          <w:sz w:val="32"/>
          <w:szCs w:val="32"/>
          <w:highlight w:val="none"/>
        </w:rPr>
        <w:t>（一）机关运行经费支出情况</w:t>
      </w:r>
      <w:bookmarkEnd w:id="73"/>
      <w:bookmarkEnd w:id="74"/>
    </w:p>
    <w:p w14:paraId="28B779C0">
      <w:pPr>
        <w:spacing w:line="600" w:lineRule="exact"/>
        <w:ind w:firstLine="640" w:firstLineChars="200"/>
        <w:outlineLvl w:val="2"/>
        <w:rPr>
          <w:rFonts w:hint="default" w:ascii="Nimbus Roman No9 L" w:hAnsi="Nimbus Roman No9 L" w:eastAsia="仿宋_GB2312" w:cs="Nimbus Roman No9 L"/>
          <w:color w:val="auto"/>
          <w:kern w:val="2"/>
          <w:sz w:val="32"/>
          <w:szCs w:val="32"/>
          <w:highlight w:val="none"/>
          <w:lang w:val="en-US" w:eastAsia="zh-CN" w:bidi="ar-SA"/>
        </w:rPr>
      </w:pPr>
      <w:bookmarkStart w:id="75" w:name="_Toc1510749418"/>
      <w:r>
        <w:rPr>
          <w:rFonts w:hint="default" w:ascii="Nimbus Roman No9 L" w:hAnsi="Nimbus Roman No9 L" w:eastAsia="仿宋_GB2312" w:cs="Nimbus Roman No9 L"/>
          <w:color w:val="auto"/>
          <w:kern w:val="2"/>
          <w:sz w:val="32"/>
          <w:szCs w:val="32"/>
          <w:highlight w:val="none"/>
          <w:lang w:val="en-US" w:eastAsia="zh-CN" w:bidi="ar-SA"/>
        </w:rPr>
        <w:t>2025年度，</w:t>
      </w:r>
      <w:r>
        <w:rPr>
          <w:rFonts w:hint="default" w:ascii="Nimbus Roman No9 L" w:hAnsi="Nimbus Roman No9 L" w:eastAsia="仿宋_GB2312" w:cs="Nimbus Roman No9 L"/>
          <w:sz w:val="32"/>
          <w:szCs w:val="32"/>
        </w:rPr>
        <w:t>四川省攀枝花市科技基础条件平台服务中心</w:t>
      </w:r>
      <w:r>
        <w:rPr>
          <w:rFonts w:hint="default" w:ascii="Nimbus Roman No9 L" w:hAnsi="Nimbus Roman No9 L" w:eastAsia="仿宋_GB2312" w:cs="Nimbus Roman No9 L"/>
          <w:color w:val="auto"/>
          <w:kern w:val="2"/>
          <w:sz w:val="32"/>
          <w:szCs w:val="32"/>
          <w:highlight w:val="none"/>
          <w:lang w:val="en-US" w:eastAsia="zh-CN" w:bidi="ar-SA"/>
        </w:rPr>
        <w:t>机关运行经费支出</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kern w:val="2"/>
          <w:sz w:val="32"/>
          <w:szCs w:val="32"/>
          <w:highlight w:val="none"/>
          <w:lang w:val="en-US" w:eastAsia="zh-CN" w:bidi="ar-SA"/>
        </w:rPr>
        <w:t>万元，与2024年度决算数持平。</w:t>
      </w:r>
      <w:bookmarkEnd w:id="75"/>
      <w:bookmarkStart w:id="76" w:name="_Toc15377223"/>
    </w:p>
    <w:p w14:paraId="4328949E">
      <w:pPr>
        <w:spacing w:line="600" w:lineRule="exact"/>
        <w:ind w:firstLine="643" w:firstLineChars="200"/>
        <w:outlineLvl w:val="2"/>
        <w:rPr>
          <w:rFonts w:hint="default" w:ascii="Nimbus Roman No9 L" w:hAnsi="Nimbus Roman No9 L" w:eastAsia="楷体_GB2312" w:cs="Nimbus Roman No9 L"/>
          <w:b/>
          <w:color w:val="auto"/>
          <w:sz w:val="32"/>
          <w:szCs w:val="32"/>
          <w:highlight w:val="none"/>
        </w:rPr>
      </w:pPr>
      <w:bookmarkStart w:id="77" w:name="_Toc1182389364"/>
      <w:r>
        <w:rPr>
          <w:rFonts w:hint="default" w:ascii="Nimbus Roman No9 L" w:hAnsi="Nimbus Roman No9 L" w:eastAsia="楷体_GB2312" w:cs="Nimbus Roman No9 L"/>
          <w:b/>
          <w:color w:val="auto"/>
          <w:sz w:val="32"/>
          <w:szCs w:val="32"/>
          <w:highlight w:val="none"/>
        </w:rPr>
        <w:t>（二）政府采购支出情况</w:t>
      </w:r>
      <w:bookmarkEnd w:id="76"/>
      <w:bookmarkEnd w:id="77"/>
    </w:p>
    <w:p w14:paraId="69240C31">
      <w:pPr>
        <w:spacing w:line="600" w:lineRule="exact"/>
        <w:ind w:firstLine="640" w:firstLineChars="200"/>
        <w:outlineLvl w:val="2"/>
        <w:rPr>
          <w:rFonts w:hint="default" w:ascii="Nimbus Roman No9 L" w:hAnsi="Nimbus Roman No9 L" w:eastAsia="仿宋_GB2312" w:cs="Nimbus Roman No9 L"/>
          <w:color w:val="auto"/>
          <w:kern w:val="2"/>
          <w:sz w:val="32"/>
          <w:szCs w:val="32"/>
          <w:highlight w:val="none"/>
          <w:lang w:val="en-US" w:eastAsia="zh-CN" w:bidi="ar-SA"/>
        </w:rPr>
      </w:pPr>
      <w:bookmarkStart w:id="78" w:name="_Toc1427712900"/>
      <w:r>
        <w:rPr>
          <w:rFonts w:hint="default" w:ascii="Nimbus Roman No9 L" w:hAnsi="Nimbus Roman No9 L" w:eastAsia="仿宋_GB2312" w:cs="Nimbus Roman No9 L"/>
          <w:color w:val="auto"/>
          <w:kern w:val="2"/>
          <w:sz w:val="32"/>
          <w:szCs w:val="32"/>
          <w:highlight w:val="none"/>
          <w:lang w:val="en-US" w:eastAsia="zh-CN" w:bidi="ar-SA"/>
        </w:rPr>
        <w:t>2025年度，攀枝花市科技基础条件平台服务中心政府采购支出总额0.82万元，其中：政府采购货物支出0万元、政府采购工程支出0万元、政府采购服务支出0.82万元。主要用于公车维修、加油、保险。授予中小企业合同金额0.7万元，占政府采购支出总额的85.</w:t>
      </w:r>
      <w:r>
        <w:rPr>
          <w:rFonts w:hint="eastAsia" w:ascii="Nimbus Roman No9 L" w:hAnsi="Nimbus Roman No9 L" w:eastAsia="仿宋_GB2312" w:cs="Nimbus Roman No9 L"/>
          <w:color w:val="auto"/>
          <w:kern w:val="2"/>
          <w:sz w:val="32"/>
          <w:szCs w:val="32"/>
          <w:highlight w:val="none"/>
          <w:lang w:val="en-US" w:eastAsia="zh-CN" w:bidi="ar-SA"/>
        </w:rPr>
        <w:t>1</w:t>
      </w:r>
      <w:r>
        <w:rPr>
          <w:rFonts w:hint="default" w:ascii="Nimbus Roman No9 L" w:hAnsi="Nimbus Roman No9 L" w:eastAsia="仿宋_GB2312" w:cs="Nimbus Roman No9 L"/>
          <w:color w:val="auto"/>
          <w:kern w:val="2"/>
          <w:sz w:val="32"/>
          <w:szCs w:val="32"/>
          <w:highlight w:val="none"/>
          <w:lang w:val="en-US" w:eastAsia="zh-CN" w:bidi="ar-SA"/>
        </w:rPr>
        <w:t>%，其中：授予小微企业合同金额0.4万元，占政府采购支出总额的48.6%。</w:t>
      </w:r>
      <w:bookmarkEnd w:id="78"/>
    </w:p>
    <w:p w14:paraId="6D1C1164">
      <w:pPr>
        <w:spacing w:line="600" w:lineRule="exact"/>
        <w:ind w:firstLine="643" w:firstLineChars="200"/>
        <w:outlineLvl w:val="2"/>
        <w:rPr>
          <w:rFonts w:hint="default" w:ascii="Nimbus Roman No9 L" w:hAnsi="Nimbus Roman No9 L" w:eastAsia="楷体_GB2312" w:cs="Nimbus Roman No9 L"/>
          <w:b/>
          <w:color w:val="auto"/>
          <w:sz w:val="32"/>
          <w:szCs w:val="32"/>
          <w:highlight w:val="none"/>
        </w:rPr>
      </w:pPr>
      <w:bookmarkStart w:id="79" w:name="_Toc373535626"/>
      <w:bookmarkStart w:id="80" w:name="_Toc15377224"/>
      <w:r>
        <w:rPr>
          <w:rFonts w:hint="default" w:ascii="Nimbus Roman No9 L" w:hAnsi="Nimbus Roman No9 L" w:eastAsia="楷体_GB2312" w:cs="Nimbus Roman No9 L"/>
          <w:b/>
          <w:color w:val="auto"/>
          <w:sz w:val="32"/>
          <w:szCs w:val="32"/>
          <w:highlight w:val="none"/>
        </w:rPr>
        <w:t>（三）国有资产占有使用情况</w:t>
      </w:r>
      <w:bookmarkEnd w:id="79"/>
      <w:bookmarkEnd w:id="80"/>
    </w:p>
    <w:p w14:paraId="2020B6CF">
      <w:pPr>
        <w:spacing w:line="600" w:lineRule="exact"/>
        <w:ind w:firstLine="640" w:firstLineChars="200"/>
        <w:outlineLvl w:val="2"/>
        <w:rPr>
          <w:rFonts w:hint="default" w:ascii="Nimbus Roman No9 L" w:hAnsi="Nimbus Roman No9 L" w:eastAsia="仿宋_GB2312" w:cs="Nimbus Roman No9 L"/>
          <w:sz w:val="32"/>
          <w:szCs w:val="32"/>
          <w:lang w:val="en-US" w:eastAsia="zh-CN"/>
        </w:rPr>
      </w:pPr>
      <w:bookmarkStart w:id="81" w:name="_Toc1864636348"/>
      <w:r>
        <w:rPr>
          <w:rFonts w:hint="default" w:ascii="Nimbus Roman No9 L" w:hAnsi="Nimbus Roman No9 L" w:eastAsia="仿宋_GB2312" w:cs="Nimbus Roman No9 L"/>
          <w:sz w:val="32"/>
          <w:szCs w:val="32"/>
          <w:lang w:val="en-US" w:eastAsia="zh-CN"/>
        </w:rPr>
        <w:t>截至2025年12月31日，</w:t>
      </w:r>
      <w:r>
        <w:rPr>
          <w:rFonts w:hint="default" w:ascii="Nimbus Roman No9 L" w:hAnsi="Nimbus Roman No9 L" w:eastAsia="仿宋_GB2312" w:cs="Nimbus Roman No9 L"/>
          <w:sz w:val="32"/>
          <w:szCs w:val="32"/>
        </w:rPr>
        <w:t>四川省攀枝花市科技基础条件平台服务中心</w:t>
      </w:r>
      <w:r>
        <w:rPr>
          <w:rFonts w:hint="default" w:ascii="Nimbus Roman No9 L" w:hAnsi="Nimbus Roman No9 L" w:eastAsia="仿宋_GB2312" w:cs="Nimbus Roman No9 L"/>
          <w:sz w:val="32"/>
          <w:szCs w:val="32"/>
          <w:lang w:val="en-US" w:eastAsia="zh-CN"/>
        </w:rPr>
        <w:t>共有车辆</w:t>
      </w:r>
      <w:r>
        <w:rPr>
          <w:rFonts w:hint="default" w:ascii="Nimbus Roman No9 L" w:hAnsi="Nimbus Roman No9 L" w:eastAsia="仿宋_GB2312" w:cs="Nimbus Roman No9 L"/>
          <w:sz w:val="32"/>
          <w:szCs w:val="32"/>
        </w:rPr>
        <w:t>1</w:t>
      </w:r>
      <w:r>
        <w:rPr>
          <w:rFonts w:hint="default" w:ascii="Nimbus Roman No9 L" w:hAnsi="Nimbus Roman No9 L" w:eastAsia="仿宋_GB2312" w:cs="Nimbus Roman No9 L"/>
          <w:sz w:val="32"/>
          <w:szCs w:val="32"/>
          <w:lang w:val="en-US" w:eastAsia="zh-CN"/>
        </w:rPr>
        <w:t>辆，其中：主要负责人用车</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sz w:val="32"/>
          <w:szCs w:val="32"/>
          <w:lang w:val="en-US" w:eastAsia="zh-CN"/>
        </w:rPr>
        <w:t>辆、机要通信用车</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sz w:val="32"/>
          <w:szCs w:val="32"/>
          <w:lang w:val="en-US" w:eastAsia="zh-CN"/>
        </w:rPr>
        <w:t>辆、应急保障用车</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sz w:val="32"/>
          <w:szCs w:val="32"/>
          <w:lang w:val="en-US" w:eastAsia="zh-CN"/>
        </w:rPr>
        <w:t>辆、其他用车</w:t>
      </w:r>
      <w:r>
        <w:rPr>
          <w:rFonts w:hint="default" w:ascii="Nimbus Roman No9 L" w:hAnsi="Nimbus Roman No9 L" w:eastAsia="仿宋_GB2312" w:cs="Nimbus Roman No9 L"/>
          <w:sz w:val="32"/>
          <w:szCs w:val="32"/>
        </w:rPr>
        <w:t>1</w:t>
      </w:r>
      <w:r>
        <w:rPr>
          <w:rFonts w:hint="default" w:ascii="Nimbus Roman No9 L" w:hAnsi="Nimbus Roman No9 L" w:eastAsia="仿宋_GB2312" w:cs="Nimbus Roman No9 L"/>
          <w:sz w:val="32"/>
          <w:szCs w:val="32"/>
          <w:lang w:val="en-US" w:eastAsia="zh-CN"/>
        </w:rPr>
        <w:t>辆，其他用车主要是用于企业调研，科技下乡等方面。单价100万元（含）以上设备（不含车辆）</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sz w:val="32"/>
          <w:szCs w:val="32"/>
          <w:lang w:val="en-US" w:eastAsia="zh-CN"/>
        </w:rPr>
        <w:t>台（套）。</w:t>
      </w:r>
      <w:bookmarkEnd w:id="81"/>
    </w:p>
    <w:p w14:paraId="35B745F0">
      <w:pPr>
        <w:spacing w:line="600" w:lineRule="exact"/>
        <w:ind w:firstLine="643" w:firstLineChars="200"/>
        <w:outlineLvl w:val="2"/>
        <w:rPr>
          <w:rFonts w:hint="default" w:ascii="Nimbus Roman No9 L" w:hAnsi="Nimbus Roman No9 L" w:eastAsia="楷体_GB2312" w:cs="Nimbus Roman No9 L"/>
          <w:b/>
          <w:color w:val="auto"/>
          <w:sz w:val="32"/>
          <w:szCs w:val="32"/>
          <w:highlight w:val="none"/>
        </w:rPr>
      </w:pPr>
      <w:bookmarkStart w:id="82" w:name="_Toc1465711981"/>
      <w:r>
        <w:rPr>
          <w:rFonts w:hint="default" w:ascii="Nimbus Roman No9 L" w:hAnsi="Nimbus Roman No9 L" w:eastAsia="楷体_GB2312" w:cs="Nimbus Roman No9 L"/>
          <w:b/>
          <w:color w:val="auto"/>
          <w:sz w:val="32"/>
          <w:szCs w:val="32"/>
          <w:highlight w:val="none"/>
        </w:rPr>
        <w:t>（四）预算绩效管理情况</w:t>
      </w:r>
      <w:bookmarkEnd w:id="82"/>
    </w:p>
    <w:p w14:paraId="7388F9A2">
      <w:pPr>
        <w:spacing w:line="600" w:lineRule="exact"/>
        <w:ind w:firstLine="640"/>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eastAsia="仿宋_GB2312" w:cs="Nimbus Roman No9 L"/>
          <w:color w:val="auto"/>
          <w:kern w:val="2"/>
          <w:sz w:val="32"/>
          <w:szCs w:val="32"/>
          <w:highlight w:val="none"/>
          <w:lang w:val="en-US" w:eastAsia="zh-CN" w:bidi="ar-SA"/>
        </w:rPr>
        <w:t>根据预算绩效管理要求，本单位在2025年度，组织对“攀枝花市共同富裕试验区科普能力提升”等1个项目涉及金额28.83万元开展了事前绩效评估，对1个项目编制了绩效目标，预算执行过程中，选取1个项目开展绩效监控。</w:t>
      </w:r>
    </w:p>
    <w:p w14:paraId="6A6DC4C8">
      <w:pPr>
        <w:spacing w:line="600" w:lineRule="exact"/>
        <w:ind w:firstLine="640"/>
        <w:rPr>
          <w:rFonts w:hint="default" w:ascii="Nimbus Roman No9 L" w:hAnsi="Nimbus Roman No9 L" w:eastAsia="仿宋_GB2312" w:cs="Nimbus Roman No9 L"/>
          <w:color w:val="auto"/>
          <w:kern w:val="2"/>
          <w:sz w:val="32"/>
          <w:szCs w:val="32"/>
          <w:highlight w:val="none"/>
          <w:lang w:val="en-US" w:eastAsia="zh-CN" w:bidi="ar-SA"/>
        </w:rPr>
      </w:pPr>
    </w:p>
    <w:p w14:paraId="69064032">
      <w:pPr>
        <w:rPr>
          <w:rFonts w:hint="default" w:ascii="Nimbus Roman No9 L" w:hAnsi="Nimbus Roman No9 L" w:eastAsia="黑体" w:cs="Nimbus Roman No9 L"/>
          <w:color w:val="auto"/>
          <w:sz w:val="44"/>
          <w:szCs w:val="44"/>
          <w:highlight w:val="none"/>
        </w:rPr>
      </w:pPr>
      <w:bookmarkStart w:id="83" w:name="_Toc15377225"/>
      <w:bookmarkStart w:id="84" w:name="_Toc15396613"/>
      <w:r>
        <w:rPr>
          <w:rFonts w:hint="default" w:ascii="Nimbus Roman No9 L" w:hAnsi="Nimbus Roman No9 L" w:eastAsia="黑体" w:cs="Nimbus Roman No9 L"/>
          <w:color w:val="auto"/>
          <w:sz w:val="44"/>
          <w:szCs w:val="44"/>
          <w:highlight w:val="none"/>
        </w:rPr>
        <w:br w:type="page"/>
      </w:r>
    </w:p>
    <w:p w14:paraId="3604EDB7">
      <w:pPr>
        <w:pStyle w:val="5"/>
        <w:bidi w:val="0"/>
        <w:jc w:val="center"/>
        <w:rPr>
          <w:rFonts w:hint="default" w:ascii="Nimbus Roman No9 L" w:hAnsi="Nimbus Roman No9 L" w:cs="Nimbus Roman No9 L"/>
          <w:b w:val="0"/>
          <w:bCs w:val="0"/>
        </w:rPr>
      </w:pPr>
      <w:bookmarkStart w:id="85" w:name="_Toc60943730"/>
      <w:r>
        <w:rPr>
          <w:rFonts w:hint="default" w:ascii="Nimbus Roman No9 L" w:hAnsi="Nimbus Roman No9 L" w:cs="Nimbus Roman No9 L"/>
          <w:b w:val="0"/>
          <w:bCs w:val="0"/>
        </w:rPr>
        <w:t>第</w:t>
      </w:r>
      <w:r>
        <w:rPr>
          <w:rFonts w:hint="default" w:ascii="Nimbus Roman No9 L" w:hAnsi="Nimbus Roman No9 L" w:cs="Nimbus Roman No9 L"/>
          <w:b w:val="0"/>
          <w:bCs w:val="0"/>
          <w:lang w:eastAsia="zh-CN"/>
        </w:rPr>
        <w:t>三</w:t>
      </w:r>
      <w:r>
        <w:rPr>
          <w:rFonts w:hint="default" w:ascii="Nimbus Roman No9 L" w:hAnsi="Nimbus Roman No9 L" w:cs="Nimbus Roman No9 L"/>
          <w:b w:val="0"/>
          <w:bCs w:val="0"/>
        </w:rPr>
        <w:t>部分</w:t>
      </w:r>
      <w:r>
        <w:rPr>
          <w:rFonts w:hint="default" w:ascii="Nimbus Roman No9 L" w:hAnsi="Nimbus Roman No9 L" w:cs="Nimbus Roman No9 L"/>
          <w:b w:val="0"/>
          <w:bCs w:val="0"/>
          <w:lang w:val="en-US" w:eastAsia="zh-CN"/>
        </w:rPr>
        <w:t xml:space="preserve">  </w:t>
      </w:r>
      <w:r>
        <w:rPr>
          <w:rFonts w:hint="default" w:ascii="Nimbus Roman No9 L" w:hAnsi="Nimbus Roman No9 L" w:cs="Nimbus Roman No9 L"/>
          <w:b w:val="0"/>
          <w:bCs w:val="0"/>
        </w:rPr>
        <w:t>名词解释</w:t>
      </w:r>
      <w:bookmarkEnd w:id="83"/>
      <w:bookmarkEnd w:id="84"/>
      <w:bookmarkEnd w:id="85"/>
    </w:p>
    <w:p w14:paraId="03593C31">
      <w:pPr>
        <w:spacing w:line="600" w:lineRule="exact"/>
        <w:jc w:val="left"/>
        <w:rPr>
          <w:rFonts w:hint="default" w:ascii="Nimbus Roman No9 L" w:hAnsi="Nimbus Roman No9 L" w:cs="Nimbus Roman No9 L"/>
          <w:b/>
          <w:color w:val="auto"/>
          <w:sz w:val="44"/>
          <w:szCs w:val="44"/>
          <w:highlight w:val="none"/>
        </w:rPr>
      </w:pPr>
    </w:p>
    <w:p w14:paraId="1FBFA655">
      <w:pPr>
        <w:pStyle w:val="26"/>
        <w:spacing w:line="560" w:lineRule="exact"/>
        <w:ind w:firstLine="640" w:firstLineChars="200"/>
        <w:rPr>
          <w:rFonts w:hint="default" w:ascii="Nimbus Roman No9 L" w:hAnsi="Nimbus Roman No9 L" w:eastAsia="仿宋_GB2312" w:cs="Nimbus Roman No9 L"/>
          <w:color w:val="auto"/>
          <w:sz w:val="32"/>
          <w:szCs w:val="32"/>
        </w:rPr>
      </w:pPr>
      <w:bookmarkStart w:id="86" w:name="_Toc15377226"/>
      <w:r>
        <w:rPr>
          <w:rFonts w:hint="default" w:ascii="Nimbus Roman No9 L" w:hAnsi="Nimbus Roman No9 L" w:eastAsia="仿宋_GB2312" w:cs="Nimbus Roman No9 L"/>
          <w:color w:val="auto"/>
          <w:sz w:val="32"/>
          <w:szCs w:val="32"/>
        </w:rPr>
        <w:t>1.财政拨款收入：指单位从同级财政部门取得的财政预算资金。</w:t>
      </w:r>
    </w:p>
    <w:p w14:paraId="19549C5C">
      <w:pPr>
        <w:pStyle w:val="26"/>
        <w:spacing w:line="560" w:lineRule="exact"/>
        <w:ind w:firstLine="640" w:firstLineChars="200"/>
        <w:rPr>
          <w:rFonts w:hint="default" w:ascii="Nimbus Roman No9 L" w:hAnsi="Nimbus Roman No9 L" w:eastAsia="仿宋_GB2312" w:cs="Nimbus Roman No9 L"/>
          <w:color w:val="auto"/>
          <w:sz w:val="32"/>
          <w:szCs w:val="32"/>
        </w:rPr>
      </w:pPr>
      <w:r>
        <w:rPr>
          <w:rFonts w:hint="default" w:ascii="Nimbus Roman No9 L" w:hAnsi="Nimbus Roman No9 L" w:eastAsia="仿宋_GB2312" w:cs="Nimbus Roman No9 L"/>
          <w:color w:val="auto"/>
          <w:sz w:val="32"/>
          <w:szCs w:val="32"/>
          <w:lang w:val="en-US" w:eastAsia="zh-CN"/>
        </w:rPr>
        <w:t>2</w:t>
      </w:r>
      <w:r>
        <w:rPr>
          <w:rFonts w:hint="default" w:ascii="Nimbus Roman No9 L" w:hAnsi="Nimbus Roman No9 L" w:eastAsia="仿宋_GB2312" w:cs="Nimbus Roman No9 L"/>
          <w:color w:val="auto"/>
          <w:sz w:val="32"/>
          <w:szCs w:val="32"/>
        </w:rPr>
        <w:t xml:space="preserve">.年初结转和结余：指以前年度尚未完成、结转到本年按有关规定继续使用的资金。 </w:t>
      </w:r>
    </w:p>
    <w:p w14:paraId="02D290F3">
      <w:pPr>
        <w:pStyle w:val="26"/>
        <w:spacing w:line="560" w:lineRule="exact"/>
        <w:ind w:firstLine="640" w:firstLineChars="200"/>
        <w:rPr>
          <w:rFonts w:hint="default" w:ascii="Nimbus Roman No9 L" w:hAnsi="Nimbus Roman No9 L" w:eastAsia="仿宋_GB2312" w:cs="Nimbus Roman No9 L"/>
          <w:color w:val="000000"/>
          <w:kern w:val="0"/>
          <w:sz w:val="32"/>
          <w:szCs w:val="32"/>
        </w:rPr>
      </w:pPr>
      <w:r>
        <w:rPr>
          <w:rFonts w:hint="default" w:ascii="Nimbus Roman No9 L" w:hAnsi="Nimbus Roman No9 L" w:eastAsia="仿宋_GB2312" w:cs="Nimbus Roman No9 L"/>
          <w:color w:val="auto"/>
          <w:sz w:val="32"/>
          <w:szCs w:val="32"/>
          <w:lang w:val="en-US" w:eastAsia="zh-CN"/>
        </w:rPr>
        <w:t>3</w:t>
      </w:r>
      <w:r>
        <w:rPr>
          <w:rFonts w:hint="default" w:ascii="Nimbus Roman No9 L" w:hAnsi="Nimbus Roman No9 L" w:eastAsia="仿宋_GB2312" w:cs="Nimbus Roman No9 L"/>
          <w:color w:val="auto"/>
          <w:sz w:val="32"/>
          <w:szCs w:val="32"/>
        </w:rPr>
        <w:t>.科学技术支出（类）科技条件与服务（款） 机构运行（项）：指</w:t>
      </w:r>
      <w:r>
        <w:rPr>
          <w:rFonts w:hint="default" w:ascii="Nimbus Roman No9 L" w:hAnsi="Nimbus Roman No9 L" w:eastAsia="仿宋_GB2312" w:cs="Nimbus Roman No9 L"/>
          <w:color w:val="auto"/>
          <w:sz w:val="32"/>
          <w:szCs w:val="32"/>
          <w:lang w:val="en-US" w:eastAsia="zh-CN"/>
        </w:rPr>
        <w:t>用于职工工资及保障单位</w:t>
      </w:r>
      <w:r>
        <w:rPr>
          <w:rFonts w:hint="default" w:ascii="Nimbus Roman No9 L" w:hAnsi="Nimbus Roman No9 L" w:eastAsia="仿宋_GB2312" w:cs="Nimbus Roman No9 L"/>
          <w:color w:val="000000"/>
          <w:kern w:val="0"/>
          <w:sz w:val="32"/>
          <w:szCs w:val="32"/>
          <w:lang w:val="en-US" w:eastAsia="zh-CN"/>
        </w:rPr>
        <w:t>正常运行</w:t>
      </w:r>
      <w:r>
        <w:rPr>
          <w:rFonts w:hint="default" w:ascii="Nimbus Roman No9 L" w:hAnsi="Nimbus Roman No9 L" w:eastAsia="仿宋_GB2312" w:cs="Nimbus Roman No9 L"/>
          <w:color w:val="000000"/>
          <w:kern w:val="0"/>
          <w:sz w:val="32"/>
          <w:szCs w:val="32"/>
          <w:lang w:eastAsia="zh-CN"/>
        </w:rPr>
        <w:t>等</w:t>
      </w:r>
      <w:r>
        <w:rPr>
          <w:rFonts w:hint="default" w:ascii="Nimbus Roman No9 L" w:hAnsi="Nimbus Roman No9 L" w:eastAsia="仿宋_GB2312" w:cs="Nimbus Roman No9 L"/>
          <w:color w:val="000000"/>
          <w:kern w:val="0"/>
          <w:sz w:val="32"/>
          <w:szCs w:val="32"/>
        </w:rPr>
        <w:t>基本支出。</w:t>
      </w:r>
    </w:p>
    <w:p w14:paraId="1DFF1475">
      <w:pPr>
        <w:pStyle w:val="8"/>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Nimbus Roman No9 L" w:hAnsi="Nimbus Roman No9 L" w:eastAsia="仿宋_GB2312" w:cs="Nimbus Roman No9 L"/>
          <w:color w:val="000000"/>
          <w:kern w:val="0"/>
          <w:sz w:val="32"/>
          <w:szCs w:val="32"/>
          <w:lang w:val="en-US" w:eastAsia="zh-CN" w:bidi="ar-SA"/>
        </w:rPr>
      </w:pPr>
      <w:r>
        <w:rPr>
          <w:rFonts w:hint="default" w:ascii="Nimbus Roman No9 L" w:hAnsi="Nimbus Roman No9 L" w:cs="Nimbus Roman No9 L"/>
          <w:color w:val="000000"/>
          <w:kern w:val="0"/>
          <w:sz w:val="32"/>
          <w:szCs w:val="32"/>
          <w:lang w:val="en-US" w:eastAsia="zh-CN" w:bidi="ar-SA"/>
        </w:rPr>
        <w:t>4</w:t>
      </w:r>
      <w:r>
        <w:rPr>
          <w:rFonts w:hint="default" w:ascii="Nimbus Roman No9 L" w:hAnsi="Nimbus Roman No9 L" w:eastAsia="仿宋_GB2312" w:cs="Nimbus Roman No9 L"/>
          <w:color w:val="000000"/>
          <w:kern w:val="0"/>
          <w:sz w:val="32"/>
          <w:szCs w:val="32"/>
          <w:lang w:val="en-US" w:eastAsia="zh-CN" w:bidi="ar-SA"/>
        </w:rPr>
        <w:t>.</w:t>
      </w:r>
      <w:r>
        <w:rPr>
          <w:rFonts w:hint="default" w:ascii="Nimbus Roman No9 L" w:hAnsi="Nimbus Roman No9 L" w:eastAsia="仿宋_GB2312" w:cs="Nimbus Roman No9 L"/>
          <w:color w:val="000000"/>
          <w:kern w:val="0"/>
          <w:sz w:val="32"/>
          <w:szCs w:val="32"/>
        </w:rPr>
        <w:t>科学技术支</w:t>
      </w:r>
      <w:r>
        <w:rPr>
          <w:rFonts w:hint="default" w:ascii="Nimbus Roman No9 L" w:hAnsi="Nimbus Roman No9 L" w:eastAsia="仿宋_GB2312" w:cs="Nimbus Roman No9 L"/>
          <w:color w:val="000000"/>
          <w:kern w:val="0"/>
          <w:sz w:val="32"/>
          <w:szCs w:val="32"/>
          <w:lang w:val="en-US" w:eastAsia="zh-CN" w:bidi="ar-SA"/>
        </w:rPr>
        <w:t>出（类）其他科学技术支出（款）其他科学技术支出（项）：指</w:t>
      </w:r>
      <w:r>
        <w:rPr>
          <w:rFonts w:hint="default" w:ascii="Nimbus Roman No9 L" w:hAnsi="Nimbus Roman No9 L" w:eastAsia="仿宋_GB2312" w:cs="Nimbus Roman No9 L"/>
          <w:color w:val="000000"/>
          <w:kern w:val="0"/>
          <w:sz w:val="32"/>
          <w:szCs w:val="32"/>
          <w:lang w:val="en-US" w:eastAsia="zh-CN"/>
        </w:rPr>
        <w:t>用于</w:t>
      </w:r>
      <w:r>
        <w:rPr>
          <w:rFonts w:hint="default" w:ascii="Nimbus Roman No9 L" w:hAnsi="Nimbus Roman No9 L" w:cs="Nimbus Roman No9 L"/>
          <w:color w:val="000000"/>
          <w:kern w:val="0"/>
          <w:sz w:val="32"/>
          <w:szCs w:val="32"/>
          <w:lang w:val="en-US" w:eastAsia="zh-CN"/>
        </w:rPr>
        <w:t>开展</w:t>
      </w:r>
      <w:r>
        <w:rPr>
          <w:rFonts w:hint="default" w:ascii="Nimbus Roman No9 L" w:hAnsi="Nimbus Roman No9 L" w:eastAsia="仿宋_GB2312" w:cs="Nimbus Roman No9 L"/>
          <w:color w:val="auto"/>
          <w:kern w:val="0"/>
          <w:sz w:val="32"/>
          <w:szCs w:val="32"/>
          <w:vertAlign w:val="baseline"/>
          <w:lang w:val="en-US" w:eastAsia="zh-CN" w:bidi="ar"/>
        </w:rPr>
        <w:t>攀枝花市共同富裕试验区科普能力提升</w:t>
      </w:r>
      <w:r>
        <w:rPr>
          <w:rFonts w:hint="default" w:ascii="Nimbus Roman No9 L" w:hAnsi="Nimbus Roman No9 L" w:cs="Nimbus Roman No9 L"/>
          <w:color w:val="000000"/>
          <w:kern w:val="0"/>
          <w:sz w:val="32"/>
          <w:szCs w:val="32"/>
          <w:lang w:val="en-US" w:eastAsia="zh-CN"/>
        </w:rPr>
        <w:t>的支出</w:t>
      </w:r>
      <w:r>
        <w:rPr>
          <w:rFonts w:hint="eastAsia" w:ascii="Nimbus Roman No9 L" w:hAnsi="Nimbus Roman No9 L" w:cs="Nimbus Roman No9 L"/>
          <w:color w:val="000000"/>
          <w:kern w:val="0"/>
          <w:sz w:val="32"/>
          <w:szCs w:val="32"/>
          <w:lang w:eastAsia="zh-CN"/>
        </w:rPr>
        <w:t>。</w:t>
      </w:r>
    </w:p>
    <w:p w14:paraId="16A7B64F">
      <w:pPr>
        <w:spacing w:line="600" w:lineRule="exact"/>
        <w:ind w:firstLine="640" w:firstLineChars="200"/>
        <w:rPr>
          <w:rFonts w:hint="default" w:ascii="Nimbus Roman No9 L" w:hAnsi="Nimbus Roman No9 L" w:eastAsia="仿宋_GB2312" w:cs="Nimbus Roman No9 L"/>
          <w:color w:val="000000"/>
          <w:kern w:val="0"/>
          <w:sz w:val="32"/>
          <w:szCs w:val="32"/>
          <w:lang w:val="en-US" w:eastAsia="zh-CN"/>
        </w:rPr>
      </w:pPr>
      <w:r>
        <w:rPr>
          <w:rFonts w:hint="default" w:ascii="Nimbus Roman No9 L" w:hAnsi="Nimbus Roman No9 L" w:eastAsia="仿宋_GB2312" w:cs="Nimbus Roman No9 L"/>
          <w:color w:val="000000"/>
          <w:kern w:val="0"/>
          <w:sz w:val="32"/>
          <w:szCs w:val="32"/>
          <w:lang w:val="en-US" w:eastAsia="zh-CN"/>
        </w:rPr>
        <w:t>5</w:t>
      </w:r>
      <w:r>
        <w:rPr>
          <w:rFonts w:hint="default" w:ascii="Nimbus Roman No9 L" w:hAnsi="Nimbus Roman No9 L" w:eastAsia="仿宋_GB2312" w:cs="Nimbus Roman No9 L"/>
          <w:color w:val="000000"/>
          <w:kern w:val="0"/>
          <w:sz w:val="32"/>
          <w:szCs w:val="32"/>
        </w:rPr>
        <w:t>.社会保障和就业（类）行政事业单位养老支出（款） 事业单位离退休（项）: 指</w:t>
      </w:r>
      <w:r>
        <w:rPr>
          <w:rFonts w:hint="default" w:ascii="Nimbus Roman No9 L" w:hAnsi="Nimbus Roman No9 L" w:eastAsia="仿宋_GB2312" w:cs="Nimbus Roman No9 L"/>
          <w:color w:val="000000"/>
          <w:kern w:val="0"/>
          <w:sz w:val="32"/>
          <w:szCs w:val="32"/>
          <w:lang w:val="en-US" w:eastAsia="zh-CN"/>
        </w:rPr>
        <w:t>财政统一供养的事业单位退休人员的生活补助、医疗费支出。</w:t>
      </w:r>
    </w:p>
    <w:p w14:paraId="2DDAC7CE">
      <w:pPr>
        <w:spacing w:line="600" w:lineRule="exact"/>
        <w:ind w:firstLine="640" w:firstLineChars="200"/>
        <w:rPr>
          <w:rFonts w:hint="default" w:ascii="Nimbus Roman No9 L" w:hAnsi="Nimbus Roman No9 L" w:cs="Nimbus Roman No9 L"/>
        </w:rPr>
      </w:pPr>
      <w:r>
        <w:rPr>
          <w:rFonts w:hint="default" w:ascii="Nimbus Roman No9 L" w:hAnsi="Nimbus Roman No9 L" w:eastAsia="仿宋_GB2312" w:cs="Nimbus Roman No9 L"/>
          <w:color w:val="000000"/>
          <w:kern w:val="0"/>
          <w:sz w:val="32"/>
          <w:szCs w:val="32"/>
          <w:lang w:val="en-US" w:eastAsia="zh-CN"/>
        </w:rPr>
        <w:t>6.</w:t>
      </w:r>
      <w:r>
        <w:rPr>
          <w:rFonts w:hint="default" w:ascii="Nimbus Roman No9 L" w:hAnsi="Nimbus Roman No9 L" w:eastAsia="仿宋_GB2312" w:cs="Nimbus Roman No9 L"/>
          <w:color w:val="000000"/>
          <w:kern w:val="0"/>
          <w:sz w:val="32"/>
          <w:szCs w:val="32"/>
        </w:rPr>
        <w:t>社会保障和就业（类）行政事业单位养老支出（款）机关事业单位基本养老保险缴费支出（项）：</w:t>
      </w:r>
      <w:r>
        <w:rPr>
          <w:rFonts w:hint="default" w:ascii="Nimbus Roman No9 L" w:hAnsi="Nimbus Roman No9 L" w:eastAsia="仿宋_gb2312" w:cs="Nimbus Roman No9 L"/>
          <w:kern w:val="0"/>
          <w:sz w:val="33"/>
          <w:szCs w:val="33"/>
          <w:lang w:val="en-US" w:eastAsia="zh-CN" w:bidi="ar"/>
        </w:rPr>
        <w:t>指机关事业单位实施养老保险制度由单位缴纳的基本养老保险费支出。</w:t>
      </w:r>
    </w:p>
    <w:p w14:paraId="722827AC">
      <w:pPr>
        <w:spacing w:line="600" w:lineRule="exact"/>
        <w:ind w:firstLine="640" w:firstLineChars="200"/>
        <w:rPr>
          <w:rFonts w:hint="default" w:ascii="Nimbus Roman No9 L" w:hAnsi="Nimbus Roman No9 L" w:eastAsia="仿宋_gb2312" w:cs="Nimbus Roman No9 L"/>
          <w:kern w:val="0"/>
          <w:sz w:val="33"/>
          <w:szCs w:val="33"/>
          <w:lang w:val="en-US" w:eastAsia="zh-CN" w:bidi="ar"/>
        </w:rPr>
      </w:pPr>
      <w:r>
        <w:rPr>
          <w:rFonts w:hint="default" w:ascii="Nimbus Roman No9 L" w:hAnsi="Nimbus Roman No9 L" w:eastAsia="仿宋_GB2312" w:cs="Nimbus Roman No9 L"/>
          <w:color w:val="000000"/>
          <w:kern w:val="0"/>
          <w:sz w:val="32"/>
          <w:szCs w:val="32"/>
          <w:lang w:val="en-US" w:eastAsia="zh-CN" w:bidi="ar-SA"/>
        </w:rPr>
        <w:t xml:space="preserve">7.卫生健康支出（类）行政事业单位医疗（款）事业单位医疗（项）: </w:t>
      </w:r>
      <w:r>
        <w:rPr>
          <w:rFonts w:hint="default" w:ascii="Nimbus Roman No9 L" w:hAnsi="Nimbus Roman No9 L" w:eastAsia="仿宋_gb2312" w:cs="Nimbus Roman No9 L"/>
          <w:kern w:val="0"/>
          <w:sz w:val="33"/>
          <w:szCs w:val="33"/>
          <w:lang w:val="en-US" w:eastAsia="zh-CN" w:bidi="ar"/>
        </w:rPr>
        <w:t>指机关事业单位由单位缴纳的基本医疗保险费支出。</w:t>
      </w:r>
    </w:p>
    <w:p w14:paraId="6AD3E4F3">
      <w:pPr>
        <w:spacing w:line="600" w:lineRule="exact"/>
        <w:ind w:firstLine="640" w:firstLineChars="200"/>
        <w:rPr>
          <w:rFonts w:hint="default" w:ascii="Nimbus Roman No9 L" w:hAnsi="Nimbus Roman No9 L" w:eastAsia="仿宋_gb2312" w:cs="Nimbus Roman No9 L"/>
          <w:kern w:val="0"/>
          <w:sz w:val="33"/>
          <w:szCs w:val="33"/>
          <w:lang w:val="en-US" w:eastAsia="zh-CN" w:bidi="ar"/>
        </w:rPr>
      </w:pPr>
      <w:r>
        <w:rPr>
          <w:rFonts w:hint="default" w:ascii="Nimbus Roman No9 L" w:hAnsi="Nimbus Roman No9 L" w:eastAsia="仿宋_GB2312" w:cs="Nimbus Roman No9 L"/>
          <w:color w:val="000000"/>
          <w:kern w:val="0"/>
          <w:sz w:val="32"/>
          <w:szCs w:val="32"/>
          <w:lang w:val="en-US" w:eastAsia="zh-CN" w:bidi="ar-SA"/>
        </w:rPr>
        <w:t xml:space="preserve">8.卫生健康支出（类）行政事业单位医疗（款）公务员医疗补助（项）: </w:t>
      </w:r>
      <w:r>
        <w:rPr>
          <w:rFonts w:hint="default" w:ascii="Nimbus Roman No9 L" w:hAnsi="Nimbus Roman No9 L" w:eastAsia="仿宋_gb2312" w:cs="Nimbus Roman No9 L"/>
          <w:kern w:val="0"/>
          <w:sz w:val="33"/>
          <w:szCs w:val="33"/>
          <w:lang w:val="en-US" w:eastAsia="zh-CN" w:bidi="ar"/>
        </w:rPr>
        <w:t>指机关事业单位由单位缴纳的公务员医疗补助支出。</w:t>
      </w:r>
    </w:p>
    <w:p w14:paraId="1924959E">
      <w:pPr>
        <w:pStyle w:val="26"/>
        <w:spacing w:line="560" w:lineRule="exact"/>
        <w:ind w:firstLine="640" w:firstLineChars="200"/>
        <w:rPr>
          <w:rFonts w:hint="default" w:ascii="Nimbus Roman No9 L" w:hAnsi="Nimbus Roman No9 L" w:eastAsia="仿宋_GB2312" w:cs="Nimbus Roman No9 L"/>
          <w:color w:val="000000"/>
          <w:kern w:val="0"/>
          <w:sz w:val="32"/>
          <w:szCs w:val="32"/>
          <w:lang w:val="en-US" w:eastAsia="zh-CN" w:bidi="ar-SA"/>
        </w:rPr>
      </w:pPr>
      <w:r>
        <w:rPr>
          <w:rFonts w:hint="default" w:ascii="Nimbus Roman No9 L" w:hAnsi="Nimbus Roman No9 L" w:eastAsia="仿宋_GB2312" w:cs="Nimbus Roman No9 L"/>
          <w:color w:val="000000"/>
          <w:kern w:val="0"/>
          <w:sz w:val="32"/>
          <w:szCs w:val="32"/>
          <w:lang w:val="en-US" w:eastAsia="zh-CN" w:bidi="ar-SA"/>
        </w:rPr>
        <w:t>9.卫生健康支出（类）行政事业单位医疗（款）其他行政事业单位医疗支出（项）：指由单位缴纳的在职人员补充医疗支出。</w:t>
      </w:r>
    </w:p>
    <w:p w14:paraId="47BE08C3">
      <w:pPr>
        <w:pStyle w:val="26"/>
        <w:spacing w:line="560" w:lineRule="exact"/>
        <w:ind w:firstLine="640" w:firstLineChars="200"/>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lang w:val="en-US" w:eastAsia="zh-CN"/>
        </w:rPr>
        <w:t>10</w:t>
      </w:r>
      <w:r>
        <w:rPr>
          <w:rFonts w:hint="default" w:ascii="Nimbus Roman No9 L" w:hAnsi="Nimbus Roman No9 L" w:eastAsia="仿宋_GB2312" w:cs="Nimbus Roman No9 L"/>
          <w:sz w:val="32"/>
          <w:szCs w:val="32"/>
        </w:rPr>
        <w:t>.住房保障支出（类）住房改革支出（款）住房公积金（项）：指反映行政事业单位按人力资源和社会保障部、财政部门规定的基本工资和津贴补贴以及规定比例为职工缴纳的住房公积金。</w:t>
      </w:r>
    </w:p>
    <w:p w14:paraId="56E75733">
      <w:pPr>
        <w:ind w:firstLine="640" w:firstLineChars="200"/>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color w:val="000000"/>
          <w:kern w:val="0"/>
          <w:sz w:val="32"/>
          <w:szCs w:val="32"/>
          <w:lang w:val="en-US" w:eastAsia="zh-CN"/>
        </w:rPr>
        <w:t>11</w:t>
      </w:r>
      <w:r>
        <w:rPr>
          <w:rFonts w:hint="default" w:ascii="Nimbus Roman No9 L" w:hAnsi="Nimbus Roman No9 L" w:eastAsia="仿宋_GB2312" w:cs="Nimbus Roman No9 L"/>
          <w:sz w:val="32"/>
          <w:szCs w:val="32"/>
        </w:rPr>
        <w:t>.基本支出：指为保障机构正常运转、完成日常工作任务而发生的人员支出和公用支出。</w:t>
      </w:r>
    </w:p>
    <w:p w14:paraId="67878976">
      <w:pPr>
        <w:ind w:firstLine="640" w:firstLineChars="200"/>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lang w:val="en-US" w:eastAsia="zh-CN"/>
        </w:rPr>
        <w:t>12</w:t>
      </w:r>
      <w:r>
        <w:rPr>
          <w:rFonts w:hint="default" w:ascii="Nimbus Roman No9 L" w:hAnsi="Nimbus Roman No9 L" w:eastAsia="仿宋_GB2312" w:cs="Nimbus Roman No9 L"/>
          <w:sz w:val="32"/>
          <w:szCs w:val="32"/>
        </w:rPr>
        <w:t xml:space="preserve">.项目支出：指在基本支出之外为完成特定行政任务和事业发展目标所发生的支出。 </w:t>
      </w:r>
    </w:p>
    <w:p w14:paraId="2C480B4F">
      <w:pPr>
        <w:pStyle w:val="26"/>
        <w:spacing w:line="560" w:lineRule="exact"/>
        <w:ind w:firstLine="640" w:firstLineChars="200"/>
        <w:rPr>
          <w:rFonts w:hint="default" w:ascii="Nimbus Roman No9 L" w:hAnsi="Nimbus Roman No9 L" w:eastAsia="仿宋_GB2312" w:cs="Nimbus Roman No9 L"/>
          <w:color w:val="auto"/>
          <w:sz w:val="32"/>
          <w:szCs w:val="32"/>
        </w:rPr>
      </w:pPr>
      <w:r>
        <w:rPr>
          <w:rFonts w:hint="default" w:ascii="Nimbus Roman No9 L" w:hAnsi="Nimbus Roman No9 L" w:eastAsia="仿宋_GB2312" w:cs="Nimbus Roman No9 L"/>
          <w:color w:val="auto"/>
          <w:sz w:val="32"/>
          <w:szCs w:val="32"/>
          <w:lang w:val="en-US" w:eastAsia="zh-CN"/>
        </w:rPr>
        <w:t>13</w:t>
      </w:r>
      <w:r>
        <w:rPr>
          <w:rFonts w:hint="default" w:ascii="Nimbus Roman No9 L" w:hAnsi="Nimbus Roman No9 L" w:eastAsia="仿宋_GB2312" w:cs="Nimbus Roman No9 L"/>
          <w:color w:val="auto"/>
          <w:sz w:val="32"/>
          <w:szCs w:val="32"/>
        </w:rPr>
        <w:t>.“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63D89B61">
      <w:pPr>
        <w:pStyle w:val="5"/>
        <w:bidi w:val="0"/>
        <w:jc w:val="center"/>
        <w:rPr>
          <w:rStyle w:val="28"/>
          <w:rFonts w:hint="default" w:ascii="Nimbus Roman No9 L" w:hAnsi="Nimbus Roman No9 L" w:eastAsia="黑体" w:cs="Nimbus Roman No9 L"/>
          <w:b w:val="0"/>
          <w:bCs w:val="0"/>
          <w:color w:val="auto"/>
          <w:highlight w:val="none"/>
          <w:lang w:eastAsia="zh-CN"/>
        </w:rPr>
      </w:pPr>
      <w:r>
        <w:rPr>
          <w:rFonts w:hint="default" w:ascii="Nimbus Roman No9 L" w:hAnsi="Nimbus Roman No9 L" w:eastAsia="仿宋_GB2312" w:cs="Nimbus Roman No9 L"/>
          <w:color w:val="auto"/>
          <w:kern w:val="2"/>
          <w:sz w:val="32"/>
          <w:szCs w:val="32"/>
          <w:highlight w:val="none"/>
          <w:lang w:val="en-US" w:eastAsia="zh-CN" w:bidi="ar-SA"/>
        </w:rPr>
        <w:br w:type="page"/>
      </w:r>
      <w:bookmarkStart w:id="87" w:name="_Toc15396614"/>
      <w:bookmarkStart w:id="88" w:name="_Toc547567760"/>
      <w:r>
        <w:rPr>
          <w:rFonts w:hint="default" w:ascii="Nimbus Roman No9 L" w:hAnsi="Nimbus Roman No9 L" w:eastAsia="黑体" w:cs="Nimbus Roman No9 L"/>
          <w:b w:val="0"/>
          <w:bCs w:val="0"/>
          <w:color w:val="auto"/>
          <w:sz w:val="44"/>
          <w:szCs w:val="44"/>
          <w:highlight w:val="none"/>
        </w:rPr>
        <w:t>第四部分</w:t>
      </w:r>
      <w:r>
        <w:rPr>
          <w:rFonts w:hint="default" w:ascii="Nimbus Roman No9 L" w:hAnsi="Nimbus Roman No9 L" w:eastAsia="黑体" w:cs="Nimbus Roman No9 L"/>
          <w:b w:val="0"/>
          <w:bCs w:val="0"/>
          <w:color w:val="auto"/>
          <w:sz w:val="44"/>
          <w:szCs w:val="44"/>
          <w:highlight w:val="none"/>
          <w:lang w:val="en-US" w:eastAsia="zh-CN"/>
        </w:rPr>
        <w:t xml:space="preserve"> </w:t>
      </w:r>
      <w:r>
        <w:rPr>
          <w:rFonts w:hint="default" w:ascii="Nimbus Roman No9 L" w:hAnsi="Nimbus Roman No9 L" w:eastAsia="黑体" w:cs="Nimbus Roman No9 L"/>
          <w:b w:val="0"/>
          <w:bCs w:val="0"/>
          <w:color w:val="auto"/>
          <w:sz w:val="44"/>
          <w:szCs w:val="44"/>
          <w:highlight w:val="none"/>
        </w:rPr>
        <w:t xml:space="preserve"> 附件</w:t>
      </w:r>
      <w:bookmarkEnd w:id="87"/>
      <w:bookmarkEnd w:id="88"/>
    </w:p>
    <w:p w14:paraId="1B52E048">
      <w:pPr>
        <w:keepNext w:val="0"/>
        <w:keepLines w:val="0"/>
        <w:pageBreakBefore w:val="0"/>
        <w:kinsoku/>
        <w:wordWrap/>
        <w:overflowPunct/>
        <w:topLinePunct w:val="0"/>
        <w:autoSpaceDE/>
        <w:autoSpaceDN/>
        <w:bidi w:val="0"/>
        <w:spacing w:line="572" w:lineRule="exact"/>
        <w:jc w:val="left"/>
        <w:textAlignment w:val="auto"/>
        <w:outlineLvl w:val="0"/>
        <w:rPr>
          <w:rFonts w:hint="default" w:ascii="Nimbus Roman No9 L" w:hAnsi="Nimbus Roman No9 L" w:eastAsia="黑体" w:cs="Nimbus Roman No9 L"/>
          <w:color w:val="FF0000"/>
          <w:sz w:val="32"/>
          <w:szCs w:val="32"/>
          <w:highlight w:val="none"/>
        </w:rPr>
      </w:pPr>
    </w:p>
    <w:p w14:paraId="5763DAC0">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Nimbus Roman No9 L" w:hAnsi="Nimbus Roman No9 L" w:eastAsia="方正小标宋简体" w:cs="Nimbus Roman No9 L"/>
          <w:b w:val="0"/>
          <w:bCs/>
          <w:sz w:val="44"/>
          <w:szCs w:val="44"/>
          <w:highlight w:val="none"/>
          <w:shd w:val="clear" w:color="auto" w:fill="FFFFFF"/>
        </w:rPr>
      </w:pPr>
    </w:p>
    <w:p w14:paraId="241A105C">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default" w:ascii="Nimbus Roman No9 L" w:hAnsi="Nimbus Roman No9 L" w:eastAsia="仿宋_GB2312" w:cs="Nimbus Roman No9 L"/>
          <w:kern w:val="2"/>
          <w:sz w:val="32"/>
          <w:szCs w:val="32"/>
          <w:u w:val="none"/>
          <w:lang w:val="zh-CN" w:eastAsia="zh-CN" w:bidi="ar"/>
        </w:rPr>
      </w:pPr>
      <w:r>
        <w:rPr>
          <w:rFonts w:hint="default" w:ascii="Nimbus Roman No9 L" w:hAnsi="Nimbus Roman No9 L" w:eastAsia="仿宋_GB2312" w:cs="Nimbus Roman No9 L"/>
          <w:kern w:val="2"/>
          <w:sz w:val="32"/>
          <w:szCs w:val="32"/>
          <w:u w:val="none"/>
          <w:lang w:val="zh-CN" w:eastAsia="zh-CN" w:bidi="ar"/>
        </w:rPr>
        <w:t>附表：</w:t>
      </w:r>
      <w:r>
        <w:rPr>
          <w:rFonts w:hint="default" w:ascii="Nimbus Roman No9 L" w:hAnsi="Nimbus Roman No9 L" w:eastAsia="仿宋_GB2312" w:cs="Nimbus Roman No9 L"/>
          <w:kern w:val="2"/>
          <w:sz w:val="32"/>
          <w:szCs w:val="32"/>
          <w:u w:val="none"/>
          <w:lang w:val="en-US" w:eastAsia="zh-CN" w:bidi="ar"/>
        </w:rPr>
        <w:t>部门预算项目支出绩效自评表（2025年度）</w:t>
      </w:r>
    </w:p>
    <w:p w14:paraId="416F889A">
      <w:pPr>
        <w:pStyle w:val="8"/>
        <w:rPr>
          <w:rFonts w:hint="default" w:ascii="Nimbus Roman No9 L" w:hAnsi="Nimbus Roman No9 L" w:cs="Nimbus Roman No9 L"/>
          <w:color w:val="FF0000"/>
          <w:kern w:val="0"/>
          <w:sz w:val="32"/>
          <w:szCs w:val="32"/>
          <w:highlight w:val="yellow"/>
          <w:shd w:val="clear" w:color="auto" w:fill="FFFFFF"/>
          <w:lang w:val="zh-CN"/>
        </w:rPr>
      </w:pPr>
    </w:p>
    <w:p w14:paraId="675B5F44">
      <w:pPr>
        <w:rPr>
          <w:rFonts w:hint="default" w:ascii="Nimbus Roman No9 L" w:hAnsi="Nimbus Roman No9 L" w:eastAsia="黑体" w:cs="Nimbus Roman No9 L"/>
          <w:color w:val="auto"/>
          <w:kern w:val="0"/>
          <w:sz w:val="32"/>
          <w:szCs w:val="32"/>
          <w:highlight w:val="none"/>
          <w:shd w:val="clear" w:color="auto" w:fill="FFFFFF"/>
          <w:lang w:val="zh-CN"/>
        </w:rPr>
      </w:pPr>
      <w:r>
        <w:rPr>
          <w:rFonts w:hint="default" w:ascii="Nimbus Roman No9 L" w:hAnsi="Nimbus Roman No9 L" w:eastAsia="黑体" w:cs="Nimbus Roman No9 L"/>
          <w:color w:val="auto"/>
          <w:kern w:val="0"/>
          <w:sz w:val="32"/>
          <w:szCs w:val="32"/>
          <w:highlight w:val="none"/>
          <w:shd w:val="clear" w:color="auto" w:fill="FFFFFF"/>
          <w:lang w:val="zh-CN"/>
        </w:rPr>
        <w:br w:type="page"/>
      </w:r>
    </w:p>
    <w:p w14:paraId="02830055">
      <w:pPr>
        <w:pStyle w:val="5"/>
        <w:bidi w:val="0"/>
        <w:jc w:val="center"/>
        <w:rPr>
          <w:rFonts w:hint="default" w:ascii="Nimbus Roman No9 L" w:hAnsi="Nimbus Roman No9 L" w:eastAsia="仿宋" w:cs="Nimbus Roman No9 L"/>
          <w:b w:val="0"/>
          <w:color w:val="auto"/>
          <w:highlight w:val="none"/>
        </w:rPr>
      </w:pPr>
      <w:bookmarkStart w:id="89" w:name="_Toc15396618"/>
      <w:bookmarkStart w:id="90" w:name="_Toc611826609"/>
      <w:r>
        <w:rPr>
          <w:rFonts w:hint="default" w:ascii="Nimbus Roman No9 L" w:hAnsi="Nimbus Roman No9 L" w:eastAsia="黑体" w:cs="Nimbus Roman No9 L"/>
          <w:b w:val="0"/>
          <w:bCs w:val="0"/>
          <w:color w:val="auto"/>
          <w:sz w:val="44"/>
          <w:szCs w:val="44"/>
          <w:highlight w:val="none"/>
        </w:rPr>
        <w:t>第</w:t>
      </w:r>
      <w:r>
        <w:rPr>
          <w:rStyle w:val="28"/>
          <w:rFonts w:hint="default" w:ascii="Nimbus Roman No9 L" w:hAnsi="Nimbus Roman No9 L" w:eastAsia="黑体" w:cs="Nimbus Roman No9 L"/>
          <w:b w:val="0"/>
          <w:bCs w:val="0"/>
          <w:color w:val="auto"/>
          <w:highlight w:val="none"/>
        </w:rPr>
        <w:t>五</w:t>
      </w:r>
      <w:r>
        <w:rPr>
          <w:rStyle w:val="28"/>
          <w:rFonts w:hint="default" w:ascii="Nimbus Roman No9 L" w:hAnsi="Nimbus Roman No9 L" w:eastAsia="黑体" w:cs="Nimbus Roman No9 L"/>
          <w:b w:val="0"/>
          <w:bCs/>
          <w:color w:val="auto"/>
          <w:highlight w:val="none"/>
        </w:rPr>
        <w:t>部分 附表</w:t>
      </w:r>
      <w:bookmarkEnd w:id="86"/>
      <w:bookmarkEnd w:id="89"/>
      <w:bookmarkEnd w:id="90"/>
      <w:bookmarkStart w:id="91" w:name="_Toc15396619"/>
    </w:p>
    <w:p w14:paraId="13EF5D26">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Nimbus Roman No9 L" w:hAnsi="Nimbus Roman No9 L" w:eastAsia="仿宋_GB2312" w:cs="Nimbus Roman No9 L"/>
          <w:color w:val="auto"/>
          <w:sz w:val="32"/>
          <w:szCs w:val="32"/>
          <w:highlight w:val="none"/>
        </w:rPr>
      </w:pPr>
    </w:p>
    <w:p w14:paraId="0F23CCB9">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Nimbus Roman No9 L" w:hAnsi="Nimbus Roman No9 L" w:eastAsia="仿宋_GB2312" w:cs="Nimbus Roman No9 L"/>
          <w:color w:val="auto"/>
          <w:sz w:val="32"/>
          <w:szCs w:val="32"/>
          <w:highlight w:val="none"/>
        </w:rPr>
      </w:pPr>
      <w:r>
        <w:rPr>
          <w:rFonts w:hint="default" w:ascii="Nimbus Roman No9 L" w:hAnsi="Nimbus Roman No9 L" w:eastAsia="仿宋_GB2312" w:cs="Nimbus Roman No9 L"/>
          <w:color w:val="auto"/>
          <w:sz w:val="32"/>
          <w:szCs w:val="32"/>
          <w:highlight w:val="none"/>
        </w:rPr>
        <w:t>一、收入支出决算总表</w:t>
      </w:r>
      <w:bookmarkEnd w:id="91"/>
    </w:p>
    <w:p w14:paraId="3EE13440">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Nimbus Roman No9 L" w:hAnsi="Nimbus Roman No9 L" w:eastAsia="仿宋_GB2312" w:cs="Nimbus Roman No9 L"/>
          <w:color w:val="auto"/>
          <w:sz w:val="32"/>
          <w:szCs w:val="32"/>
          <w:highlight w:val="none"/>
        </w:rPr>
      </w:pPr>
      <w:bookmarkStart w:id="92" w:name="_Toc15396620"/>
      <w:r>
        <w:rPr>
          <w:rFonts w:hint="default" w:ascii="Nimbus Roman No9 L" w:hAnsi="Nimbus Roman No9 L" w:eastAsia="仿宋_GB2312" w:cs="Nimbus Roman No9 L"/>
          <w:color w:val="auto"/>
          <w:sz w:val="32"/>
          <w:szCs w:val="32"/>
          <w:highlight w:val="none"/>
        </w:rPr>
        <w:t>二、收入决算表</w:t>
      </w:r>
      <w:bookmarkEnd w:id="92"/>
    </w:p>
    <w:p w14:paraId="6ADBDE57">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Nimbus Roman No9 L" w:hAnsi="Nimbus Roman No9 L" w:eastAsia="仿宋_GB2312" w:cs="Nimbus Roman No9 L"/>
          <w:color w:val="auto"/>
          <w:sz w:val="32"/>
          <w:szCs w:val="32"/>
          <w:highlight w:val="none"/>
        </w:rPr>
      </w:pPr>
      <w:bookmarkStart w:id="93" w:name="_Toc15396621"/>
      <w:r>
        <w:rPr>
          <w:rFonts w:hint="default" w:ascii="Nimbus Roman No9 L" w:hAnsi="Nimbus Roman No9 L" w:eastAsia="仿宋_GB2312" w:cs="Nimbus Roman No9 L"/>
          <w:color w:val="auto"/>
          <w:sz w:val="32"/>
          <w:szCs w:val="32"/>
          <w:highlight w:val="none"/>
        </w:rPr>
        <w:t>三、支出决算表</w:t>
      </w:r>
      <w:bookmarkEnd w:id="93"/>
    </w:p>
    <w:p w14:paraId="26DBE480">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Nimbus Roman No9 L" w:hAnsi="Nimbus Roman No9 L" w:eastAsia="仿宋_GB2312" w:cs="Nimbus Roman No9 L"/>
          <w:color w:val="auto"/>
          <w:sz w:val="32"/>
          <w:szCs w:val="32"/>
          <w:highlight w:val="none"/>
        </w:rPr>
      </w:pPr>
      <w:bookmarkStart w:id="94" w:name="_Toc15396622"/>
      <w:r>
        <w:rPr>
          <w:rFonts w:hint="default" w:ascii="Nimbus Roman No9 L" w:hAnsi="Nimbus Roman No9 L" w:eastAsia="仿宋_GB2312" w:cs="Nimbus Roman No9 L"/>
          <w:color w:val="auto"/>
          <w:sz w:val="32"/>
          <w:szCs w:val="32"/>
          <w:highlight w:val="none"/>
        </w:rPr>
        <w:t>四、财政拨款收入支出决算总表</w:t>
      </w:r>
      <w:bookmarkEnd w:id="94"/>
    </w:p>
    <w:p w14:paraId="3F50B9B8">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Nimbus Roman No9 L" w:hAnsi="Nimbus Roman No9 L" w:eastAsia="仿宋_GB2312" w:cs="Nimbus Roman No9 L"/>
          <w:color w:val="auto"/>
          <w:sz w:val="32"/>
          <w:szCs w:val="32"/>
          <w:highlight w:val="none"/>
        </w:rPr>
      </w:pPr>
      <w:bookmarkStart w:id="95" w:name="_Toc15396623"/>
      <w:r>
        <w:rPr>
          <w:rFonts w:hint="default" w:ascii="Nimbus Roman No9 L" w:hAnsi="Nimbus Roman No9 L" w:eastAsia="仿宋_GB2312" w:cs="Nimbus Roman No9 L"/>
          <w:color w:val="auto"/>
          <w:sz w:val="32"/>
          <w:szCs w:val="32"/>
          <w:highlight w:val="none"/>
        </w:rPr>
        <w:t>五、财政拨款支出决算明细表</w:t>
      </w:r>
      <w:bookmarkEnd w:id="95"/>
      <w:bookmarkStart w:id="96" w:name="_Toc15396624"/>
    </w:p>
    <w:p w14:paraId="54A1C8BD">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Nimbus Roman No9 L" w:hAnsi="Nimbus Roman No9 L" w:eastAsia="仿宋_GB2312" w:cs="Nimbus Roman No9 L"/>
          <w:color w:val="auto"/>
          <w:sz w:val="32"/>
          <w:szCs w:val="32"/>
          <w:highlight w:val="none"/>
        </w:rPr>
      </w:pPr>
      <w:r>
        <w:rPr>
          <w:rFonts w:hint="default" w:ascii="Nimbus Roman No9 L" w:hAnsi="Nimbus Roman No9 L" w:eastAsia="仿宋_GB2312" w:cs="Nimbus Roman No9 L"/>
          <w:color w:val="auto"/>
          <w:sz w:val="32"/>
          <w:szCs w:val="32"/>
          <w:highlight w:val="none"/>
        </w:rPr>
        <w:t>六、一般公共预算财政拨款支出决算表</w:t>
      </w:r>
      <w:bookmarkEnd w:id="96"/>
    </w:p>
    <w:p w14:paraId="7EEDB5EA">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Nimbus Roman No9 L" w:hAnsi="Nimbus Roman No9 L" w:eastAsia="仿宋_GB2312" w:cs="Nimbus Roman No9 L"/>
          <w:color w:val="auto"/>
          <w:sz w:val="32"/>
          <w:szCs w:val="32"/>
          <w:highlight w:val="none"/>
        </w:rPr>
      </w:pPr>
      <w:bookmarkStart w:id="97" w:name="_Toc15396625"/>
      <w:r>
        <w:rPr>
          <w:rFonts w:hint="default" w:ascii="Nimbus Roman No9 L" w:hAnsi="Nimbus Roman No9 L" w:eastAsia="仿宋_GB2312" w:cs="Nimbus Roman No9 L"/>
          <w:color w:val="auto"/>
          <w:sz w:val="32"/>
          <w:szCs w:val="32"/>
          <w:highlight w:val="none"/>
        </w:rPr>
        <w:t>七、一般公共预算财政拨款支出决算明细表</w:t>
      </w:r>
      <w:bookmarkEnd w:id="97"/>
    </w:p>
    <w:p w14:paraId="53C90A47">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Nimbus Roman No9 L" w:hAnsi="Nimbus Roman No9 L" w:eastAsia="仿宋_GB2312" w:cs="Nimbus Roman No9 L"/>
          <w:color w:val="auto"/>
          <w:sz w:val="32"/>
          <w:szCs w:val="32"/>
          <w:highlight w:val="none"/>
        </w:rPr>
      </w:pPr>
      <w:bookmarkStart w:id="98" w:name="_Toc15396626"/>
      <w:r>
        <w:rPr>
          <w:rFonts w:hint="default" w:ascii="Nimbus Roman No9 L" w:hAnsi="Nimbus Roman No9 L" w:eastAsia="仿宋_GB2312" w:cs="Nimbus Roman No9 L"/>
          <w:color w:val="auto"/>
          <w:sz w:val="32"/>
          <w:szCs w:val="32"/>
          <w:highlight w:val="none"/>
        </w:rPr>
        <w:t>八、一般公共预算财政拨款基本支出决算表</w:t>
      </w:r>
      <w:bookmarkEnd w:id="98"/>
    </w:p>
    <w:p w14:paraId="46B7088B">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Nimbus Roman No9 L" w:hAnsi="Nimbus Roman No9 L" w:eastAsia="仿宋_GB2312" w:cs="Nimbus Roman No9 L"/>
          <w:color w:val="auto"/>
          <w:sz w:val="32"/>
          <w:szCs w:val="32"/>
          <w:highlight w:val="none"/>
        </w:rPr>
      </w:pPr>
      <w:bookmarkStart w:id="99" w:name="_Toc15396627"/>
      <w:r>
        <w:rPr>
          <w:rFonts w:hint="default" w:ascii="Nimbus Roman No9 L" w:hAnsi="Nimbus Roman No9 L" w:eastAsia="仿宋_GB2312" w:cs="Nimbus Roman No9 L"/>
          <w:color w:val="auto"/>
          <w:sz w:val="32"/>
          <w:szCs w:val="32"/>
          <w:highlight w:val="none"/>
        </w:rPr>
        <w:t>九、一般公共预算财政拨款项目支出决算表</w:t>
      </w:r>
      <w:bookmarkEnd w:id="99"/>
    </w:p>
    <w:p w14:paraId="1C6DEBD5">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Nimbus Roman No9 L" w:hAnsi="Nimbus Roman No9 L" w:eastAsia="仿宋_GB2312" w:cs="Nimbus Roman No9 L"/>
          <w:color w:val="auto"/>
          <w:sz w:val="32"/>
          <w:szCs w:val="32"/>
          <w:highlight w:val="none"/>
        </w:rPr>
      </w:pPr>
      <w:bookmarkStart w:id="100" w:name="_Toc15396628"/>
      <w:r>
        <w:rPr>
          <w:rFonts w:hint="default" w:ascii="Nimbus Roman No9 L" w:hAnsi="Nimbus Roman No9 L" w:eastAsia="仿宋_GB2312" w:cs="Nimbus Roman No9 L"/>
          <w:color w:val="auto"/>
          <w:sz w:val="32"/>
          <w:szCs w:val="32"/>
          <w:highlight w:val="none"/>
        </w:rPr>
        <w:t>十、</w:t>
      </w:r>
      <w:bookmarkEnd w:id="100"/>
      <w:r>
        <w:rPr>
          <w:rFonts w:hint="default" w:ascii="Nimbus Roman No9 L" w:hAnsi="Nimbus Roman No9 L" w:eastAsia="仿宋_GB2312" w:cs="Nimbus Roman No9 L"/>
          <w:color w:val="auto"/>
          <w:sz w:val="32"/>
          <w:szCs w:val="32"/>
          <w:highlight w:val="none"/>
        </w:rPr>
        <w:t>政府性基金预算财政拨款收入支出决算表</w:t>
      </w:r>
    </w:p>
    <w:p w14:paraId="274A5F35">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Nimbus Roman No9 L" w:hAnsi="Nimbus Roman No9 L" w:eastAsia="仿宋_GB2312" w:cs="Nimbus Roman No9 L"/>
          <w:color w:val="auto"/>
          <w:sz w:val="32"/>
          <w:szCs w:val="32"/>
          <w:highlight w:val="none"/>
        </w:rPr>
      </w:pPr>
      <w:bookmarkStart w:id="101" w:name="_Toc15396629"/>
      <w:r>
        <w:rPr>
          <w:rFonts w:hint="default" w:ascii="Nimbus Roman No9 L" w:hAnsi="Nimbus Roman No9 L" w:eastAsia="仿宋_GB2312" w:cs="Nimbus Roman No9 L"/>
          <w:color w:val="auto"/>
          <w:sz w:val="32"/>
          <w:szCs w:val="32"/>
          <w:highlight w:val="none"/>
        </w:rPr>
        <w:t>十一、</w:t>
      </w:r>
      <w:bookmarkEnd w:id="101"/>
      <w:r>
        <w:rPr>
          <w:rFonts w:hint="default" w:ascii="Nimbus Roman No9 L" w:hAnsi="Nimbus Roman No9 L" w:eastAsia="仿宋_GB2312" w:cs="Nimbus Roman No9 L"/>
          <w:color w:val="auto"/>
          <w:sz w:val="32"/>
          <w:szCs w:val="32"/>
          <w:highlight w:val="none"/>
        </w:rPr>
        <w:t>国有资本经营预算</w:t>
      </w:r>
      <w:r>
        <w:rPr>
          <w:rFonts w:hint="default" w:ascii="Nimbus Roman No9 L" w:hAnsi="Nimbus Roman No9 L" w:eastAsia="仿宋_GB2312" w:cs="Nimbus Roman No9 L"/>
          <w:color w:val="auto"/>
          <w:sz w:val="32"/>
          <w:szCs w:val="32"/>
          <w:highlight w:val="none"/>
          <w:lang w:eastAsia="zh-CN"/>
        </w:rPr>
        <w:t>财政拨款收入</w:t>
      </w:r>
      <w:r>
        <w:rPr>
          <w:rFonts w:hint="default" w:ascii="Nimbus Roman No9 L" w:hAnsi="Nimbus Roman No9 L" w:eastAsia="仿宋_GB2312" w:cs="Nimbus Roman No9 L"/>
          <w:color w:val="auto"/>
          <w:sz w:val="32"/>
          <w:szCs w:val="32"/>
          <w:highlight w:val="none"/>
        </w:rPr>
        <w:t>支出决算表</w:t>
      </w:r>
    </w:p>
    <w:p w14:paraId="5B186A47">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Nimbus Roman No9 L" w:hAnsi="Nimbus Roman No9 L" w:eastAsia="仿宋_GB2312" w:cs="Nimbus Roman No9 L"/>
          <w:color w:val="auto"/>
          <w:sz w:val="32"/>
          <w:szCs w:val="32"/>
          <w:highlight w:val="none"/>
        </w:rPr>
      </w:pPr>
      <w:bookmarkStart w:id="102" w:name="_Toc15396630"/>
      <w:r>
        <w:rPr>
          <w:rFonts w:hint="default" w:ascii="Nimbus Roman No9 L" w:hAnsi="Nimbus Roman No9 L" w:eastAsia="仿宋_GB2312" w:cs="Nimbus Roman No9 L"/>
          <w:color w:val="auto"/>
          <w:sz w:val="32"/>
          <w:szCs w:val="32"/>
          <w:highlight w:val="none"/>
        </w:rPr>
        <w:t>十二、</w:t>
      </w:r>
      <w:bookmarkEnd w:id="102"/>
      <w:r>
        <w:rPr>
          <w:rFonts w:hint="default" w:ascii="Nimbus Roman No9 L" w:hAnsi="Nimbus Roman No9 L" w:eastAsia="仿宋_GB2312" w:cs="Nimbus Roman No9 L"/>
          <w:color w:val="auto"/>
          <w:sz w:val="32"/>
          <w:szCs w:val="32"/>
          <w:highlight w:val="none"/>
          <w:lang w:eastAsia="zh-CN"/>
        </w:rPr>
        <w:t>国有资本经营预算财政拨款支出决算表</w:t>
      </w:r>
    </w:p>
    <w:p w14:paraId="43C62418">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Nimbus Roman No9 L" w:hAnsi="Nimbus Roman No9 L" w:eastAsia="仿宋_GB2312" w:cs="Nimbus Roman No9 L"/>
          <w:color w:val="auto"/>
          <w:sz w:val="32"/>
          <w:szCs w:val="32"/>
          <w:highlight w:val="none"/>
          <w:lang w:eastAsia="zh-CN"/>
        </w:rPr>
      </w:pPr>
      <w:bookmarkStart w:id="103" w:name="_Toc15396631"/>
      <w:r>
        <w:rPr>
          <w:rFonts w:hint="default" w:ascii="Nimbus Roman No9 L" w:hAnsi="Nimbus Roman No9 L" w:eastAsia="仿宋_GB2312" w:cs="Nimbus Roman No9 L"/>
          <w:color w:val="auto"/>
          <w:sz w:val="32"/>
          <w:szCs w:val="32"/>
          <w:highlight w:val="none"/>
        </w:rPr>
        <w:t>十三、</w:t>
      </w:r>
      <w:bookmarkEnd w:id="103"/>
      <w:r>
        <w:rPr>
          <w:rFonts w:hint="default" w:ascii="Nimbus Roman No9 L" w:hAnsi="Nimbus Roman No9 L" w:eastAsia="仿宋_GB2312" w:cs="Nimbus Roman No9 L"/>
          <w:color w:val="auto"/>
          <w:sz w:val="32"/>
          <w:szCs w:val="32"/>
          <w:highlight w:val="none"/>
          <w:lang w:eastAsia="zh-CN"/>
        </w:rPr>
        <w:t>财政拨款“三公”经费支出决算表</w:t>
      </w:r>
    </w:p>
    <w:p w14:paraId="6B350689">
      <w:pPr>
        <w:rPr>
          <w:rFonts w:hint="default" w:ascii="Nimbus Roman No9 L" w:hAnsi="Nimbus Roman No9 L" w:cs="Nimbus Roman No9 L"/>
          <w:lang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Nimbus Roman No9 L"/>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
    <w:panose1 w:val="00000000000000000000"/>
    <w:charset w:val="00"/>
    <w:family w:val="roman"/>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方正仿宋_GBK"/>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6AD961">
    <w:pPr>
      <w:pStyle w:val="11"/>
      <w:jc w:val="center"/>
    </w:pPr>
  </w:p>
  <w:p w14:paraId="56D7268A">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D6B117">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0E56FC">
                          <w:pPr>
                            <w:pStyle w:val="11"/>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70E56FC">
                    <w:pPr>
                      <w:pStyle w:val="11"/>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A73668">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BBAFD3">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63BBAFD3">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897CA0">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EF65FC">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975B8"/>
    <w:rsid w:val="01A23516"/>
    <w:rsid w:val="02317B1B"/>
    <w:rsid w:val="02FEBE30"/>
    <w:rsid w:val="061E35DE"/>
    <w:rsid w:val="066E0107"/>
    <w:rsid w:val="07996F6E"/>
    <w:rsid w:val="07DFD8BA"/>
    <w:rsid w:val="08DB07E4"/>
    <w:rsid w:val="09867E8F"/>
    <w:rsid w:val="0A2032A3"/>
    <w:rsid w:val="0BB5E9E9"/>
    <w:rsid w:val="0C6C4794"/>
    <w:rsid w:val="0CA8290A"/>
    <w:rsid w:val="0D35B1ED"/>
    <w:rsid w:val="0DE07E2B"/>
    <w:rsid w:val="0F98263C"/>
    <w:rsid w:val="101860EC"/>
    <w:rsid w:val="10C055FF"/>
    <w:rsid w:val="11772AA4"/>
    <w:rsid w:val="118107EC"/>
    <w:rsid w:val="13957196"/>
    <w:rsid w:val="13D50BC4"/>
    <w:rsid w:val="14022904"/>
    <w:rsid w:val="151375ED"/>
    <w:rsid w:val="152F2A07"/>
    <w:rsid w:val="165E0673"/>
    <w:rsid w:val="16BB723D"/>
    <w:rsid w:val="16F13FCB"/>
    <w:rsid w:val="186504BB"/>
    <w:rsid w:val="1938089F"/>
    <w:rsid w:val="19A445FC"/>
    <w:rsid w:val="1B7D550C"/>
    <w:rsid w:val="1BE8440E"/>
    <w:rsid w:val="1D155CEE"/>
    <w:rsid w:val="1DE178F3"/>
    <w:rsid w:val="1E740ACF"/>
    <w:rsid w:val="1F13CF32"/>
    <w:rsid w:val="1FF35744"/>
    <w:rsid w:val="1FF6BC77"/>
    <w:rsid w:val="21962A9E"/>
    <w:rsid w:val="21AE7C77"/>
    <w:rsid w:val="22BC3C41"/>
    <w:rsid w:val="23860B96"/>
    <w:rsid w:val="240371BF"/>
    <w:rsid w:val="24FF6B80"/>
    <w:rsid w:val="260F557C"/>
    <w:rsid w:val="281408E2"/>
    <w:rsid w:val="29FD04D3"/>
    <w:rsid w:val="2BFF7BC6"/>
    <w:rsid w:val="2C8A61B5"/>
    <w:rsid w:val="2CFF1C62"/>
    <w:rsid w:val="2D2E01CF"/>
    <w:rsid w:val="2D3711FD"/>
    <w:rsid w:val="2DF04E50"/>
    <w:rsid w:val="2E9545B0"/>
    <w:rsid w:val="2EBFA900"/>
    <w:rsid w:val="2F040D46"/>
    <w:rsid w:val="2FAE5751"/>
    <w:rsid w:val="2FB1A395"/>
    <w:rsid w:val="2FD9A7D8"/>
    <w:rsid w:val="2FF6C5D9"/>
    <w:rsid w:val="319F7F4E"/>
    <w:rsid w:val="321B2544"/>
    <w:rsid w:val="3304709D"/>
    <w:rsid w:val="34281836"/>
    <w:rsid w:val="349D6851"/>
    <w:rsid w:val="35BA6CAF"/>
    <w:rsid w:val="35D37231"/>
    <w:rsid w:val="364D14C1"/>
    <w:rsid w:val="36AA5135"/>
    <w:rsid w:val="36BE0DA7"/>
    <w:rsid w:val="376B6AA6"/>
    <w:rsid w:val="376D39B2"/>
    <w:rsid w:val="37BFAF8C"/>
    <w:rsid w:val="37E16F03"/>
    <w:rsid w:val="37E9EF2F"/>
    <w:rsid w:val="37F53A3B"/>
    <w:rsid w:val="389B6C89"/>
    <w:rsid w:val="38D469F0"/>
    <w:rsid w:val="39627CCD"/>
    <w:rsid w:val="397BAF1F"/>
    <w:rsid w:val="39F51E50"/>
    <w:rsid w:val="3AB79AF3"/>
    <w:rsid w:val="3B3EC518"/>
    <w:rsid w:val="3B7EF35A"/>
    <w:rsid w:val="3B9FDB6C"/>
    <w:rsid w:val="3BED7F9B"/>
    <w:rsid w:val="3BF5BC2F"/>
    <w:rsid w:val="3CEBA265"/>
    <w:rsid w:val="3D98207C"/>
    <w:rsid w:val="3D9B0D99"/>
    <w:rsid w:val="3DBFA7E8"/>
    <w:rsid w:val="3DE79938"/>
    <w:rsid w:val="3DEE7CF3"/>
    <w:rsid w:val="3DF02244"/>
    <w:rsid w:val="3E78745D"/>
    <w:rsid w:val="3EEF8D6D"/>
    <w:rsid w:val="3FBE235E"/>
    <w:rsid w:val="3FCEA16F"/>
    <w:rsid w:val="3FF4CAE0"/>
    <w:rsid w:val="3FF7B227"/>
    <w:rsid w:val="3FFBE953"/>
    <w:rsid w:val="3FFD28E5"/>
    <w:rsid w:val="3FFDE533"/>
    <w:rsid w:val="3FFE6E19"/>
    <w:rsid w:val="3FFF4350"/>
    <w:rsid w:val="40E54C45"/>
    <w:rsid w:val="41313393"/>
    <w:rsid w:val="43A407DF"/>
    <w:rsid w:val="44515BEA"/>
    <w:rsid w:val="44E268DA"/>
    <w:rsid w:val="453F7E5B"/>
    <w:rsid w:val="486A6C7A"/>
    <w:rsid w:val="49176D9B"/>
    <w:rsid w:val="494006BD"/>
    <w:rsid w:val="4A627F82"/>
    <w:rsid w:val="4B0E749A"/>
    <w:rsid w:val="4B4F25DA"/>
    <w:rsid w:val="4BDA0CFB"/>
    <w:rsid w:val="4BE068DB"/>
    <w:rsid w:val="4CECD865"/>
    <w:rsid w:val="4D3C0CCC"/>
    <w:rsid w:val="4D577224"/>
    <w:rsid w:val="4DBF1CEB"/>
    <w:rsid w:val="4EAB630A"/>
    <w:rsid w:val="4ECE2238"/>
    <w:rsid w:val="4EFEA6E7"/>
    <w:rsid w:val="4F833267"/>
    <w:rsid w:val="4FE9BD67"/>
    <w:rsid w:val="4FFB052F"/>
    <w:rsid w:val="4FFF402A"/>
    <w:rsid w:val="53083A92"/>
    <w:rsid w:val="537E6D0A"/>
    <w:rsid w:val="53AF27A2"/>
    <w:rsid w:val="53F74C96"/>
    <w:rsid w:val="56BF9E3F"/>
    <w:rsid w:val="56E47B74"/>
    <w:rsid w:val="57BD3DD4"/>
    <w:rsid w:val="57BF333A"/>
    <w:rsid w:val="5AF92295"/>
    <w:rsid w:val="5B73F841"/>
    <w:rsid w:val="5BDD79E6"/>
    <w:rsid w:val="5BF561CA"/>
    <w:rsid w:val="5BFF5DFC"/>
    <w:rsid w:val="5CD71FC4"/>
    <w:rsid w:val="5D1F11B5"/>
    <w:rsid w:val="5D4BEA0B"/>
    <w:rsid w:val="5D79A51F"/>
    <w:rsid w:val="5DAE1B18"/>
    <w:rsid w:val="5DE7D9E5"/>
    <w:rsid w:val="5E6D9057"/>
    <w:rsid w:val="5ECEC941"/>
    <w:rsid w:val="5ED6A4E8"/>
    <w:rsid w:val="5F493CB7"/>
    <w:rsid w:val="5F5F61A3"/>
    <w:rsid w:val="5F9E318A"/>
    <w:rsid w:val="5FBF9FF3"/>
    <w:rsid w:val="5FCD4E2C"/>
    <w:rsid w:val="5FCF7D74"/>
    <w:rsid w:val="5FD15F49"/>
    <w:rsid w:val="5FE73E5D"/>
    <w:rsid w:val="5FEF394A"/>
    <w:rsid w:val="5FF67715"/>
    <w:rsid w:val="5FFC142E"/>
    <w:rsid w:val="62BF3928"/>
    <w:rsid w:val="647F5392"/>
    <w:rsid w:val="65778BE9"/>
    <w:rsid w:val="664B1D71"/>
    <w:rsid w:val="67AA3209"/>
    <w:rsid w:val="67BFE429"/>
    <w:rsid w:val="681C4F0D"/>
    <w:rsid w:val="69046D0F"/>
    <w:rsid w:val="698D0931"/>
    <w:rsid w:val="6A993CED"/>
    <w:rsid w:val="6AB23627"/>
    <w:rsid w:val="6B053271"/>
    <w:rsid w:val="6B87E60B"/>
    <w:rsid w:val="6BA74F4A"/>
    <w:rsid w:val="6BBFB6C4"/>
    <w:rsid w:val="6BCE6674"/>
    <w:rsid w:val="6BEF62A0"/>
    <w:rsid w:val="6C4A05C8"/>
    <w:rsid w:val="6C8742B8"/>
    <w:rsid w:val="6C8A170F"/>
    <w:rsid w:val="6CB54609"/>
    <w:rsid w:val="6DBF5E93"/>
    <w:rsid w:val="6DF37A72"/>
    <w:rsid w:val="6DFF077E"/>
    <w:rsid w:val="6E3B94D7"/>
    <w:rsid w:val="6E7E3605"/>
    <w:rsid w:val="6E7FDCC7"/>
    <w:rsid w:val="6ED6A62E"/>
    <w:rsid w:val="6EE00B15"/>
    <w:rsid w:val="6F544B20"/>
    <w:rsid w:val="6F6FB3EB"/>
    <w:rsid w:val="6F784160"/>
    <w:rsid w:val="6F8731EA"/>
    <w:rsid w:val="6FAF9C33"/>
    <w:rsid w:val="6FB3AA6A"/>
    <w:rsid w:val="6FCE6052"/>
    <w:rsid w:val="6FD57C00"/>
    <w:rsid w:val="6FEFE1F4"/>
    <w:rsid w:val="6FEFFFD8"/>
    <w:rsid w:val="6FF5CC65"/>
    <w:rsid w:val="6FFB47EC"/>
    <w:rsid w:val="6FFF034A"/>
    <w:rsid w:val="6FFFB61E"/>
    <w:rsid w:val="70496804"/>
    <w:rsid w:val="712A28F1"/>
    <w:rsid w:val="715C0E4B"/>
    <w:rsid w:val="72233669"/>
    <w:rsid w:val="72734D90"/>
    <w:rsid w:val="72EFDA56"/>
    <w:rsid w:val="7332FE48"/>
    <w:rsid w:val="73AB61DA"/>
    <w:rsid w:val="73AD73D5"/>
    <w:rsid w:val="73B6EB34"/>
    <w:rsid w:val="73F5868D"/>
    <w:rsid w:val="73FA497D"/>
    <w:rsid w:val="744731E5"/>
    <w:rsid w:val="74527205"/>
    <w:rsid w:val="74BBD01D"/>
    <w:rsid w:val="74ED5379"/>
    <w:rsid w:val="74FC2395"/>
    <w:rsid w:val="75DEEEC2"/>
    <w:rsid w:val="75F7B6DB"/>
    <w:rsid w:val="76CED3A1"/>
    <w:rsid w:val="76E3355F"/>
    <w:rsid w:val="76FF5125"/>
    <w:rsid w:val="776F6FFA"/>
    <w:rsid w:val="778769C8"/>
    <w:rsid w:val="77DC22F5"/>
    <w:rsid w:val="79086DAD"/>
    <w:rsid w:val="79974F09"/>
    <w:rsid w:val="79D7FD79"/>
    <w:rsid w:val="79EE5BA4"/>
    <w:rsid w:val="7A6EB5AA"/>
    <w:rsid w:val="7A894339"/>
    <w:rsid w:val="7AE7294E"/>
    <w:rsid w:val="7AFF0D7C"/>
    <w:rsid w:val="7AFF7572"/>
    <w:rsid w:val="7B6C7DFB"/>
    <w:rsid w:val="7BB9903F"/>
    <w:rsid w:val="7BBFBED0"/>
    <w:rsid w:val="7BC3E394"/>
    <w:rsid w:val="7C1F3737"/>
    <w:rsid w:val="7CBFC87B"/>
    <w:rsid w:val="7CFE0F48"/>
    <w:rsid w:val="7D57032D"/>
    <w:rsid w:val="7D5F6472"/>
    <w:rsid w:val="7D7EC23E"/>
    <w:rsid w:val="7D916348"/>
    <w:rsid w:val="7DFB8F7E"/>
    <w:rsid w:val="7DFDD004"/>
    <w:rsid w:val="7E8ADEBF"/>
    <w:rsid w:val="7EE8C287"/>
    <w:rsid w:val="7EEF11D3"/>
    <w:rsid w:val="7EEF234A"/>
    <w:rsid w:val="7EFBCA58"/>
    <w:rsid w:val="7F0971A6"/>
    <w:rsid w:val="7F3F679B"/>
    <w:rsid w:val="7F4DD5AB"/>
    <w:rsid w:val="7F4FC4EF"/>
    <w:rsid w:val="7F5D5C51"/>
    <w:rsid w:val="7F5E4D54"/>
    <w:rsid w:val="7F6E0135"/>
    <w:rsid w:val="7F6F4839"/>
    <w:rsid w:val="7F7FD077"/>
    <w:rsid w:val="7FA30C79"/>
    <w:rsid w:val="7FAF8ABF"/>
    <w:rsid w:val="7FAFED49"/>
    <w:rsid w:val="7FB7269E"/>
    <w:rsid w:val="7FBD006E"/>
    <w:rsid w:val="7FBF08BC"/>
    <w:rsid w:val="7FC96657"/>
    <w:rsid w:val="7FDA9588"/>
    <w:rsid w:val="7FDF220F"/>
    <w:rsid w:val="7FE7751E"/>
    <w:rsid w:val="7FEDC5F7"/>
    <w:rsid w:val="7FEDD9DE"/>
    <w:rsid w:val="7FF5890D"/>
    <w:rsid w:val="7FF93490"/>
    <w:rsid w:val="7FFA0B8D"/>
    <w:rsid w:val="7FFF4679"/>
    <w:rsid w:val="8FBF3466"/>
    <w:rsid w:val="94BB5D24"/>
    <w:rsid w:val="97D002D9"/>
    <w:rsid w:val="99FF2014"/>
    <w:rsid w:val="9B3F6F95"/>
    <w:rsid w:val="9F7F9B2C"/>
    <w:rsid w:val="9FDBE8BB"/>
    <w:rsid w:val="A6DD0D7F"/>
    <w:rsid w:val="ABAF8309"/>
    <w:rsid w:val="ABB9F315"/>
    <w:rsid w:val="ADC6F725"/>
    <w:rsid w:val="B3FD31AB"/>
    <w:rsid w:val="B5F70DD1"/>
    <w:rsid w:val="B65F8D4D"/>
    <w:rsid w:val="B6B67167"/>
    <w:rsid w:val="B7CF06AB"/>
    <w:rsid w:val="B7CF786C"/>
    <w:rsid w:val="B7CFA926"/>
    <w:rsid w:val="B7E5C134"/>
    <w:rsid w:val="B7F8786B"/>
    <w:rsid w:val="B7FB444C"/>
    <w:rsid w:val="BABB6AA1"/>
    <w:rsid w:val="BAED3FFC"/>
    <w:rsid w:val="BB2F4199"/>
    <w:rsid w:val="BD079C78"/>
    <w:rsid w:val="BD3FEBB4"/>
    <w:rsid w:val="BD733540"/>
    <w:rsid w:val="BDEFFF6D"/>
    <w:rsid w:val="BDF5A64A"/>
    <w:rsid w:val="BDF7CD83"/>
    <w:rsid w:val="BDFFBFB2"/>
    <w:rsid w:val="BEDF08F1"/>
    <w:rsid w:val="BEE6AA1A"/>
    <w:rsid w:val="BF3735D5"/>
    <w:rsid w:val="BF7F09AC"/>
    <w:rsid w:val="BFD475C3"/>
    <w:rsid w:val="BFDE5EA6"/>
    <w:rsid w:val="BFED8498"/>
    <w:rsid w:val="BFFE129D"/>
    <w:rsid w:val="C37E8254"/>
    <w:rsid w:val="C7FBB1D3"/>
    <w:rsid w:val="CF6FC6F3"/>
    <w:rsid w:val="CFD3D3D7"/>
    <w:rsid w:val="CFDF1009"/>
    <w:rsid w:val="CFEF9CFA"/>
    <w:rsid w:val="CFF5E2C7"/>
    <w:rsid w:val="D56F5C7F"/>
    <w:rsid w:val="D73EE24B"/>
    <w:rsid w:val="D7B63D31"/>
    <w:rsid w:val="D7D7B16A"/>
    <w:rsid w:val="D7FCD818"/>
    <w:rsid w:val="D8D6DB89"/>
    <w:rsid w:val="D9DF03F0"/>
    <w:rsid w:val="DB6F4CAB"/>
    <w:rsid w:val="DB777682"/>
    <w:rsid w:val="DBDDEECA"/>
    <w:rsid w:val="DCD58619"/>
    <w:rsid w:val="DD1FB521"/>
    <w:rsid w:val="DDF14677"/>
    <w:rsid w:val="DEFBFEAE"/>
    <w:rsid w:val="DF1F3B80"/>
    <w:rsid w:val="DF696E95"/>
    <w:rsid w:val="DF6F9789"/>
    <w:rsid w:val="DFDD2EEA"/>
    <w:rsid w:val="DFFFA9E8"/>
    <w:rsid w:val="E1FB82D8"/>
    <w:rsid w:val="E5F4E9DC"/>
    <w:rsid w:val="E6FFDEE5"/>
    <w:rsid w:val="E70FE695"/>
    <w:rsid w:val="EBEF2DC3"/>
    <w:rsid w:val="EBF1266D"/>
    <w:rsid w:val="EBF52C1C"/>
    <w:rsid w:val="EBFBCB1C"/>
    <w:rsid w:val="EBFE4F48"/>
    <w:rsid w:val="ECFED1BC"/>
    <w:rsid w:val="ED1D69BB"/>
    <w:rsid w:val="ED7FD312"/>
    <w:rsid w:val="EF53993F"/>
    <w:rsid w:val="EF6FD633"/>
    <w:rsid w:val="EFBFB2F4"/>
    <w:rsid w:val="EFBFFA21"/>
    <w:rsid w:val="EFF6B55B"/>
    <w:rsid w:val="EFF7FE05"/>
    <w:rsid w:val="EFFB8EDF"/>
    <w:rsid w:val="EFFE139E"/>
    <w:rsid w:val="F15B2742"/>
    <w:rsid w:val="F2BEBCB8"/>
    <w:rsid w:val="F36FB518"/>
    <w:rsid w:val="F3DE1A04"/>
    <w:rsid w:val="F3DF2725"/>
    <w:rsid w:val="F3DF6281"/>
    <w:rsid w:val="F3F722E5"/>
    <w:rsid w:val="F3FF8A7C"/>
    <w:rsid w:val="F4BFC477"/>
    <w:rsid w:val="F55AA49A"/>
    <w:rsid w:val="F5F663AD"/>
    <w:rsid w:val="F73BE896"/>
    <w:rsid w:val="F77780B0"/>
    <w:rsid w:val="F77FE6F6"/>
    <w:rsid w:val="F7CF81FC"/>
    <w:rsid w:val="F9E5BF76"/>
    <w:rsid w:val="FA5F1E70"/>
    <w:rsid w:val="FA5FDB97"/>
    <w:rsid w:val="FB6B985A"/>
    <w:rsid w:val="FB7F486A"/>
    <w:rsid w:val="FBF23528"/>
    <w:rsid w:val="FBFF5B2E"/>
    <w:rsid w:val="FBFFAF12"/>
    <w:rsid w:val="FCDB2447"/>
    <w:rsid w:val="FD3B426D"/>
    <w:rsid w:val="FD7D73BF"/>
    <w:rsid w:val="FD7FFE2B"/>
    <w:rsid w:val="FD95C035"/>
    <w:rsid w:val="FDBBA723"/>
    <w:rsid w:val="FDDE0A45"/>
    <w:rsid w:val="FDDF253E"/>
    <w:rsid w:val="FDE3D991"/>
    <w:rsid w:val="FDEE196B"/>
    <w:rsid w:val="FDEF7579"/>
    <w:rsid w:val="FDFDF4BD"/>
    <w:rsid w:val="FDFE6575"/>
    <w:rsid w:val="FDFFB7EC"/>
    <w:rsid w:val="FECFE07D"/>
    <w:rsid w:val="FEDFDDC2"/>
    <w:rsid w:val="FEED32F6"/>
    <w:rsid w:val="FEF781DD"/>
    <w:rsid w:val="FF3F7E3F"/>
    <w:rsid w:val="FF3FEE2C"/>
    <w:rsid w:val="FF6FE956"/>
    <w:rsid w:val="FF7EBACD"/>
    <w:rsid w:val="FF878B60"/>
    <w:rsid w:val="FFAF9E09"/>
    <w:rsid w:val="FFBA12D7"/>
    <w:rsid w:val="FFD55D21"/>
    <w:rsid w:val="FFD94786"/>
    <w:rsid w:val="FFDFCB96"/>
    <w:rsid w:val="FFDFFAEE"/>
    <w:rsid w:val="FFEA6A90"/>
    <w:rsid w:val="FFF72E0A"/>
    <w:rsid w:val="FFF9B57B"/>
    <w:rsid w:val="FFFD61D9"/>
    <w:rsid w:val="FFFD8F59"/>
    <w:rsid w:val="FFFE37AD"/>
    <w:rsid w:val="FFFEE0B4"/>
    <w:rsid w:val="FFFF2BB1"/>
    <w:rsid w:val="FFFFB04D"/>
    <w:rsid w:val="FFFFF05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qFormat/>
    <w:uiPriority w:val="0"/>
    <w:pPr>
      <w:spacing w:after="120"/>
      <w:ind w:leftChars="200"/>
    </w:pPr>
    <w:rPr>
      <w:rFonts w:ascii="仿宋_GB2312"/>
      <w:szCs w:val="32"/>
    </w:rPr>
  </w:style>
  <w:style w:type="paragraph" w:styleId="8">
    <w:name w:val="Body Text"/>
    <w:basedOn w:val="1"/>
    <w:link w:val="25"/>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1"/>
    <w:semiHidden/>
    <w:unhideWhenUsed/>
    <w:qFormat/>
    <w:uiPriority w:val="99"/>
    <w:rPr>
      <w:sz w:val="18"/>
      <w:szCs w:val="18"/>
    </w:rPr>
  </w:style>
  <w:style w:type="paragraph" w:styleId="11">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paragraph" w:customStyle="1" w:styleId="19">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Char"/>
    <w:link w:val="12"/>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Char"/>
    <w:link w:val="11"/>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Char"/>
    <w:link w:val="8"/>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6"/>
    <w:link w:val="5"/>
    <w:qFormat/>
    <w:uiPriority w:val="9"/>
    <w:rPr>
      <w:rFonts w:ascii="Times New Roman" w:hAnsi="Times New Roman"/>
      <w:b/>
      <w:bCs/>
      <w:kern w:val="44"/>
      <w:sz w:val="44"/>
      <w:szCs w:val="44"/>
    </w:rPr>
  </w:style>
  <w:style w:type="character" w:customStyle="1" w:styleId="29">
    <w:name w:val="标题 2 Char"/>
    <w:basedOn w:val="16"/>
    <w:link w:val="6"/>
    <w:qFormat/>
    <w:uiPriority w:val="9"/>
    <w:rPr>
      <w:rFonts w:asciiTheme="majorHAnsi" w:hAnsiTheme="majorHAnsi" w:eastAsiaTheme="majorEastAsia" w:cstheme="majorBidi"/>
      <w:b/>
      <w:bCs/>
      <w:kern w:val="2"/>
      <w:sz w:val="32"/>
      <w:szCs w:val="32"/>
    </w:rPr>
  </w:style>
  <w:style w:type="paragraph" w:customStyle="1" w:styleId="30">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6"/>
    <w:link w:val="10"/>
    <w:semiHidden/>
    <w:qFormat/>
    <w:uiPriority w:val="99"/>
    <w:rPr>
      <w:rFonts w:ascii="Times New Roman" w:hAnsi="Times New Roman"/>
      <w:kern w:val="2"/>
      <w:sz w:val="18"/>
      <w:szCs w:val="18"/>
    </w:rPr>
  </w:style>
  <w:style w:type="character" w:customStyle="1" w:styleId="32">
    <w:name w:val="标题 3 Char"/>
    <w:basedOn w:val="16"/>
    <w:link w:val="7"/>
    <w:qFormat/>
    <w:uiPriority w:val="9"/>
    <w:rPr>
      <w:rFonts w:ascii="Times New Roman" w:hAnsi="Times New Roman"/>
      <w:b/>
      <w:bCs/>
      <w:kern w:val="2"/>
      <w:sz w:val="32"/>
      <w:szCs w:val="32"/>
    </w:rPr>
  </w:style>
  <w:style w:type="paragraph" w:customStyle="1" w:styleId="33">
    <w:name w:val="TOC Heading"/>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chart" Target="charts/chart7.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home/user/&#26700;&#38754;/2025&#24180;&#24230;&#20915;&#31639;&#20844;&#24320;/&#24179;&#21488;/2024&#26609;&#29366;&#2227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ome/user/&#26700;&#38754;/2025&#24180;&#24230;&#20915;&#31639;&#20844;&#24320;/&#24179;&#21488;/2024&#26609;&#29366;&#2227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ome/user/&#26700;&#38754;/2025&#24180;&#24230;&#20915;&#31639;&#20844;&#24320;/&#24179;&#21488;/2024&#26609;&#29366;&#2227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ome/user/&#26700;&#38754;/2025&#24180;&#24230;&#20915;&#31639;&#20844;&#24320;/&#24179;&#21488;/2024&#26609;&#29366;&#2227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ome/user/&#26700;&#38754;/2025&#24180;&#24230;&#20915;&#31639;&#20844;&#24320;/&#24179;&#21488;/2024&#26609;&#29366;&#22270;.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ome/user/&#26700;&#38754;/2025&#24180;&#24230;&#20915;&#31639;&#20844;&#24320;/&#24179;&#21488;/2024&#26609;&#29366;&#22270;.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ome/user/&#26700;&#38754;/2025&#24180;&#24230;&#20915;&#31639;&#20844;&#24320;/&#24179;&#21488;/2024&#26609;&#29366;&#2227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tx1"/>
                </a:solidFill>
                <a:latin typeface="+mn-lt"/>
                <a:ea typeface="+mn-ea"/>
                <a:cs typeface="+mn-cs"/>
              </a:defRPr>
            </a:pPr>
            <a:r>
              <a:rPr sz="1400" b="0" i="0" u="none" strike="noStrike" baseline="0">
                <a:solidFill>
                  <a:srgbClr val="000000">
                    <a:alpha val="100000"/>
                  </a:srgbClr>
                </a:solidFill>
                <a:latin typeface="宋体" charset="-122"/>
                <a:ea typeface="宋体" charset="-122"/>
                <a:cs typeface="宋体" charset="-122"/>
              </a:rPr>
              <a:t>收入、支出决算总计变动情况图</a:t>
            </a:r>
            <a:endParaRPr sz="1400" b="0" i="0" u="none" strike="noStrike" baseline="0">
              <a:solidFill>
                <a:srgbClr val="000000">
                  <a:alpha val="100000"/>
                </a:srgbClr>
              </a:solidFill>
              <a:latin typeface="宋体" charset="-122"/>
              <a:ea typeface="宋体" charset="-122"/>
              <a:cs typeface="宋体" charset="-122"/>
            </a:endParaRPr>
          </a:p>
        </c:rich>
      </c:tx>
      <c:layout>
        <c:manualLayout>
          <c:xMode val="edge"/>
          <c:yMode val="edge"/>
          <c:x val="0.283498201438849"/>
          <c:y val="0.88284596759173"/>
        </c:manualLayout>
      </c:layout>
      <c:overlay val="0"/>
    </c:title>
    <c:autoTitleDeleted val="0"/>
    <c:plotArea>
      <c:layout>
        <c:manualLayout>
          <c:layoutTarget val="inner"/>
          <c:xMode val="edge"/>
          <c:yMode val="edge"/>
          <c:x val="0.0890987362866269"/>
          <c:y val="0.0508788159111933"/>
          <c:w val="0.88201638661297"/>
          <c:h val="0.732516188714154"/>
        </c:manualLayout>
      </c:layout>
      <c:barChart>
        <c:barDir val="col"/>
        <c:grouping val="clustered"/>
        <c:varyColors val="0"/>
        <c:ser>
          <c:idx val="0"/>
          <c:order val="0"/>
          <c:tx>
            <c:strRef>
              <c:f>[2024柱状图.xls]图1!$B$1</c:f>
              <c:strCache>
                <c:ptCount val="1"/>
                <c:pt idx="0">
                  <c:v>2025年</c:v>
                </c:pt>
              </c:strCache>
            </c:strRef>
          </c:tx>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[2024柱状图.xls]图1!$A$2:$A$3</c:f>
              <c:strCache>
                <c:ptCount val="2"/>
                <c:pt idx="0">
                  <c:v>收入总计</c:v>
                </c:pt>
                <c:pt idx="1">
                  <c:v>支出总计</c:v>
                </c:pt>
              </c:strCache>
            </c:strRef>
          </c:cat>
          <c:val>
            <c:numRef>
              <c:f>[2024柱状图.xls]图1!$B$2:$B$3</c:f>
              <c:numCache>
                <c:formatCode>General</c:formatCode>
                <c:ptCount val="2"/>
                <c:pt idx="0">
                  <c:v>264.87</c:v>
                </c:pt>
                <c:pt idx="1">
                  <c:v>264.87</c:v>
                </c:pt>
              </c:numCache>
            </c:numRef>
          </c:val>
        </c:ser>
        <c:ser>
          <c:idx val="1"/>
          <c:order val="1"/>
          <c:tx>
            <c:strRef>
              <c:f>[2024柱状图.xls]图1!$C$1</c:f>
              <c:strCache>
                <c:ptCount val="1"/>
                <c:pt idx="0">
                  <c:v>2024年</c:v>
                </c:pt>
              </c:strCache>
            </c:strRef>
          </c:tx>
          <c:spPr>
            <a:gradFill>
              <a:gsLst>
                <a:gs pos="0">
                  <a:srgbClr val="9EE256"/>
                </a:gs>
                <a:gs pos="100000">
                  <a:srgbClr val="52762D"/>
                </a:gs>
              </a:gsLst>
              <a:lin ang="5400000" scaled="0"/>
            </a:gra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[2024柱状图.xls]图1!$A$2:$A$3</c:f>
              <c:strCache>
                <c:ptCount val="2"/>
                <c:pt idx="0">
                  <c:v>收入总计</c:v>
                </c:pt>
                <c:pt idx="1">
                  <c:v>支出总计</c:v>
                </c:pt>
              </c:strCache>
            </c:strRef>
          </c:cat>
          <c:val>
            <c:numRef>
              <c:f>[2024柱状图.xls]图1!$C$2:$C$3</c:f>
              <c:numCache>
                <c:formatCode>General</c:formatCode>
                <c:ptCount val="2"/>
                <c:pt idx="0">
                  <c:v>210.29</c:v>
                </c:pt>
                <c:pt idx="1">
                  <c:v>210.29</c:v>
                </c:pt>
              </c:numCache>
            </c:numRef>
          </c:val>
        </c:ser>
        <c:dLbls>
          <c:showLegendKey val="0"/>
          <c:showVal val="0"/>
          <c:showCatName val="0"/>
          <c:showSerName val="0"/>
          <c:showPercent val="0"/>
          <c:showBubbleSize val="0"/>
        </c:dLbls>
        <c:gapWidth val="150"/>
        <c:overlap val="0"/>
        <c:axId val="258869412"/>
        <c:axId val="146962009"/>
      </c:barChart>
      <c:catAx>
        <c:axId val="258869412"/>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46962009"/>
        <c:crosses val="autoZero"/>
        <c:auto val="1"/>
        <c:lblAlgn val="ctr"/>
        <c:lblOffset val="100"/>
        <c:noMultiLvlLbl val="0"/>
      </c:catAx>
      <c:valAx>
        <c:axId val="146962009"/>
        <c:scaling>
          <c:orientation val="minMax"/>
          <c:min val="0"/>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8869412"/>
        <c:crosses val="autoZero"/>
        <c:crossBetween val="between"/>
      </c:valAx>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7e7b276-a900-4b5e-aab4-722db6da80b9}"/>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400" b="0" i="0" u="none" strike="noStrike" baseline="0">
                <a:solidFill>
                  <a:srgbClr val="595959">
                    <a:alpha val="100000"/>
                  </a:srgbClr>
                </a:solidFill>
                <a:latin typeface="宋体" charset="-122"/>
                <a:ea typeface="宋体" charset="-122"/>
                <a:cs typeface="宋体" charset="-122"/>
              </a:rPr>
              <a:t>收入决算结构图</a:t>
            </a:r>
            <a:endParaRPr sz="1400" b="0" i="0" u="none" strike="noStrike" baseline="0">
              <a:solidFill>
                <a:srgbClr val="595959">
                  <a:alpha val="100000"/>
                </a:srgbClr>
              </a:solidFill>
              <a:latin typeface="宋体" charset="-122"/>
              <a:ea typeface="宋体" charset="-122"/>
              <a:cs typeface="宋体"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969696">
                          <a:alpha val="100000"/>
                        </a:srgbClr>
                      </a:solidFill>
                      <a:prstDash val="solid"/>
                      <a:round/>
                    </a:ln>
                  </c:spPr>
                </c15:leaderLines>
              </c:ext>
            </c:extLst>
          </c:dLbls>
          <c:cat>
            <c:strRef>
              <c:f>[2024柱状图.xls]图2!$A$1</c:f>
              <c:strCache>
                <c:ptCount val="1"/>
                <c:pt idx="0">
                  <c:v>一般公共预算财政拨款收入</c:v>
                </c:pt>
              </c:strCache>
            </c:strRef>
          </c:cat>
          <c:val>
            <c:numRef>
              <c:f>[2024柱状图.xls]图2!$A$2</c:f>
              <c:numCache>
                <c:formatCode>0.00%</c:formatCode>
                <c:ptCount val="1"/>
                <c:pt idx="0">
                  <c:v>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63c212e-5dd9-48c8-87b0-5514fff4df6c}"/>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400" b="0" i="0" u="none" strike="noStrike" baseline="0">
                <a:solidFill>
                  <a:srgbClr val="595959">
                    <a:alpha val="100000"/>
                  </a:srgbClr>
                </a:solidFill>
                <a:latin typeface="宋体" charset="-122"/>
                <a:ea typeface="宋体" charset="-122"/>
                <a:cs typeface="宋体" charset="-122"/>
              </a:rPr>
              <a:t>支出决算结构图</a:t>
            </a:r>
            <a:endParaRPr sz="1400" b="0" i="0" u="none" strike="noStrike" baseline="0">
              <a:solidFill>
                <a:srgbClr val="595959">
                  <a:alpha val="100000"/>
                </a:srgbClr>
              </a:solidFill>
              <a:latin typeface="宋体" charset="-122"/>
              <a:ea typeface="宋体" charset="-122"/>
              <a:cs typeface="宋体"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969696">
                          <a:alpha val="100000"/>
                        </a:srgbClr>
                      </a:solidFill>
                      <a:prstDash val="solid"/>
                      <a:round/>
                    </a:ln>
                  </c:spPr>
                </c15:leaderLines>
              </c:ext>
            </c:extLst>
          </c:dLbls>
          <c:cat>
            <c:strRef>
              <c:f>[2024柱状图.xls]图3!$A$1:$B$1</c:f>
              <c:strCache>
                <c:ptCount val="2"/>
                <c:pt idx="0">
                  <c:v>基本支出</c:v>
                </c:pt>
                <c:pt idx="1">
                  <c:v>项目支出</c:v>
                </c:pt>
              </c:strCache>
            </c:strRef>
          </c:cat>
          <c:val>
            <c:numRef>
              <c:f>[2024柱状图.xls]图3!$A$2:$B$2</c:f>
              <c:numCache>
                <c:formatCode>0.0%</c:formatCode>
                <c:ptCount val="2"/>
                <c:pt idx="0">
                  <c:v>0.901</c:v>
                </c:pt>
                <c:pt idx="1">
                  <c:v>0.099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1a992a0-2827-41f7-a369-616cd841a704}"/>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tx1"/>
                </a:solidFill>
                <a:latin typeface="+mn-lt"/>
                <a:ea typeface="+mn-ea"/>
                <a:cs typeface="+mn-cs"/>
              </a:defRPr>
            </a:pPr>
            <a:r>
              <a:rPr lang="en-US" altLang="zh-CN" sz="1400" b="0" i="0" u="none" strike="noStrike" baseline="0">
                <a:solidFill>
                  <a:srgbClr val="000000">
                    <a:alpha val="100000"/>
                  </a:srgbClr>
                </a:solidFill>
                <a:latin typeface="宋体" charset="-122"/>
                <a:ea typeface="宋体" charset="-122"/>
                <a:cs typeface="宋体" charset="-122"/>
              </a:rPr>
              <a:t>财政拨款收、支决算总计变动情况</a:t>
            </a:r>
            <a:endParaRPr lang="en-US" altLang="zh-CN" sz="1400" b="0" i="0" u="none" strike="noStrike" baseline="0">
              <a:solidFill>
                <a:srgbClr val="000000">
                  <a:alpha val="100000"/>
                </a:srgbClr>
              </a:solidFill>
              <a:latin typeface="宋体" charset="-122"/>
              <a:ea typeface="宋体" charset="-122"/>
              <a:cs typeface="宋体" charset="-122"/>
            </a:endParaRPr>
          </a:p>
        </c:rich>
      </c:tx>
      <c:layout>
        <c:manualLayout>
          <c:xMode val="edge"/>
          <c:yMode val="edge"/>
          <c:x val="0.268391764051196"/>
          <c:y val="0.0286624203821656"/>
        </c:manualLayout>
      </c:layout>
      <c:overlay val="0"/>
    </c:title>
    <c:autoTitleDeleted val="0"/>
    <c:plotArea>
      <c:layout>
        <c:manualLayout>
          <c:layoutTarget val="inner"/>
          <c:xMode val="edge"/>
          <c:yMode val="edge"/>
          <c:x val="0.0890987362866269"/>
          <c:y val="0.0508788159111933"/>
          <c:w val="0.88201638661297"/>
          <c:h val="0.732516188714154"/>
        </c:manualLayout>
      </c:layout>
      <c:barChart>
        <c:barDir val="col"/>
        <c:grouping val="clustered"/>
        <c:varyColors val="0"/>
        <c:ser>
          <c:idx val="0"/>
          <c:order val="0"/>
          <c:tx>
            <c:strRef>
              <c:f>[2024柱状图.xls]图4!$B$1</c:f>
              <c:strCache>
                <c:ptCount val="1"/>
                <c:pt idx="0">
                  <c:v>2025年</c:v>
                </c:pt>
              </c:strCache>
            </c:strRef>
          </c:tx>
          <c:spPr>
            <a:solidFill>
              <a:schemeClr val="accent2">
                <a:lumMod val="60000"/>
                <a:lumOff val="40000"/>
              </a:schemeClr>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[2024柱状图.xls]图4!$A$2:$A$3</c:f>
              <c:strCache>
                <c:ptCount val="2"/>
                <c:pt idx="0">
                  <c:v>财政拨款收入</c:v>
                </c:pt>
                <c:pt idx="1">
                  <c:v>财政拨款支出</c:v>
                </c:pt>
              </c:strCache>
            </c:strRef>
          </c:cat>
          <c:val>
            <c:numRef>
              <c:f>[2024柱状图.xls]图4!$B$2:$B$3</c:f>
              <c:numCache>
                <c:formatCode>General</c:formatCode>
                <c:ptCount val="2"/>
                <c:pt idx="0">
                  <c:v>264.87</c:v>
                </c:pt>
                <c:pt idx="1">
                  <c:v>264.87</c:v>
                </c:pt>
              </c:numCache>
            </c:numRef>
          </c:val>
        </c:ser>
        <c:ser>
          <c:idx val="1"/>
          <c:order val="1"/>
          <c:tx>
            <c:strRef>
              <c:f>[2024柱状图.xls]图4!$C$1</c:f>
              <c:strCache>
                <c:ptCount val="1"/>
                <c:pt idx="0">
                  <c:v>2024年</c:v>
                </c:pt>
              </c:strCache>
            </c:strRef>
          </c:tx>
          <c:spPr>
            <a:solidFill>
              <a:schemeClr val="accent5">
                <a:lumMod val="60000"/>
                <a:lumOff val="40000"/>
              </a:schemeClr>
            </a:solidFill>
            <a:ln>
              <a:noFill/>
            </a:ln>
            <a:effectLst/>
          </c:spPr>
          <c:invertIfNegative val="0"/>
          <c:dPt>
            <c:idx val="0"/>
            <c:invertIfNegative val="0"/>
            <c:bubble3D val="0"/>
            <c:explosion val="0"/>
            <c:spPr>
              <a:solidFill>
                <a:schemeClr val="accent5">
                  <a:lumMod val="60000"/>
                  <a:lumOff val="40000"/>
                </a:schemeClr>
              </a:solidFill>
              <a:ln>
                <a:noFill/>
              </a:ln>
              <a:effectLst/>
            </c:spPr>
          </c:dPt>
          <c:dPt>
            <c:idx val="1"/>
            <c:invertIfNegative val="0"/>
            <c:bubble3D val="0"/>
            <c:explosion val="0"/>
            <c:spPr>
              <a:solidFill>
                <a:schemeClr val="accent5">
                  <a:lumMod val="60000"/>
                  <a:lumOff val="40000"/>
                </a:schemeClr>
              </a:solidFill>
              <a:ln>
                <a:no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[2024柱状图.xls]图4!$A$2:$A$3</c:f>
              <c:strCache>
                <c:ptCount val="2"/>
                <c:pt idx="0">
                  <c:v>财政拨款收入</c:v>
                </c:pt>
                <c:pt idx="1">
                  <c:v>财政拨款支出</c:v>
                </c:pt>
              </c:strCache>
            </c:strRef>
          </c:cat>
          <c:val>
            <c:numRef>
              <c:f>[2024柱状图.xls]图4!$C$2:$C$3</c:f>
              <c:numCache>
                <c:formatCode>General</c:formatCode>
                <c:ptCount val="2"/>
                <c:pt idx="0">
                  <c:v>210.29</c:v>
                </c:pt>
                <c:pt idx="1">
                  <c:v>210.29</c:v>
                </c:pt>
              </c:numCache>
            </c:numRef>
          </c:val>
        </c:ser>
        <c:dLbls>
          <c:showLegendKey val="0"/>
          <c:showVal val="0"/>
          <c:showCatName val="0"/>
          <c:showSerName val="0"/>
          <c:showPercent val="0"/>
          <c:showBubbleSize val="0"/>
        </c:dLbls>
        <c:gapWidth val="150"/>
        <c:overlap val="0"/>
        <c:axId val="291937291"/>
        <c:axId val="40850841"/>
      </c:barChart>
      <c:catAx>
        <c:axId val="291937291"/>
        <c:scaling>
          <c:orientation val="minMax"/>
        </c:scaling>
        <c:delete val="0"/>
        <c:axPos val="b"/>
        <c:majorTickMark val="out"/>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0850841"/>
        <c:crosses val="autoZero"/>
        <c:auto val="1"/>
        <c:lblAlgn val="ctr"/>
        <c:lblOffset val="100"/>
        <c:noMultiLvlLbl val="0"/>
      </c:catAx>
      <c:valAx>
        <c:axId val="40850841"/>
        <c:scaling>
          <c:orientation val="minMax"/>
          <c:max val="400"/>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out"/>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91937291"/>
        <c:crosses val="autoZero"/>
        <c:crossBetween val="between"/>
      </c:valAx>
      <c:spPr>
        <a:noFill/>
        <a:ln>
          <a:noFill/>
        </a:ln>
        <a:effectLst/>
      </c:spPr>
    </c:plotArea>
    <c:legend>
      <c:legendPos val="r"/>
      <c:layout>
        <c:manualLayout>
          <c:xMode val="edge"/>
          <c:yMode val="edge"/>
          <c:x val="0.434724540901503"/>
          <c:y val="0.859205776173285"/>
          <c:w val="0.193767390094602"/>
          <c:h val="0.129539180293056"/>
        </c:manualLayout>
      </c:layout>
      <c:overlay val="0"/>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0f7e1f0-65bf-47f2-9c82-273f93ac35db}"/>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tx1"/>
                </a:solidFill>
                <a:latin typeface="+mn-lt"/>
                <a:ea typeface="+mn-ea"/>
                <a:cs typeface="+mn-cs"/>
              </a:defRPr>
            </a:pPr>
            <a:r>
              <a:rPr sz="1400" b="0" i="0" u="none" strike="noStrike" baseline="0">
                <a:solidFill>
                  <a:srgbClr val="000000">
                    <a:alpha val="100000"/>
                  </a:srgbClr>
                </a:solidFill>
                <a:latin typeface="宋体" charset="-122"/>
                <a:ea typeface="宋体" charset="-122"/>
                <a:cs typeface="宋体" charset="-122"/>
              </a:rPr>
              <a:t>一般公共预算财政拨款支出决算变动情况</a:t>
            </a:r>
            <a:endParaRPr sz="1400" b="0" i="0" u="none" strike="noStrike" baseline="0">
              <a:solidFill>
                <a:srgbClr val="000000">
                  <a:alpha val="100000"/>
                </a:srgbClr>
              </a:solidFill>
              <a:latin typeface="宋体" charset="-122"/>
              <a:ea typeface="宋体" charset="-122"/>
              <a:cs typeface="宋体" charset="-122"/>
            </a:endParaRPr>
          </a:p>
        </c:rich>
      </c:tx>
      <c:layout/>
      <c:overlay val="0"/>
    </c:title>
    <c:autoTitleDeleted val="0"/>
    <c:plotArea>
      <c:layout/>
      <c:barChart>
        <c:barDir val="col"/>
        <c:grouping val="stacked"/>
        <c:varyColors val="0"/>
        <c:ser>
          <c:idx val="0"/>
          <c:order val="0"/>
          <c:tx>
            <c:strRef>
              <c:f>[2024柱状图.xls]图5!#REF!</c:f>
              <c:strCache>
                <c:ptCount val="1"/>
                <c:pt idx="0">
                  <c:v/>
                </c:pt>
              </c:strCache>
            </c:strRef>
          </c:tx>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[2024柱状图.xls]图5!$B$1:$C$1</c:f>
              <c:strCache>
                <c:ptCount val="2"/>
                <c:pt idx="0">
                  <c:v>2025年</c:v>
                </c:pt>
                <c:pt idx="1">
                  <c:v>2024年</c:v>
                </c:pt>
              </c:strCache>
            </c:strRef>
          </c:cat>
          <c:val>
            <c:numRef>
              <c:f>[2024柱状图.xls]图5!#REF!</c:f>
              <c:numCache>
                <c:formatCode>General</c:formatCode>
                <c:ptCount val="1"/>
              </c:numCache>
            </c:numRef>
          </c:val>
        </c:ser>
        <c:ser>
          <c:idx val="1"/>
          <c:order val="1"/>
          <c:tx>
            <c:strRef>
              <c:f>[2024柱状图.xls]图5!$A$2</c:f>
              <c:strCache>
                <c:ptCount val="1"/>
                <c:pt idx="0">
                  <c:v>一般公共预算财政拨款支出</c:v>
                </c:pt>
              </c:strCache>
            </c:strRef>
          </c:tx>
          <c:spPr>
            <a:gradFill>
              <a:gsLst>
                <a:gs pos="0">
                  <a:srgbClr val="FECF40"/>
                </a:gs>
                <a:gs pos="100000">
                  <a:srgbClr val="846C21"/>
                </a:gs>
              </a:gsLst>
              <a:lin ang="5400000" scaled="0"/>
            </a:gra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[2024柱状图.xls]图5!$B$1:$C$1</c:f>
              <c:strCache>
                <c:ptCount val="2"/>
                <c:pt idx="0">
                  <c:v>2025年</c:v>
                </c:pt>
                <c:pt idx="1">
                  <c:v>2024年</c:v>
                </c:pt>
              </c:strCache>
            </c:strRef>
          </c:cat>
          <c:val>
            <c:numRef>
              <c:f>[2024柱状图.xls]图5!$B$2:$C$2</c:f>
              <c:numCache>
                <c:formatCode>General</c:formatCode>
                <c:ptCount val="2"/>
                <c:pt idx="0">
                  <c:v>264.87</c:v>
                </c:pt>
                <c:pt idx="1">
                  <c:v>210.29</c:v>
                </c:pt>
              </c:numCache>
            </c:numRef>
          </c:val>
        </c:ser>
        <c:dLbls>
          <c:showLegendKey val="0"/>
          <c:showVal val="0"/>
          <c:showCatName val="0"/>
          <c:showSerName val="0"/>
          <c:showPercent val="0"/>
          <c:showBubbleSize val="0"/>
        </c:dLbls>
        <c:gapWidth val="150"/>
        <c:overlap val="100"/>
        <c:axId val="514370177"/>
        <c:axId val="96096420"/>
      </c:barChart>
      <c:catAx>
        <c:axId val="514370177"/>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6096420"/>
        <c:crosses val="autoZero"/>
        <c:auto val="1"/>
        <c:lblAlgn val="ctr"/>
        <c:lblOffset val="100"/>
        <c:noMultiLvlLbl val="0"/>
      </c:catAx>
      <c:valAx>
        <c:axId val="9609642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14370177"/>
        <c:crosses val="autoZero"/>
        <c:crossBetween val="between"/>
      </c:valAx>
      <c:spPr>
        <a:noFill/>
        <a:ln>
          <a:noFill/>
        </a:ln>
        <a:effectLst/>
      </c:spPr>
    </c:plotArea>
    <c:legend>
      <c:legendPos val="b"/>
      <c:legendEntry>
        <c:idx val="0"/>
        <c:delete val="1"/>
      </c:legendEntry>
      <c:layout>
        <c:manualLayout>
          <c:xMode val="edge"/>
          <c:yMode val="edge"/>
          <c:x val="0.27575"/>
          <c:y val="0.895"/>
          <c:w val="0.44825"/>
          <c:h val="0.07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43537af-a8f2-48e9-b579-5206fde61117}"/>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400" b="0" i="0" u="none" strike="noStrike" baseline="0">
                <a:solidFill>
                  <a:srgbClr val="595959">
                    <a:alpha val="100000"/>
                  </a:srgbClr>
                </a:solidFill>
                <a:latin typeface="宋体" charset="-122"/>
                <a:ea typeface="宋体" charset="-122"/>
                <a:cs typeface="宋体" charset="-122"/>
              </a:rPr>
              <a:t>一般公共预算财政拨款支出决算结构</a:t>
            </a:r>
            <a:endParaRPr sz="1400" b="0" i="0" u="none" strike="noStrike" baseline="0">
              <a:solidFill>
                <a:srgbClr val="595959">
                  <a:alpha val="100000"/>
                </a:srgbClr>
              </a:solidFill>
              <a:latin typeface="宋体" charset="-122"/>
              <a:ea typeface="宋体" charset="-122"/>
              <a:cs typeface="宋体"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Pt>
            <c:idx val="3"/>
            <c:bubble3D val="0"/>
            <c:explosion val="0"/>
          </c:dPt>
          <c:dLbls>
            <c:dLbl>
              <c:idx val="0"/>
              <c:layout>
                <c:manualLayout>
                  <c:x val="0.0689059206954346"/>
                  <c:y val="0.00154244707051076"/>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969696">
                          <a:alpha val="100000"/>
                        </a:srgbClr>
                      </a:solidFill>
                      <a:prstDash val="solid"/>
                      <a:round/>
                    </a:ln>
                  </c:spPr>
                </c15:leaderLines>
              </c:ext>
            </c:extLst>
          </c:dLbls>
          <c:cat>
            <c:strRef>
              <c:f>[2024柱状图.xls]图6!$A$1:$D$1</c:f>
              <c:strCache>
                <c:ptCount val="4"/>
                <c:pt idx="0">
                  <c:v>科学技术支出</c:v>
                </c:pt>
                <c:pt idx="1">
                  <c:v>社会保障和就业支出</c:v>
                </c:pt>
                <c:pt idx="2">
                  <c:v>卫生健康支出</c:v>
                </c:pt>
                <c:pt idx="3">
                  <c:v>住房保障支出</c:v>
                </c:pt>
              </c:strCache>
            </c:strRef>
          </c:cat>
          <c:val>
            <c:numRef>
              <c:f>[2024柱状图.xls]图6!$A$2:$D$2</c:f>
              <c:numCache>
                <c:formatCode>0.0%</c:formatCode>
                <c:ptCount val="4"/>
                <c:pt idx="0">
                  <c:v>0.725</c:v>
                </c:pt>
                <c:pt idx="1">
                  <c:v>0.1634</c:v>
                </c:pt>
                <c:pt idx="2">
                  <c:v>0.0508</c:v>
                </c:pt>
                <c:pt idx="3">
                  <c:v>0.0608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40c2304-4f1e-4f87-a682-8dc5b441a661}"/>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400" b="0" i="0" u="none" strike="noStrike" baseline="0">
                <a:solidFill>
                  <a:srgbClr val="595959">
                    <a:alpha val="100000"/>
                  </a:srgbClr>
                </a:solidFill>
                <a:latin typeface="宋体" charset="-122"/>
                <a:ea typeface="宋体" charset="-122"/>
                <a:cs typeface="宋体" charset="-122"/>
              </a:rPr>
              <a:t>财政拨款“三公”经费支出结构</a:t>
            </a:r>
            <a:endParaRPr sz="1400" b="0" i="0" u="none" strike="noStrike" baseline="0">
              <a:solidFill>
                <a:srgbClr val="595959">
                  <a:alpha val="100000"/>
                </a:srgbClr>
              </a:solidFill>
              <a:latin typeface="宋体" charset="-122"/>
              <a:ea typeface="宋体" charset="-122"/>
              <a:cs typeface="宋体"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dPt>
          <c:dPt>
            <c:idx val="2"/>
            <c:bubble3D val="0"/>
            <c:explosion val="0"/>
          </c:dPt>
          <c:dLbls>
            <c:dLbl>
              <c:idx val="0"/>
              <c:layout>
                <c:manualLayout>
                  <c:x val="-0.0108042242321017"/>
                  <c:y val="0.0391270123423724"/>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969696">
                          <a:alpha val="100000"/>
                        </a:srgbClr>
                      </a:solidFill>
                      <a:prstDash val="solid"/>
                      <a:round/>
                    </a:ln>
                  </c:spPr>
                </c15:leaderLines>
              </c:ext>
            </c:extLst>
          </c:dLbls>
          <c:cat>
            <c:strRef>
              <c:f>[2024柱状图.xls]图7!$A$1:$C$1</c:f>
              <c:strCache>
                <c:ptCount val="3"/>
                <c:pt idx="0">
                  <c:v>因公出国（境）费支出</c:v>
                </c:pt>
                <c:pt idx="1">
                  <c:v>公务用车购置及运行维护费</c:v>
                </c:pt>
                <c:pt idx="2">
                  <c:v>公务接待费支出</c:v>
                </c:pt>
              </c:strCache>
            </c:strRef>
          </c:cat>
          <c:val>
            <c:numRef>
              <c:f>[2024柱状图.xls]图7!$A$2:$C$2</c:f>
              <c:numCache>
                <c:formatCode>0%</c:formatCode>
                <c:ptCount val="3"/>
                <c:pt idx="0">
                  <c:v>0</c:v>
                </c:pt>
                <c:pt idx="1" c:formatCode="0.0%">
                  <c:v>0.832</c:v>
                </c:pt>
                <c:pt idx="2" c:formatCode="0.0%">
                  <c:v>0.168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33659c4-22ce-4543-9ef0-120257b27295}"/>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18</Pages>
  <Words>1299</Words>
  <Characters>7410</Characters>
  <Lines>61</Lines>
  <Paragraphs>17</Paragraphs>
  <TotalTime>4</TotalTime>
  <ScaleCrop>false</ScaleCrop>
  <LinksUpToDate>false</LinksUpToDate>
  <CharactersWithSpaces>8692</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2020-08-13T09:49:00Z</dcterms:created>
  <dc:creator>曹颖</dc:creator>
  <cp:lastModifiedBy>user</cp:lastModifiedBy>
  <cp:lastPrinted>2026-08-08T01:27:00Z</cp:lastPrinted>
  <dcterms:modified xsi:type="dcterms:W3CDTF">2026-09-14T08:01:18Z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400D301575C74348A5277D00A7902E06</vt:lpwstr>
  </property>
</Properties>
</file>