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69E4E">
      <w:pPr>
        <w:pStyle w:val="2"/>
        <w:rPr>
          <w:rFonts w:hint="default" w:ascii="Nimbus Roman No9 L" w:hAnsi="Nimbus Roman No9 L" w:eastAsia="方正小标宋简体" w:cs="Nimbus Roman No9 L"/>
          <w:color w:val="auto"/>
          <w:kern w:val="2"/>
          <w:sz w:val="72"/>
          <w:szCs w:val="72"/>
          <w:highlight w:val="none"/>
          <w:lang w:val="en-US" w:eastAsia="zh-CN" w:bidi="ar-SA"/>
        </w:rPr>
      </w:pPr>
      <w:bookmarkStart w:id="0" w:name="_Toc15377193"/>
      <w:bookmarkStart w:id="1" w:name="_Toc15378441"/>
      <w:bookmarkStart w:id="2" w:name="_Toc15396597"/>
      <w:bookmarkStart w:id="3" w:name="_Toc15396475"/>
      <w:bookmarkStart w:id="4" w:name="_Toc15377425"/>
      <w:bookmarkStart w:id="5" w:name="_Toc15306267"/>
    </w:p>
    <w:p w14:paraId="48D49BB6">
      <w:pPr>
        <w:pStyle w:val="2"/>
        <w:rPr>
          <w:rFonts w:hint="default" w:ascii="Nimbus Roman No9 L" w:hAnsi="Nimbus Roman No9 L" w:eastAsia="方正小标宋简体" w:cs="Nimbus Roman No9 L"/>
          <w:color w:val="auto"/>
          <w:kern w:val="2"/>
          <w:sz w:val="72"/>
          <w:szCs w:val="72"/>
          <w:highlight w:val="none"/>
          <w:lang w:val="en-US" w:eastAsia="zh-CN" w:bidi="ar-SA"/>
        </w:rPr>
      </w:pPr>
    </w:p>
    <w:p w14:paraId="63377827">
      <w:pPr>
        <w:pStyle w:val="2"/>
        <w:rPr>
          <w:rFonts w:hint="default" w:ascii="Nimbus Roman No9 L" w:hAnsi="Nimbus Roman No9 L" w:eastAsia="方正小标宋简体" w:cs="Nimbus Roman No9 L"/>
          <w:color w:val="auto"/>
          <w:kern w:val="2"/>
          <w:sz w:val="72"/>
          <w:szCs w:val="72"/>
          <w:highlight w:val="none"/>
          <w:lang w:val="en-US" w:eastAsia="zh-CN" w:bidi="ar-SA"/>
        </w:rPr>
      </w:pPr>
    </w:p>
    <w:p w14:paraId="3A707616">
      <w:pPr>
        <w:pStyle w:val="2"/>
        <w:rPr>
          <w:rFonts w:hint="default" w:ascii="Nimbus Roman No9 L" w:hAnsi="Nimbus Roman No9 L" w:eastAsia="方正小标宋简体" w:cs="Nimbus Roman No9 L"/>
          <w:color w:val="auto"/>
          <w:kern w:val="2"/>
          <w:sz w:val="72"/>
          <w:szCs w:val="72"/>
          <w:highlight w:val="none"/>
          <w:lang w:val="en-US" w:eastAsia="zh-CN" w:bidi="ar-SA"/>
        </w:rPr>
      </w:pPr>
    </w:p>
    <w:p w14:paraId="6121893B">
      <w:pPr>
        <w:pStyle w:val="2"/>
        <w:jc w:val="center"/>
        <w:rPr>
          <w:rFonts w:hint="default" w:ascii="Nimbus Roman No9 L" w:hAnsi="Nimbus Roman No9 L" w:eastAsia="方正小标宋简体" w:cs="Nimbus Roman No9 L"/>
          <w:color w:val="auto"/>
          <w:kern w:val="2"/>
          <w:sz w:val="44"/>
          <w:szCs w:val="44"/>
          <w:highlight w:val="none"/>
          <w:lang w:val="en-US" w:eastAsia="zh-CN" w:bidi="ar-SA"/>
        </w:rPr>
      </w:pPr>
      <w:r>
        <w:rPr>
          <w:rFonts w:hint="default" w:ascii="Nimbus Roman No9 L" w:hAnsi="Nimbus Roman No9 L" w:eastAsia="方正小标宋简体" w:cs="Nimbus Roman No9 L"/>
          <w:color w:val="auto"/>
          <w:kern w:val="2"/>
          <w:sz w:val="44"/>
          <w:szCs w:val="44"/>
          <w:highlight w:val="none"/>
          <w:lang w:val="en-US" w:eastAsia="zh-CN" w:bidi="ar-SA"/>
        </w:rPr>
        <w:t>2025年度市级单位决算</w:t>
      </w:r>
    </w:p>
    <w:p w14:paraId="4C965833">
      <w:pPr>
        <w:pStyle w:val="2"/>
        <w:jc w:val="center"/>
        <w:rPr>
          <w:rFonts w:hint="default" w:ascii="Nimbus Roman No9 L" w:hAnsi="Nimbus Roman No9 L" w:eastAsia="方正小标宋简体" w:cs="Nimbus Roman No9 L"/>
          <w:color w:val="auto"/>
          <w:kern w:val="2"/>
          <w:sz w:val="44"/>
          <w:szCs w:val="44"/>
          <w:highlight w:val="none"/>
          <w:lang w:val="en-US" w:eastAsia="zh-CN" w:bidi="ar-SA"/>
        </w:rPr>
      </w:pPr>
      <w:r>
        <w:rPr>
          <w:rFonts w:hint="default" w:ascii="Nimbus Roman No9 L" w:hAnsi="Nimbus Roman No9 L" w:eastAsia="方正小标宋简体" w:cs="Nimbus Roman No9 L"/>
          <w:color w:val="auto"/>
          <w:kern w:val="2"/>
          <w:sz w:val="44"/>
          <w:szCs w:val="44"/>
          <w:highlight w:val="none"/>
          <w:lang w:val="en-US" w:eastAsia="zh-CN" w:bidi="ar-SA"/>
        </w:rPr>
        <w:t>公开文字说明</w:t>
      </w:r>
    </w:p>
    <w:p w14:paraId="2F72F710">
      <w:pPr>
        <w:spacing w:line="600" w:lineRule="exact"/>
        <w:jc w:val="center"/>
        <w:outlineLvl w:val="0"/>
        <w:rPr>
          <w:rFonts w:hint="default" w:ascii="Nimbus Roman No9 L" w:hAnsi="Nimbus Roman No9 L" w:eastAsia="方正小标宋简体" w:cs="Nimbus Roman No9 L"/>
          <w:color w:val="auto"/>
          <w:sz w:val="72"/>
          <w:szCs w:val="72"/>
          <w:highlight w:val="none"/>
        </w:rPr>
      </w:pPr>
    </w:p>
    <w:p w14:paraId="4367F52E">
      <w:pPr>
        <w:pStyle w:val="21"/>
        <w:rPr>
          <w:rFonts w:hint="default" w:ascii="Nimbus Roman No9 L" w:hAnsi="Nimbus Roman No9 L" w:cs="Nimbus Roman No9 L"/>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13E89EA0">
      <w:pPr>
        <w:rPr>
          <w:rFonts w:hint="default" w:ascii="Nimbus Roman No9 L" w:hAnsi="Nimbus Roman No9 L" w:cs="Nimbus Roman No9 L"/>
        </w:rPr>
      </w:pPr>
    </w:p>
    <w:p w14:paraId="75B15CF5">
      <w:pPr>
        <w:pStyle w:val="2"/>
        <w:jc w:val="center"/>
        <w:rPr>
          <w:rFonts w:hint="default" w:ascii="Nimbus Roman No9 L" w:hAnsi="Nimbus Roman No9 L" w:eastAsia="方正小标宋简体" w:cs="Nimbus Roman No9 L"/>
          <w:color w:val="auto"/>
          <w:kern w:val="2"/>
          <w:sz w:val="44"/>
          <w:szCs w:val="44"/>
          <w:highlight w:val="none"/>
          <w:lang w:val="en-US" w:eastAsia="zh-CN" w:bidi="ar-SA"/>
        </w:rPr>
      </w:pPr>
    </w:p>
    <w:p w14:paraId="3D4BBE6C">
      <w:pPr>
        <w:pStyle w:val="2"/>
        <w:jc w:val="center"/>
        <w:rPr>
          <w:rFonts w:hint="default" w:ascii="Nimbus Roman No9 L" w:hAnsi="Nimbus Roman No9 L" w:eastAsia="方正小标宋简体" w:cs="Nimbus Roman No9 L"/>
          <w:color w:val="auto"/>
          <w:kern w:val="2"/>
          <w:sz w:val="44"/>
          <w:szCs w:val="44"/>
          <w:highlight w:val="none"/>
          <w:lang w:val="en-US" w:eastAsia="zh-CN" w:bidi="ar-SA"/>
        </w:rPr>
      </w:pPr>
    </w:p>
    <w:p w14:paraId="45EBE5A3">
      <w:pPr>
        <w:pStyle w:val="2"/>
        <w:jc w:val="center"/>
        <w:rPr>
          <w:rFonts w:hint="default" w:ascii="Nimbus Roman No9 L" w:hAnsi="Nimbus Roman No9 L" w:eastAsia="方正小标宋简体" w:cs="Nimbus Roman No9 L"/>
          <w:color w:val="auto"/>
          <w:kern w:val="2"/>
          <w:sz w:val="44"/>
          <w:szCs w:val="44"/>
          <w:highlight w:val="none"/>
          <w:lang w:val="en-US" w:eastAsia="zh-CN" w:bidi="ar-SA"/>
        </w:rPr>
      </w:pPr>
    </w:p>
    <w:p w14:paraId="207A35B8">
      <w:pPr>
        <w:pStyle w:val="2"/>
        <w:jc w:val="center"/>
        <w:rPr>
          <w:rFonts w:hint="default" w:ascii="Nimbus Roman No9 L" w:hAnsi="Nimbus Roman No9 L" w:eastAsia="方正小标宋简体" w:cs="Nimbus Roman No9 L"/>
          <w:color w:val="auto"/>
          <w:kern w:val="2"/>
          <w:sz w:val="44"/>
          <w:szCs w:val="44"/>
          <w:highlight w:val="none"/>
          <w:lang w:val="en-US" w:eastAsia="zh-CN" w:bidi="ar-SA"/>
        </w:rPr>
      </w:pPr>
    </w:p>
    <w:bookmarkEnd w:id="0"/>
    <w:bookmarkEnd w:id="1"/>
    <w:bookmarkEnd w:id="2"/>
    <w:bookmarkEnd w:id="3"/>
    <w:bookmarkEnd w:id="4"/>
    <w:p w14:paraId="29249960">
      <w:pPr>
        <w:pStyle w:val="2"/>
        <w:jc w:val="center"/>
        <w:rPr>
          <w:rFonts w:hint="default" w:ascii="Nimbus Roman No9 L" w:hAnsi="Nimbus Roman No9 L" w:eastAsia="方正小标宋简体" w:cs="Nimbus Roman No9 L"/>
          <w:color w:val="auto"/>
          <w:kern w:val="2"/>
          <w:sz w:val="44"/>
          <w:szCs w:val="44"/>
          <w:highlight w:val="none"/>
          <w:lang w:val="en-US" w:eastAsia="zh-CN" w:bidi="ar-SA"/>
        </w:rPr>
      </w:pPr>
      <w:bookmarkStart w:id="6" w:name="_Toc15396598"/>
      <w:bookmarkStart w:id="7" w:name="_Toc15396476"/>
      <w:bookmarkStart w:id="8" w:name="_Toc15378442"/>
      <w:bookmarkStart w:id="9" w:name="_Toc15377194"/>
      <w:bookmarkStart w:id="10" w:name="_Toc15377426"/>
      <w:r>
        <w:rPr>
          <w:rFonts w:hint="default" w:ascii="Nimbus Roman No9 L" w:hAnsi="Nimbus Roman No9 L" w:eastAsia="方正小标宋简体" w:cs="Nimbus Roman No9 L"/>
          <w:color w:val="auto"/>
          <w:kern w:val="2"/>
          <w:sz w:val="44"/>
          <w:szCs w:val="44"/>
          <w:highlight w:val="none"/>
          <w:lang w:val="en-US" w:eastAsia="zh-CN" w:bidi="ar-SA"/>
        </w:rPr>
        <w:t>2025年度四川省</w:t>
      </w:r>
      <w:bookmarkEnd w:id="5"/>
      <w:bookmarkStart w:id="11" w:name="_Toc15306268"/>
      <w:r>
        <w:rPr>
          <w:rFonts w:hint="default" w:ascii="Nimbus Roman No9 L" w:hAnsi="Nimbus Roman No9 L" w:eastAsia="方正小标宋简体" w:cs="Nimbus Roman No9 L"/>
          <w:color w:val="auto"/>
          <w:kern w:val="2"/>
          <w:sz w:val="44"/>
          <w:szCs w:val="44"/>
          <w:highlight w:val="none"/>
          <w:lang w:val="en-US" w:eastAsia="zh-CN" w:bidi="ar-SA"/>
        </w:rPr>
        <w:t>攀枝花市科学技术局</w:t>
      </w:r>
    </w:p>
    <w:p w14:paraId="3F662F05">
      <w:pPr>
        <w:pStyle w:val="2"/>
        <w:jc w:val="center"/>
        <w:rPr>
          <w:rFonts w:hint="default" w:ascii="Nimbus Roman No9 L" w:hAnsi="Nimbus Roman No9 L" w:eastAsia="方正小标宋简体" w:cs="Nimbus Roman No9 L"/>
          <w:color w:val="auto"/>
          <w:kern w:val="2"/>
          <w:sz w:val="44"/>
          <w:szCs w:val="44"/>
          <w:highlight w:val="none"/>
          <w:lang w:val="en-US" w:eastAsia="zh-CN" w:bidi="ar-SA"/>
        </w:rPr>
      </w:pPr>
      <w:r>
        <w:rPr>
          <w:rFonts w:hint="default" w:ascii="Nimbus Roman No9 L" w:hAnsi="Nimbus Roman No9 L" w:eastAsia="方正小标宋简体" w:cs="Nimbus Roman No9 L"/>
          <w:color w:val="auto"/>
          <w:kern w:val="2"/>
          <w:sz w:val="44"/>
          <w:szCs w:val="44"/>
          <w:highlight w:val="none"/>
          <w:lang w:val="en-US" w:eastAsia="zh-CN" w:bidi="ar-SA"/>
        </w:rPr>
        <w:t>单位决算</w:t>
      </w:r>
      <w:bookmarkEnd w:id="6"/>
      <w:bookmarkEnd w:id="7"/>
      <w:bookmarkEnd w:id="8"/>
      <w:bookmarkEnd w:id="9"/>
      <w:bookmarkEnd w:id="10"/>
      <w:bookmarkEnd w:id="11"/>
    </w:p>
    <w:p w14:paraId="2D8BC88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lang w:val="en-US" w:eastAsia="zh-CN"/>
        </w:rPr>
      </w:pPr>
    </w:p>
    <w:p w14:paraId="5C61BE27">
      <w:pPr>
        <w:widowControl/>
        <w:jc w:val="center"/>
        <w:rPr>
          <w:rFonts w:hint="default" w:ascii="Nimbus Roman No9 L" w:hAnsi="Nimbus Roman No9 L" w:eastAsia="黑体" w:cs="Nimbus Roman No9 L"/>
          <w:color w:val="auto"/>
          <w:sz w:val="48"/>
          <w:szCs w:val="48"/>
          <w:highlight w:val="none"/>
        </w:rPr>
        <w:sectPr>
          <w:footerReference r:id="rId7" w:type="first"/>
          <w:footerReference r:id="rId6" w:type="default"/>
          <w:pgSz w:w="11906" w:h="16838"/>
          <w:pgMar w:top="1440" w:right="1800" w:bottom="1440" w:left="1800" w:header="851" w:footer="992" w:gutter="0"/>
          <w:pgNumType w:fmt="decimal"/>
          <w:cols w:space="425" w:num="1"/>
          <w:titlePg/>
          <w:docGrid w:type="lines" w:linePitch="312" w:charSpace="0"/>
        </w:sectPr>
      </w:pPr>
    </w:p>
    <w:p w14:paraId="478983C4">
      <w:pPr>
        <w:widowControl/>
        <w:jc w:val="center"/>
        <w:rPr>
          <w:rFonts w:hint="default" w:ascii="Nimbus Roman No9 L" w:hAnsi="Nimbus Roman No9 L" w:eastAsia="黑体" w:cs="Nimbus Roman No9 L"/>
          <w:color w:val="auto"/>
          <w:sz w:val="48"/>
          <w:szCs w:val="48"/>
          <w:highlight w:val="none"/>
        </w:rPr>
      </w:pPr>
      <w:r>
        <w:rPr>
          <w:rFonts w:hint="default" w:ascii="Nimbus Roman No9 L" w:hAnsi="Nimbus Roman No9 L" w:eastAsia="黑体" w:cs="Nimbus Roman No9 L"/>
          <w:color w:val="auto"/>
          <w:sz w:val="48"/>
          <w:szCs w:val="48"/>
          <w:highlight w:val="none"/>
        </w:rPr>
        <w:t>目录</w:t>
      </w:r>
    </w:p>
    <w:p w14:paraId="3273FCAB">
      <w:pPr>
        <w:widowControl/>
        <w:jc w:val="center"/>
        <w:rPr>
          <w:rFonts w:hint="default" w:ascii="Nimbus Roman No9 L" w:hAnsi="Nimbus Roman No9 L" w:eastAsia="黑体" w:cs="Nimbus Roman No9 L"/>
          <w:color w:val="auto"/>
          <w:sz w:val="28"/>
          <w:szCs w:val="28"/>
          <w:highlight w:val="none"/>
        </w:rPr>
      </w:pPr>
    </w:p>
    <w:p w14:paraId="1E42D344">
      <w:pPr>
        <w:pStyle w:val="13"/>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rPr>
        <w:t>公开时间：20</w:t>
      </w:r>
      <w:r>
        <w:rPr>
          <w:rFonts w:hint="default" w:ascii="Nimbus Roman No9 L" w:hAnsi="Nimbus Roman No9 L" w:eastAsia="仿宋_GB2312" w:cs="Nimbus Roman No9 L"/>
          <w:color w:val="auto"/>
          <w:sz w:val="32"/>
          <w:szCs w:val="32"/>
          <w:highlight w:val="none"/>
          <w:lang w:val="en-US" w:eastAsia="zh-CN"/>
        </w:rPr>
        <w:t>26</w:t>
      </w:r>
      <w:r>
        <w:rPr>
          <w:rFonts w:hint="default" w:ascii="Nimbus Roman No9 L" w:hAnsi="Nimbus Roman No9 L" w:eastAsia="仿宋_GB2312" w:cs="Nimbus Roman No9 L"/>
          <w:color w:val="auto"/>
          <w:sz w:val="32"/>
          <w:szCs w:val="32"/>
          <w:highlight w:val="none"/>
        </w:rPr>
        <w:t>年</w:t>
      </w:r>
      <w:r>
        <w:rPr>
          <w:rFonts w:hint="default" w:ascii="Nimbus Roman No9 L" w:hAnsi="Nimbus Roman No9 L" w:eastAsia="仿宋_GB2312" w:cs="Nimbus Roman No9 L"/>
          <w:color w:val="auto"/>
          <w:sz w:val="32"/>
          <w:szCs w:val="32"/>
          <w:highlight w:val="none"/>
          <w:lang w:val="en-US" w:eastAsia="zh-CN"/>
        </w:rPr>
        <w:t>9</w:t>
      </w:r>
      <w:r>
        <w:rPr>
          <w:rFonts w:hint="default" w:ascii="Nimbus Roman No9 L" w:hAnsi="Nimbus Roman No9 L" w:eastAsia="仿宋_GB2312" w:cs="Nimbus Roman No9 L"/>
          <w:color w:val="auto"/>
          <w:sz w:val="32"/>
          <w:szCs w:val="32"/>
          <w:highlight w:val="none"/>
        </w:rPr>
        <w:t>月</w:t>
      </w:r>
      <w:r>
        <w:rPr>
          <w:rFonts w:hint="default" w:ascii="Nimbus Roman No9 L" w:hAnsi="Nimbus Roman No9 L" w:eastAsia="仿宋_GB2312" w:cs="Nimbus Roman No9 L"/>
          <w:color w:val="auto"/>
          <w:sz w:val="32"/>
          <w:szCs w:val="32"/>
          <w:highlight w:val="none"/>
          <w:lang w:val="en-US" w:eastAsia="zh-CN"/>
        </w:rPr>
        <w:t>14</w:t>
      </w:r>
      <w:bookmarkStart w:id="69" w:name="_GoBack"/>
      <w:bookmarkEnd w:id="69"/>
      <w:r>
        <w:rPr>
          <w:rFonts w:hint="default" w:ascii="Nimbus Roman No9 L" w:hAnsi="Nimbus Roman No9 L" w:eastAsia="仿宋_GB2312" w:cs="Nimbus Roman No9 L"/>
          <w:color w:val="auto"/>
          <w:sz w:val="32"/>
          <w:szCs w:val="32"/>
          <w:highlight w:val="none"/>
        </w:rPr>
        <w:t>日</w:t>
      </w:r>
    </w:p>
    <w:p w14:paraId="625A7FCE">
      <w:pPr>
        <w:rPr>
          <w:rFonts w:hint="default" w:ascii="Nimbus Roman No9 L" w:hAnsi="Nimbus Roman No9 L" w:cs="Nimbus Roman No9 L"/>
          <w:color w:val="auto"/>
          <w:highlight w:val="none"/>
        </w:rPr>
      </w:pPr>
    </w:p>
    <w:p w14:paraId="3A4A4AAB">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黑体"/>
          <w:color w:val="auto"/>
          <w:sz w:val="32"/>
          <w:szCs w:val="32"/>
          <w:highlight w:val="none"/>
          <w:lang w:val="en-US" w:eastAsia="zh-CN"/>
        </w:rPr>
        <w:t>...................................................................5</w:t>
      </w:r>
    </w:p>
    <w:p w14:paraId="42EEBB8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.....................................................................5</w:t>
      </w:r>
    </w:p>
    <w:p w14:paraId="58D5C1B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.....................................................................7</w:t>
      </w:r>
    </w:p>
    <w:p w14:paraId="305E5767">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w:t>
      </w:r>
      <w:r>
        <w:rPr>
          <w:rFonts w:hint="default" w:ascii="Times New Roman" w:hAnsi="Times New Roman" w:eastAsia="黑体" w:cs="黑体"/>
          <w:color w:val="auto"/>
          <w:sz w:val="32"/>
          <w:szCs w:val="32"/>
          <w:highlight w:val="none"/>
          <w:lang w:val="en-US" w:eastAsia="zh-CN"/>
        </w:rPr>
        <w:t>5</w:t>
      </w:r>
      <w:r>
        <w:rPr>
          <w:rFonts w:hint="eastAsia" w:ascii="Times New Roman" w:hAnsi="Times New Roman" w:eastAsia="黑体" w:cs="黑体"/>
          <w:color w:val="auto"/>
          <w:sz w:val="32"/>
          <w:szCs w:val="32"/>
          <w:highlight w:val="none"/>
          <w:lang w:val="en-US" w:eastAsia="zh-CN"/>
        </w:rPr>
        <w:t>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sz w:val="32"/>
          <w:szCs w:val="32"/>
          <w:highlight w:val="none"/>
          <w:lang w:val="en-US" w:eastAsia="zh-CN"/>
        </w:rPr>
        <w:t>..................................8</w:t>
      </w:r>
    </w:p>
    <w:p w14:paraId="585325A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.....................................8</w:t>
      </w:r>
    </w:p>
    <w:p w14:paraId="4FE1D53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.....................................................8</w:t>
      </w:r>
    </w:p>
    <w:p w14:paraId="2C0B613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.....................................................9</w:t>
      </w:r>
    </w:p>
    <w:p w14:paraId="710416C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.....................10</w:t>
      </w:r>
    </w:p>
    <w:p w14:paraId="603386A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.............10</w:t>
      </w:r>
    </w:p>
    <w:p w14:paraId="606C508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...13</w:t>
      </w:r>
    </w:p>
    <w:p w14:paraId="20F93EE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...........13</w:t>
      </w:r>
    </w:p>
    <w:p w14:paraId="30CBD17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.......................16</w:t>
      </w:r>
    </w:p>
    <w:p w14:paraId="2E50B8A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...................16</w:t>
      </w:r>
    </w:p>
    <w:p w14:paraId="202D490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.......................................16</w:t>
      </w:r>
    </w:p>
    <w:p w14:paraId="494FE627">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.................................................................18</w:t>
      </w:r>
    </w:p>
    <w:p w14:paraId="4A705B8E">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.........................................................................21</w:t>
      </w:r>
    </w:p>
    <w:p w14:paraId="41338B74">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lang w:val="en-US" w:eastAsia="zh-CN"/>
        </w:rPr>
        <w:t>.........................................................................22</w:t>
      </w:r>
    </w:p>
    <w:p w14:paraId="07CF9B4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一、收入支出决算总表</w:t>
      </w:r>
      <w:r>
        <w:rPr>
          <w:rFonts w:hint="eastAsia" w:ascii="Times New Roman" w:hAnsi="Times New Roman" w:eastAsia="黑体" w:cs="黑体"/>
          <w:color w:val="auto"/>
          <w:sz w:val="32"/>
          <w:szCs w:val="32"/>
          <w:highlight w:val="none"/>
          <w:lang w:val="en-US" w:eastAsia="zh-CN"/>
        </w:rPr>
        <w:t>............................</w:t>
      </w:r>
      <w:r>
        <w:rPr>
          <w:rFonts w:hint="eastAsia" w:eastAsia="黑体" w:cs="黑体"/>
          <w:color w:val="auto"/>
          <w:sz w:val="32"/>
          <w:szCs w:val="32"/>
          <w:highlight w:val="none"/>
          <w:lang w:val="en-US" w:eastAsia="zh-CN"/>
        </w:rPr>
        <w:t>...........</w:t>
      </w:r>
      <w:r>
        <w:rPr>
          <w:rFonts w:hint="eastAsia" w:ascii="Times New Roman" w:hAnsi="Times New Roman" w:eastAsia="黑体" w:cs="黑体"/>
          <w:color w:val="auto"/>
          <w:sz w:val="32"/>
          <w:szCs w:val="32"/>
          <w:highlight w:val="none"/>
          <w:lang w:val="en-US" w:eastAsia="zh-CN"/>
        </w:rPr>
        <w:t>............</w:t>
      </w:r>
      <w:r>
        <w:rPr>
          <w:rFonts w:hint="eastAsia" w:eastAsia="黑体" w:cs="黑体"/>
          <w:color w:val="auto"/>
          <w:sz w:val="32"/>
          <w:szCs w:val="32"/>
          <w:highlight w:val="none"/>
          <w:lang w:val="en-US" w:eastAsia="zh-CN"/>
        </w:rPr>
        <w:t>22</w:t>
      </w:r>
    </w:p>
    <w:p w14:paraId="1AA4583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二、收入决算表</w:t>
      </w:r>
      <w:r>
        <w:rPr>
          <w:rFonts w:hint="eastAsia" w:ascii="Times New Roman" w:hAnsi="Times New Roman" w:eastAsia="黑体" w:cs="黑体"/>
          <w:color w:val="auto"/>
          <w:sz w:val="32"/>
          <w:szCs w:val="32"/>
          <w:highlight w:val="none"/>
          <w:lang w:val="en-US" w:eastAsia="zh-CN"/>
        </w:rPr>
        <w:t>..................................</w:t>
      </w:r>
      <w:r>
        <w:rPr>
          <w:rFonts w:hint="eastAsia" w:eastAsia="黑体" w:cs="黑体"/>
          <w:color w:val="auto"/>
          <w:sz w:val="32"/>
          <w:szCs w:val="32"/>
          <w:highlight w:val="none"/>
          <w:lang w:val="en-US" w:eastAsia="zh-CN"/>
        </w:rPr>
        <w:t>........................</w:t>
      </w:r>
      <w:r>
        <w:rPr>
          <w:rFonts w:hint="eastAsia" w:ascii="Times New Roman" w:hAnsi="Times New Roman" w:eastAsia="黑体" w:cs="黑体"/>
          <w:color w:val="auto"/>
          <w:sz w:val="32"/>
          <w:szCs w:val="32"/>
          <w:highlight w:val="none"/>
          <w:lang w:val="en-US" w:eastAsia="zh-CN"/>
        </w:rPr>
        <w:t>.....</w:t>
      </w:r>
      <w:r>
        <w:rPr>
          <w:rFonts w:hint="eastAsia" w:eastAsia="黑体" w:cs="黑体"/>
          <w:color w:val="auto"/>
          <w:sz w:val="32"/>
          <w:szCs w:val="32"/>
          <w:highlight w:val="none"/>
          <w:lang w:val="en-US" w:eastAsia="zh-CN"/>
        </w:rPr>
        <w:t>22</w:t>
      </w:r>
    </w:p>
    <w:p w14:paraId="4B8B7B6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三、支出决算表</w:t>
      </w:r>
      <w:r>
        <w:rPr>
          <w:rFonts w:hint="eastAsia" w:eastAsia="仿宋_GB2312" w:cs="仿宋_GB2312"/>
          <w:color w:val="auto"/>
          <w:sz w:val="32"/>
          <w:szCs w:val="32"/>
          <w:highlight w:val="none"/>
          <w:lang w:val="en-US" w:eastAsia="zh-CN"/>
        </w:rPr>
        <w:t>...............................................................22</w:t>
      </w:r>
    </w:p>
    <w:p w14:paraId="5BE36B2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四、财政拨款收入支出决算总表</w:t>
      </w:r>
      <w:r>
        <w:rPr>
          <w:rFonts w:hint="eastAsia" w:eastAsia="仿宋_GB2312" w:cs="仿宋_GB2312"/>
          <w:color w:val="auto"/>
          <w:sz w:val="32"/>
          <w:szCs w:val="32"/>
          <w:highlight w:val="none"/>
          <w:lang w:val="en-US" w:eastAsia="zh-CN"/>
        </w:rPr>
        <w:t>................................22</w:t>
      </w:r>
    </w:p>
    <w:p w14:paraId="2EE5EB9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五、财政拨款支出决算明细表</w:t>
      </w:r>
      <w:r>
        <w:rPr>
          <w:rFonts w:hint="eastAsia" w:eastAsia="仿宋_GB2312" w:cs="仿宋_GB2312"/>
          <w:color w:val="auto"/>
          <w:sz w:val="32"/>
          <w:szCs w:val="32"/>
          <w:highlight w:val="none"/>
          <w:lang w:val="en-US" w:eastAsia="zh-CN"/>
        </w:rPr>
        <w:t>....................................22</w:t>
      </w:r>
    </w:p>
    <w:p w14:paraId="56E0615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六、一般公共预算财政拨款支出决算表</w:t>
      </w:r>
      <w:r>
        <w:rPr>
          <w:rFonts w:hint="eastAsia" w:eastAsia="仿宋_GB2312" w:cs="仿宋_GB2312"/>
          <w:color w:val="auto"/>
          <w:sz w:val="32"/>
          <w:szCs w:val="32"/>
          <w:highlight w:val="none"/>
          <w:lang w:val="en-US" w:eastAsia="zh-CN"/>
        </w:rPr>
        <w:t>....................22</w:t>
      </w:r>
    </w:p>
    <w:p w14:paraId="68CEEEA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eastAsia="仿宋_GB2312" w:cs="仿宋_GB2312"/>
          <w:color w:val="auto"/>
          <w:sz w:val="32"/>
          <w:szCs w:val="32"/>
          <w:highlight w:val="none"/>
          <w:lang w:val="en-US" w:eastAsia="zh-CN"/>
        </w:rPr>
        <w:t>............22</w:t>
      </w:r>
    </w:p>
    <w:p w14:paraId="17FDE71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eastAsia="仿宋_GB2312" w:cs="仿宋_GB2312"/>
          <w:color w:val="auto"/>
          <w:sz w:val="32"/>
          <w:szCs w:val="32"/>
          <w:highlight w:val="none"/>
          <w:lang w:val="en-US" w:eastAsia="zh-CN"/>
        </w:rPr>
        <w:t>....22</w:t>
      </w:r>
    </w:p>
    <w:p w14:paraId="6B4EE8D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eastAsia="仿宋_GB2312" w:cs="仿宋_GB2312"/>
          <w:color w:val="auto"/>
          <w:sz w:val="32"/>
          <w:szCs w:val="32"/>
          <w:highlight w:val="none"/>
          <w:lang w:val="en-US" w:eastAsia="zh-CN"/>
        </w:rPr>
        <w:t>............22</w:t>
      </w:r>
    </w:p>
    <w:p w14:paraId="7C9FE9C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eastAsia="仿宋_GB2312" w:cs="仿宋_GB2312"/>
          <w:color w:val="auto"/>
          <w:sz w:val="32"/>
          <w:szCs w:val="32"/>
          <w:highlight w:val="none"/>
          <w:lang w:val="en-US" w:eastAsia="zh-CN"/>
        </w:rPr>
        <w:t>........22</w:t>
      </w:r>
    </w:p>
    <w:p w14:paraId="7E69693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eastAsia="仿宋_GB2312" w:cs="仿宋_GB2312"/>
          <w:color w:val="auto"/>
          <w:sz w:val="32"/>
          <w:szCs w:val="32"/>
          <w:highlight w:val="none"/>
          <w:lang w:val="en-US" w:eastAsia="zh-CN"/>
        </w:rPr>
        <w:t>.22</w:t>
      </w:r>
    </w:p>
    <w:p w14:paraId="285E402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eastAsia="仿宋_GB2312" w:cs="仿宋_GB2312"/>
          <w:color w:val="auto"/>
          <w:sz w:val="32"/>
          <w:szCs w:val="32"/>
          <w:highlight w:val="none"/>
          <w:lang w:val="en-US" w:eastAsia="zh-CN"/>
        </w:rPr>
        <w:t>........22</w:t>
      </w:r>
    </w:p>
    <w:p w14:paraId="2C8BC93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十三、财政拨款“三公”经费支出决算表</w:t>
      </w:r>
      <w:r>
        <w:rPr>
          <w:rFonts w:hint="eastAsia" w:eastAsia="仿宋_GB2312" w:cs="仿宋_GB2312"/>
          <w:color w:val="auto"/>
          <w:sz w:val="32"/>
          <w:szCs w:val="32"/>
          <w:highlight w:val="none"/>
          <w:lang w:val="en-US" w:eastAsia="zh-CN"/>
        </w:rPr>
        <w:t>................22</w:t>
      </w:r>
    </w:p>
    <w:p w14:paraId="7C13E1A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default" w:ascii="Nimbus Roman No9 L" w:hAnsi="Nimbus Roman No9 L" w:eastAsia="仿宋_GB2312" w:cs="Nimbus Roman No9 L"/>
          <w:b/>
          <w:bCs/>
          <w:color w:val="auto"/>
          <w:sz w:val="32"/>
          <w:szCs w:val="32"/>
          <w:highlight w:val="none"/>
          <w:lang w:eastAsia="zh-CN"/>
        </w:rPr>
      </w:pPr>
    </w:p>
    <w:p w14:paraId="6D449AA4">
      <w:pPr>
        <w:keepNext w:val="0"/>
        <w:keepLines w:val="0"/>
        <w:pageBreakBefore w:val="0"/>
        <w:widowControl/>
        <w:kinsoku/>
        <w:wordWrap/>
        <w:overflowPunct/>
        <w:topLinePunct w:val="0"/>
        <w:autoSpaceDE/>
        <w:autoSpaceDN/>
        <w:bidi w:val="0"/>
        <w:spacing w:line="560" w:lineRule="exact"/>
        <w:jc w:val="left"/>
        <w:textAlignment w:val="auto"/>
        <w:rPr>
          <w:rFonts w:hint="default" w:ascii="Nimbus Roman No9 L" w:hAnsi="Nimbus Roman No9 L" w:eastAsia="仿宋_GB2312" w:cs="Nimbus Roman No9 L"/>
          <w:bCs/>
          <w:color w:val="auto"/>
          <w:kern w:val="44"/>
          <w:sz w:val="32"/>
          <w:szCs w:val="32"/>
          <w:highlight w:val="none"/>
        </w:rPr>
      </w:pPr>
      <w:bookmarkStart w:id="12" w:name="_Toc15396599"/>
      <w:bookmarkStart w:id="13" w:name="_Toc15377196"/>
      <w:r>
        <w:rPr>
          <w:rFonts w:hint="default" w:ascii="Nimbus Roman No9 L" w:hAnsi="Nimbus Roman No9 L" w:eastAsia="仿宋_GB2312" w:cs="Nimbus Roman No9 L"/>
          <w:b/>
          <w:color w:val="auto"/>
          <w:sz w:val="32"/>
          <w:szCs w:val="32"/>
          <w:highlight w:val="none"/>
        </w:rPr>
        <w:br w:type="page"/>
      </w:r>
    </w:p>
    <w:p w14:paraId="15B4D7C4">
      <w:pPr>
        <w:pStyle w:val="4"/>
        <w:jc w:val="center"/>
        <w:rPr>
          <w:rStyle w:val="30"/>
          <w:rFonts w:hint="default" w:ascii="Nimbus Roman No9 L" w:hAnsi="Nimbus Roman No9 L" w:eastAsia="方正小标宋简体" w:cs="Nimbus Roman No9 L"/>
          <w:b/>
          <w:bCs w:val="0"/>
          <w:color w:val="auto"/>
          <w:highlight w:val="none"/>
        </w:rPr>
      </w:pPr>
      <w:r>
        <w:rPr>
          <w:rFonts w:hint="default" w:ascii="Nimbus Roman No9 L" w:hAnsi="Nimbus Roman No9 L" w:eastAsia="方正小标宋简体" w:cs="Nimbus Roman No9 L"/>
          <w:b w:val="0"/>
          <w:color w:val="auto"/>
          <w:highlight w:val="none"/>
        </w:rPr>
        <w:t>第一部分</w:t>
      </w:r>
      <w:r>
        <w:rPr>
          <w:rFonts w:hint="default" w:ascii="Nimbus Roman No9 L" w:hAnsi="Nimbus Roman No9 L" w:eastAsia="方正小标宋简体" w:cs="Nimbus Roman No9 L"/>
          <w:b w:val="0"/>
          <w:color w:val="auto"/>
          <w:highlight w:val="none"/>
          <w:lang w:val="en-US" w:eastAsia="zh-CN"/>
        </w:rPr>
        <w:t xml:space="preserve"> </w:t>
      </w:r>
      <w:r>
        <w:rPr>
          <w:rFonts w:hint="default" w:ascii="Nimbus Roman No9 L" w:hAnsi="Nimbus Roman No9 L" w:eastAsia="方正小标宋简体" w:cs="Nimbus Roman No9 L"/>
          <w:b w:val="0"/>
          <w:color w:val="auto"/>
          <w:highlight w:val="none"/>
        </w:rPr>
        <w:t xml:space="preserve"> </w:t>
      </w:r>
      <w:r>
        <w:rPr>
          <w:rStyle w:val="30"/>
          <w:rFonts w:hint="default" w:ascii="Nimbus Roman No9 L" w:hAnsi="Nimbus Roman No9 L" w:eastAsia="方正小标宋简体" w:cs="Nimbus Roman No9 L"/>
          <w:b w:val="0"/>
          <w:bCs w:val="0"/>
          <w:color w:val="auto"/>
          <w:highlight w:val="none"/>
        </w:rPr>
        <w:t>部门概况</w:t>
      </w:r>
      <w:bookmarkEnd w:id="12"/>
      <w:bookmarkEnd w:id="13"/>
    </w:p>
    <w:p w14:paraId="4A9039AA">
      <w:pPr>
        <w:widowControl/>
        <w:jc w:val="left"/>
        <w:rPr>
          <w:rFonts w:hint="default" w:ascii="Nimbus Roman No9 L" w:hAnsi="Nimbus Roman No9 L" w:eastAsia="黑体" w:cs="Nimbus Roman No9 L"/>
          <w:color w:val="auto"/>
          <w:sz w:val="32"/>
          <w:szCs w:val="32"/>
          <w:highlight w:val="none"/>
        </w:rPr>
      </w:pPr>
    </w:p>
    <w:p w14:paraId="366638E4">
      <w:pPr>
        <w:pStyle w:val="5"/>
        <w:keepNext/>
        <w:keepLines/>
        <w:pageBreakBefore w:val="0"/>
        <w:widowControl w:val="0"/>
        <w:kinsoku/>
        <w:wordWrap/>
        <w:overflowPunct/>
        <w:topLinePunct w:val="0"/>
        <w:autoSpaceDE/>
        <w:autoSpaceDN/>
        <w:bidi w:val="0"/>
        <w:adjustRightInd/>
        <w:snapToGrid/>
        <w:spacing w:before="0" w:after="0" w:line="416" w:lineRule="auto"/>
        <w:textAlignment w:val="auto"/>
        <w:rPr>
          <w:rFonts w:hint="default" w:ascii="Nimbus Roman No9 L" w:hAnsi="Nimbus Roman No9 L" w:eastAsia="黑体" w:cs="Nimbus Roman No9 L"/>
          <w:b w:val="0"/>
          <w:color w:val="auto"/>
          <w:highlight w:val="none"/>
          <w:lang w:eastAsia="zh-CN"/>
        </w:rPr>
      </w:pPr>
      <w:bookmarkStart w:id="14" w:name="_Toc15396600"/>
      <w:bookmarkStart w:id="15" w:name="_Toc15377197"/>
      <w:r>
        <w:rPr>
          <w:rFonts w:hint="default" w:ascii="Nimbus Roman No9 L" w:hAnsi="Nimbus Roman No9 L" w:eastAsia="黑体" w:cs="Nimbus Roman No9 L"/>
          <w:b w:val="0"/>
          <w:color w:val="auto"/>
          <w:highlight w:val="none"/>
        </w:rPr>
        <w:t>一、</w:t>
      </w:r>
      <w:bookmarkEnd w:id="14"/>
      <w:bookmarkEnd w:id="15"/>
      <w:r>
        <w:rPr>
          <w:rFonts w:hint="default" w:ascii="Nimbus Roman No9 L" w:hAnsi="Nimbus Roman No9 L" w:eastAsia="黑体" w:cs="Nimbus Roman No9 L"/>
          <w:b w:val="0"/>
          <w:color w:val="auto"/>
          <w:highlight w:val="none"/>
          <w:lang w:eastAsia="zh-CN"/>
        </w:rPr>
        <w:t>部门职责</w:t>
      </w:r>
    </w:p>
    <w:p w14:paraId="1945ACDD">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 xml:space="preserve">1.拟订全市创新驱动发展战略以及科技发展、引进国外智力规划和政策措施并组织实施。起草有关科技发展的政策措施并组织实施。 </w:t>
      </w:r>
    </w:p>
    <w:p w14:paraId="29EF7A68">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 xml:space="preserve">2.统筹推进全市科技创新体系建设和科技体制改革，会同有关部门健全技术创新激励机制。优化科研体系建设，指导科研机构改革发展，推动企业科技创新能力建设，承担推进科技军民融合发展相关工作，推进全市重大科技决策咨询制度建设。组织拟订全市推进创新创业、促进科技金融结合、科技招商的政策措施并组织实施。 </w:t>
      </w:r>
    </w:p>
    <w:p w14:paraId="339BDD9B">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 xml:space="preserve">3.牵头建立全市科研项目资金协调、实施、评估、监管机制。会同有关部门提出优化配置科技资源的政策措施建议，推动多元化科技投入体系建设。组织拟订市级财政科技计划（专项、基金）并监督和实施。负责本部门预算中的科技经费预决算及经费使用的监督管理。 </w:t>
      </w:r>
    </w:p>
    <w:p w14:paraId="0A66C9D3">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 xml:space="preserve">4.组织协调全市重大基础研究和应用基础研究。拟订科技创新基地建设规划并监督实施，参与编制重大科技基础设施建设规划和监督实施。牵头推进在攀的国家、省（部）重点实验室、技术创新中心等重大科研平台建设，推动科研条件保障建设和科技资源开放共享。 </w:t>
      </w:r>
    </w:p>
    <w:p w14:paraId="73BC4EA6">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 xml:space="preserve">5.拟订推进攀西国家战略资源创新开发试验区建设发展的科技支撑计划并组织实施。编制全市重大科技专项方案并组织实施。统筹经济社会发展重要领域的关键共性技术、前沿引领技术、现代工程技术、颠覆性计划的研发和创新，牵头组织重大科技攻关和成果应用示范。组织开展重点领域技术发展需求分析，提出重大科技发展建议并组织实施。负责组织国家、省科学技术奖等科技评奖的申报、审核、推荐工作。 </w:t>
      </w:r>
    </w:p>
    <w:p w14:paraId="6A89484C">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 xml:space="preserve">6.组织拟订高新技术发展及产业化的规划和政策措施并组织实施。指导高新技术企业、创新型企业申报和创新平台建设，负责市级创新平台认定管理工作。组织开展科技型中小企业评价的初审工作。 </w:t>
      </w:r>
    </w:p>
    <w:p w14:paraId="05707D9E">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 xml:space="preserve">7.组织拟订科技促进农业农村和社会发展的规划、政策和措施，指导现代农业示范基地建设，推进科技服务民生工作。拟订科学普及和科学传播规划，政策措施并组织实施。 </w:t>
      </w:r>
    </w:p>
    <w:p w14:paraId="5445E39C">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 xml:space="preserve">8.牵头全市技术转移体系建设，拟订科技成果转移转化和促进产学研结合的相关政策措施并组织实施。指导科技服务业、技术市场和科技中介组织发展。 </w:t>
      </w:r>
    </w:p>
    <w:p w14:paraId="2C2F123A">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 xml:space="preserve">9.统筹区域科技创新体系建设，指导区域创新发展、科技资源合理布局和协同创新能力建设，推动高新技术园区建设。 </w:t>
      </w:r>
    </w:p>
    <w:p w14:paraId="0DA4D020">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 xml:space="preserve">10.会同有关部门拟订科技人才队伍建设规划和政策，建立健全科技人才评价和激励机制，组织实施科技人才计划，推动高端科技创新人才队伍建设。 </w:t>
      </w:r>
    </w:p>
    <w:p w14:paraId="1F7DFAE0">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 xml:space="preserve">11.负责科技监督评价体系建设和相关科技评估管理，指导科技评价机制改革，统筹科研诚信建设。组织实施全市创新调查和科技报告制度，指导全市科技保密相关工作。 </w:t>
      </w:r>
    </w:p>
    <w:p w14:paraId="246A63D8">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 xml:space="preserve">12.拟订科技对外交流与创新能力开放合作的规划和政策措施，组织开展对外科技合作与科技人才交流。指导县（区）和相关部门对外科技合作与科技人才交流工作。负责有关科技博览展会参展推广的组织协调工作。 </w:t>
      </w:r>
    </w:p>
    <w:p w14:paraId="27A1DB36">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 xml:space="preserve">13.负责引进国外智力工作。拟订全市重点引进外国专家总体规划、计划并组织实施，建立外国顶尖专家、团队吸引集聚机制和重点外国专家联系服务机制。拟订出国（境）培训总体规划、政策和年度计划并监督实施。会同有关部门制定外国人来攀工作政策、办理相关外国人工作许可。 </w:t>
      </w:r>
    </w:p>
    <w:p w14:paraId="2799ADD5">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rPr>
        <w:t xml:space="preserve">14.负责职责范围内的安全生产和职业健康、生态环境保护、审批服务便民化等工作。 </w:t>
      </w:r>
    </w:p>
    <w:p w14:paraId="26AD00A9">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cs="Nimbus Roman No9 L"/>
          <w:lang w:eastAsia="zh-CN"/>
        </w:rPr>
      </w:pPr>
      <w:r>
        <w:rPr>
          <w:rFonts w:hint="default" w:ascii="Nimbus Roman No9 L" w:hAnsi="Nimbus Roman No9 L" w:eastAsia="仿宋_GB2312" w:cs="Nimbus Roman No9 L"/>
          <w:sz w:val="32"/>
          <w:szCs w:val="32"/>
        </w:rPr>
        <w:t>15.完成市委、市政府交办的其他任务。</w:t>
      </w:r>
    </w:p>
    <w:p w14:paraId="1F0A5678">
      <w:pPr>
        <w:rPr>
          <w:rFonts w:hint="default" w:ascii="Nimbus Roman No9 L" w:hAnsi="Nimbus Roman No9 L" w:cs="Nimbus Roman No9 L"/>
          <w:lang w:eastAsia="zh-CN"/>
        </w:rPr>
      </w:pPr>
    </w:p>
    <w:p w14:paraId="517A93B0">
      <w:pPr>
        <w:pStyle w:val="5"/>
        <w:keepNext/>
        <w:keepLines/>
        <w:pageBreakBefore w:val="0"/>
        <w:widowControl w:val="0"/>
        <w:kinsoku/>
        <w:wordWrap/>
        <w:overflowPunct/>
        <w:topLinePunct w:val="0"/>
        <w:autoSpaceDE/>
        <w:autoSpaceDN/>
        <w:bidi w:val="0"/>
        <w:adjustRightInd/>
        <w:snapToGrid/>
        <w:spacing w:before="0" w:after="0" w:line="416" w:lineRule="auto"/>
        <w:textAlignment w:val="auto"/>
        <w:rPr>
          <w:rStyle w:val="31"/>
          <w:rFonts w:hint="default" w:ascii="Nimbus Roman No9 L" w:hAnsi="Nimbus Roman No9 L" w:cs="Nimbus Roman No9 L"/>
          <w:b w:val="0"/>
          <w:bCs w:val="0"/>
          <w:color w:val="auto"/>
          <w:highlight w:val="none"/>
        </w:rPr>
      </w:pPr>
      <w:bookmarkStart w:id="16" w:name="_Toc15396601"/>
      <w:bookmarkStart w:id="17" w:name="_Toc15377200"/>
      <w:r>
        <w:rPr>
          <w:rFonts w:hint="default" w:ascii="Nimbus Roman No9 L" w:hAnsi="Nimbus Roman No9 L" w:eastAsia="黑体" w:cs="Nimbus Roman No9 L"/>
          <w:b w:val="0"/>
          <w:color w:val="auto"/>
          <w:highlight w:val="none"/>
        </w:rPr>
        <w:t>二、机</w:t>
      </w:r>
      <w:r>
        <w:rPr>
          <w:rStyle w:val="31"/>
          <w:rFonts w:hint="default" w:ascii="Nimbus Roman No9 L" w:hAnsi="Nimbus Roman No9 L" w:eastAsia="黑体" w:cs="Nimbus Roman No9 L"/>
          <w:b w:val="0"/>
          <w:bCs w:val="0"/>
          <w:color w:val="auto"/>
          <w:highlight w:val="none"/>
        </w:rPr>
        <w:t>构设置</w:t>
      </w:r>
      <w:bookmarkEnd w:id="16"/>
      <w:bookmarkEnd w:id="17"/>
    </w:p>
    <w:p w14:paraId="1FF194AF">
      <w:pPr>
        <w:pageBreakBefore w:val="0"/>
        <w:widowControl/>
        <w:kinsoku/>
        <w:wordWrap/>
        <w:overflowPunct/>
        <w:topLinePunct w:val="0"/>
        <w:autoSpaceDE/>
        <w:autoSpaceDN/>
        <w:bidi w:val="0"/>
        <w:adjustRightInd w:val="0"/>
        <w:snapToGrid/>
        <w:spacing w:line="560" w:lineRule="exact"/>
        <w:ind w:firstLine="640" w:firstLineChars="200"/>
        <w:jc w:val="left"/>
        <w:textAlignment w:val="auto"/>
        <w:rPr>
          <w:rFonts w:hint="default" w:ascii="Nimbus Roman No9 L" w:hAnsi="Nimbus Roman No9 L" w:eastAsia="仿宋_GB2312" w:cs="Nimbus Roman No9 L"/>
          <w:sz w:val="32"/>
          <w:szCs w:val="32"/>
          <w:lang w:eastAsia="zh-CN"/>
        </w:rPr>
      </w:pPr>
      <w:r>
        <w:rPr>
          <w:rFonts w:hint="default" w:ascii="Nimbus Roman No9 L" w:hAnsi="Nimbus Roman No9 L" w:eastAsia="仿宋_GB2312" w:cs="Nimbus Roman No9 L"/>
          <w:sz w:val="32"/>
          <w:szCs w:val="32"/>
          <w:lang w:val="en-US" w:eastAsia="zh-CN"/>
        </w:rPr>
        <w:t>攀枝花市科学技术局（以下简称市科技局）属独立核算行政单位，单位行政编制20人，行政工勤编制5人，2025年底实有在职职工人数23人，离退休职工31人。市</w:t>
      </w:r>
      <w:r>
        <w:rPr>
          <w:rFonts w:hint="default" w:ascii="Nimbus Roman No9 L" w:hAnsi="Nimbus Roman No9 L" w:eastAsia="仿宋_GB2312" w:cs="Nimbus Roman No9 L"/>
          <w:sz w:val="32"/>
          <w:szCs w:val="32"/>
          <w:lang w:val="en-US"/>
        </w:rPr>
        <w:t>科技局</w:t>
      </w:r>
      <w:r>
        <w:rPr>
          <w:rFonts w:hint="default" w:ascii="Nimbus Roman No9 L" w:hAnsi="Nimbus Roman No9 L" w:eastAsia="仿宋_GB2312" w:cs="Nimbus Roman No9 L"/>
          <w:sz w:val="32"/>
          <w:szCs w:val="32"/>
        </w:rPr>
        <w:t>内设办公室、资源配置与政策法规科、创新体系建设与科技人才科（外国专家服务科）、产业科技促进科、农村与社会发展科技科、成果转化与交流合作科（科技金融科）、人事科</w:t>
      </w:r>
      <w:r>
        <w:rPr>
          <w:rFonts w:hint="default" w:ascii="Nimbus Roman No9 L" w:hAnsi="Nimbus Roman No9 L" w:eastAsia="仿宋_GB2312" w:cs="Nimbus Roman No9 L"/>
          <w:sz w:val="32"/>
          <w:szCs w:val="32"/>
          <w:lang w:val="en-US"/>
        </w:rPr>
        <w:t>7个职能机构</w:t>
      </w:r>
      <w:r>
        <w:rPr>
          <w:rFonts w:hint="default" w:ascii="Nimbus Roman No9 L" w:hAnsi="Nimbus Roman No9 L" w:eastAsia="仿宋_GB2312" w:cs="Nimbus Roman No9 L"/>
          <w:sz w:val="32"/>
          <w:szCs w:val="32"/>
          <w:lang w:val="en-US" w:eastAsia="zh-CN"/>
        </w:rPr>
        <w:t>。</w:t>
      </w:r>
    </w:p>
    <w:p w14:paraId="1107E407">
      <w:pPr>
        <w:widowControl/>
        <w:jc w:val="left"/>
        <w:rPr>
          <w:rFonts w:hint="default" w:ascii="Nimbus Roman No9 L" w:hAnsi="Nimbus Roman No9 L" w:eastAsia="仿宋" w:cs="Nimbus Roman No9 L"/>
          <w:color w:val="auto"/>
          <w:kern w:val="0"/>
          <w:sz w:val="32"/>
          <w:szCs w:val="32"/>
          <w:highlight w:val="none"/>
        </w:rPr>
      </w:pPr>
      <w:r>
        <w:rPr>
          <w:rFonts w:hint="default" w:ascii="Nimbus Roman No9 L" w:hAnsi="Nimbus Roman No9 L" w:eastAsia="仿宋" w:cs="Nimbus Roman No9 L"/>
          <w:color w:val="auto"/>
          <w:sz w:val="32"/>
          <w:szCs w:val="32"/>
          <w:highlight w:val="none"/>
        </w:rPr>
        <w:br w:type="page"/>
      </w:r>
    </w:p>
    <w:p w14:paraId="30297AC9">
      <w:pPr>
        <w:pStyle w:val="4"/>
        <w:jc w:val="center"/>
        <w:rPr>
          <w:rFonts w:hint="default" w:ascii="Nimbus Roman No9 L" w:hAnsi="Nimbus Roman No9 L" w:eastAsia="方正小标宋简体" w:cs="Nimbus Roman No9 L"/>
          <w:b w:val="0"/>
          <w:color w:val="auto"/>
          <w:highlight w:val="none"/>
        </w:rPr>
      </w:pPr>
      <w:bookmarkStart w:id="18" w:name="_Toc15377204"/>
      <w:bookmarkStart w:id="19" w:name="_Toc15396602"/>
      <w:r>
        <w:rPr>
          <w:rFonts w:hint="default" w:ascii="Nimbus Roman No9 L" w:hAnsi="Nimbus Roman No9 L" w:eastAsia="方正小标宋简体" w:cs="Nimbus Roman No9 L"/>
          <w:b w:val="0"/>
          <w:color w:val="auto"/>
          <w:highlight w:val="none"/>
        </w:rPr>
        <w:t>第二部分</w:t>
      </w:r>
      <w:r>
        <w:rPr>
          <w:rFonts w:hint="default" w:ascii="Nimbus Roman No9 L" w:hAnsi="Nimbus Roman No9 L" w:eastAsia="方正小标宋简体" w:cs="Nimbus Roman No9 L"/>
          <w:b w:val="0"/>
          <w:color w:val="auto"/>
          <w:highlight w:val="none"/>
          <w:lang w:val="en-US" w:eastAsia="zh-CN"/>
        </w:rPr>
        <w:t xml:space="preserve"> </w:t>
      </w:r>
      <w:r>
        <w:rPr>
          <w:rFonts w:hint="default" w:ascii="Nimbus Roman No9 L" w:hAnsi="Nimbus Roman No9 L" w:eastAsia="方正小标宋简体" w:cs="Nimbus Roman No9 L"/>
          <w:b w:val="0"/>
          <w:color w:val="auto"/>
          <w:highlight w:val="none"/>
        </w:rPr>
        <w:t xml:space="preserve"> </w:t>
      </w:r>
      <w:r>
        <w:rPr>
          <w:rFonts w:hint="default" w:ascii="Nimbus Roman No9 L" w:hAnsi="Nimbus Roman No9 L" w:eastAsia="方正小标宋简体" w:cs="Nimbus Roman No9 L"/>
          <w:b w:val="0"/>
          <w:color w:val="auto"/>
          <w:highlight w:val="none"/>
          <w:lang w:val="en-US" w:eastAsia="zh-CN"/>
        </w:rPr>
        <w:t>2025年度</w:t>
      </w:r>
      <w:r>
        <w:rPr>
          <w:rFonts w:hint="default" w:ascii="Nimbus Roman No9 L" w:hAnsi="Nimbus Roman No9 L" w:eastAsia="方正小标宋简体" w:cs="Nimbus Roman No9 L"/>
          <w:b w:val="0"/>
          <w:color w:val="auto"/>
          <w:highlight w:val="none"/>
        </w:rPr>
        <w:t>部门决算情况说明</w:t>
      </w:r>
      <w:bookmarkEnd w:id="18"/>
      <w:bookmarkEnd w:id="19"/>
    </w:p>
    <w:p w14:paraId="0DEC5C60">
      <w:pPr>
        <w:rPr>
          <w:rFonts w:hint="default" w:ascii="Nimbus Roman No9 L" w:hAnsi="Nimbus Roman No9 L" w:cs="Nimbus Roman No9 L"/>
          <w:color w:val="auto"/>
          <w:highlight w:val="none"/>
        </w:rPr>
      </w:pPr>
    </w:p>
    <w:p w14:paraId="020F9C32">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default" w:ascii="Nimbus Roman No9 L" w:hAnsi="Nimbus Roman No9 L" w:eastAsia="黑体" w:cs="Nimbus Roman No9 L"/>
          <w:b w:val="0"/>
          <w:color w:val="auto"/>
          <w:highlight w:val="none"/>
        </w:rPr>
      </w:pPr>
      <w:bookmarkStart w:id="20" w:name="_Toc15396603"/>
      <w:bookmarkStart w:id="21" w:name="_Toc15377205"/>
      <w:r>
        <w:rPr>
          <w:rFonts w:hint="default" w:ascii="Nimbus Roman No9 L" w:hAnsi="Nimbus Roman No9 L" w:eastAsia="黑体" w:cs="Nimbus Roman No9 L"/>
          <w:color w:val="auto"/>
          <w:sz w:val="32"/>
          <w:szCs w:val="32"/>
          <w:highlight w:val="none"/>
          <w:lang w:eastAsia="zh-CN"/>
        </w:rPr>
        <w:t>一、</w:t>
      </w:r>
      <w:r>
        <w:rPr>
          <w:rFonts w:hint="default" w:ascii="Nimbus Roman No9 L" w:hAnsi="Nimbus Roman No9 L" w:eastAsia="黑体" w:cs="Nimbus Roman No9 L"/>
          <w:color w:val="auto"/>
          <w:sz w:val="32"/>
          <w:szCs w:val="32"/>
          <w:highlight w:val="none"/>
        </w:rPr>
        <w:t>收</w:t>
      </w:r>
      <w:r>
        <w:rPr>
          <w:rStyle w:val="31"/>
          <w:rFonts w:hint="default" w:ascii="Nimbus Roman No9 L" w:hAnsi="Nimbus Roman No9 L" w:eastAsia="黑体" w:cs="Nimbus Roman No9 L"/>
          <w:b w:val="0"/>
          <w:color w:val="auto"/>
          <w:highlight w:val="none"/>
        </w:rPr>
        <w:t>入支出决算总体情况说明</w:t>
      </w:r>
      <w:bookmarkEnd w:id="20"/>
      <w:bookmarkEnd w:id="21"/>
    </w:p>
    <w:p w14:paraId="3E2182BD">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仿宋_GB2312" w:cs="Nimbus Roman No9 L"/>
          <w:color w:val="auto"/>
          <w:sz w:val="32"/>
          <w:szCs w:val="32"/>
          <w:highlight w:val="none"/>
          <w:lang w:eastAsia="zh-CN"/>
        </w:rPr>
      </w:pPr>
      <w:r>
        <w:rPr>
          <w:rFonts w:hint="default" w:ascii="Nimbus Roman No9 L" w:hAnsi="Nimbus Roman No9 L" w:eastAsia="仿宋_GB2312" w:cs="Nimbus Roman No9 L"/>
          <w:color w:val="auto"/>
          <w:sz w:val="32"/>
          <w:szCs w:val="32"/>
          <w:highlight w:val="none"/>
          <w:lang w:eastAsia="zh-CN"/>
        </w:rPr>
        <w:t>2025年度收入</w:t>
      </w:r>
      <w:r>
        <w:rPr>
          <w:rFonts w:hint="default" w:ascii="Nimbus Roman No9 L" w:hAnsi="Nimbus Roman No9 L" w:eastAsia="仿宋_GB2312" w:cs="Nimbus Roman No9 L"/>
          <w:color w:val="auto"/>
          <w:sz w:val="32"/>
          <w:szCs w:val="32"/>
          <w:highlight w:val="none"/>
        </w:rPr>
        <w:t>、</w:t>
      </w:r>
      <w:r>
        <w:rPr>
          <w:rFonts w:hint="default" w:ascii="Nimbus Roman No9 L" w:hAnsi="Nimbus Roman No9 L" w:eastAsia="仿宋_GB2312" w:cs="Nimbus Roman No9 L"/>
          <w:color w:val="auto"/>
          <w:sz w:val="32"/>
          <w:szCs w:val="32"/>
          <w:highlight w:val="none"/>
          <w:lang w:eastAsia="zh-CN"/>
        </w:rPr>
        <w:t>支出</w:t>
      </w:r>
      <w:r>
        <w:rPr>
          <w:rFonts w:hint="default" w:ascii="Nimbus Roman No9 L" w:hAnsi="Nimbus Roman No9 L" w:eastAsia="仿宋_GB2312" w:cs="Nimbus Roman No9 L"/>
          <w:color w:val="auto"/>
          <w:sz w:val="32"/>
          <w:szCs w:val="32"/>
          <w:highlight w:val="none"/>
        </w:rPr>
        <w:t>总计</w:t>
      </w:r>
      <w:r>
        <w:rPr>
          <w:rFonts w:hint="default" w:ascii="Nimbus Roman No9 L" w:hAnsi="Nimbus Roman No9 L" w:eastAsia="仿宋_GB2312" w:cs="Nimbus Roman No9 L"/>
          <w:color w:val="auto"/>
          <w:sz w:val="32"/>
          <w:szCs w:val="32"/>
          <w:highlight w:val="none"/>
          <w:lang w:eastAsia="zh-CN"/>
        </w:rPr>
        <w:t>均为</w:t>
      </w:r>
      <w:r>
        <w:rPr>
          <w:rFonts w:hint="default" w:ascii="Nimbus Roman No9 L" w:hAnsi="Nimbus Roman No9 L" w:eastAsia="仿宋_GB2312" w:cs="Nimbus Roman No9 L"/>
          <w:sz w:val="32"/>
          <w:szCs w:val="32"/>
        </w:rPr>
        <w:t>1096.97</w:t>
      </w:r>
      <w:r>
        <w:rPr>
          <w:rFonts w:hint="default" w:ascii="Nimbus Roman No9 L" w:hAnsi="Nimbus Roman No9 L" w:eastAsia="仿宋_GB2312" w:cs="Nimbus Roman No9 L"/>
          <w:color w:val="auto"/>
          <w:sz w:val="32"/>
          <w:szCs w:val="32"/>
          <w:highlight w:val="none"/>
        </w:rPr>
        <w:t>万元。与</w:t>
      </w:r>
      <w:r>
        <w:rPr>
          <w:rFonts w:hint="default" w:ascii="Nimbus Roman No9 L" w:hAnsi="Nimbus Roman No9 L" w:eastAsia="仿宋_GB2312" w:cs="Nimbus Roman No9 L"/>
          <w:color w:val="auto"/>
          <w:sz w:val="32"/>
          <w:szCs w:val="32"/>
          <w:highlight w:val="none"/>
          <w:lang w:eastAsia="zh-CN"/>
        </w:rPr>
        <w:t>上</w:t>
      </w:r>
      <w:r>
        <w:rPr>
          <w:rFonts w:hint="default" w:ascii="Nimbus Roman No9 L" w:hAnsi="Nimbus Roman No9 L" w:eastAsia="仿宋_GB2312" w:cs="Nimbus Roman No9 L"/>
          <w:color w:val="auto"/>
          <w:sz w:val="32"/>
          <w:szCs w:val="32"/>
          <w:highlight w:val="none"/>
        </w:rPr>
        <w:t>年</w:t>
      </w:r>
      <w:r>
        <w:rPr>
          <w:rFonts w:hint="default" w:ascii="Nimbus Roman No9 L" w:hAnsi="Nimbus Roman No9 L" w:eastAsia="仿宋_GB2312" w:cs="Nimbus Roman No9 L"/>
          <w:color w:val="auto"/>
          <w:sz w:val="32"/>
          <w:szCs w:val="32"/>
          <w:highlight w:val="none"/>
          <w:lang w:eastAsia="zh-CN"/>
        </w:rPr>
        <w:t>度</w:t>
      </w:r>
      <w:r>
        <w:rPr>
          <w:rFonts w:hint="default" w:ascii="Nimbus Roman No9 L" w:hAnsi="Nimbus Roman No9 L" w:eastAsia="仿宋_GB2312" w:cs="Nimbus Roman No9 L"/>
          <w:color w:val="auto"/>
          <w:sz w:val="32"/>
          <w:szCs w:val="32"/>
          <w:highlight w:val="none"/>
        </w:rPr>
        <w:t>相比，</w:t>
      </w:r>
      <w:r>
        <w:rPr>
          <w:rFonts w:hint="default" w:ascii="Nimbus Roman No9 L" w:hAnsi="Nimbus Roman No9 L" w:eastAsia="仿宋_GB2312" w:cs="Nimbus Roman No9 L"/>
          <w:color w:val="auto"/>
          <w:sz w:val="32"/>
          <w:szCs w:val="32"/>
          <w:highlight w:val="none"/>
          <w:lang w:eastAsia="zh-CN"/>
        </w:rPr>
        <w:t>收入</w:t>
      </w:r>
      <w:r>
        <w:rPr>
          <w:rFonts w:hint="default" w:ascii="Nimbus Roman No9 L" w:hAnsi="Nimbus Roman No9 L" w:eastAsia="仿宋_GB2312" w:cs="Nimbus Roman No9 L"/>
          <w:color w:val="auto"/>
          <w:sz w:val="32"/>
          <w:szCs w:val="32"/>
          <w:highlight w:val="none"/>
        </w:rPr>
        <w:t>、</w:t>
      </w:r>
      <w:r>
        <w:rPr>
          <w:rFonts w:hint="default" w:ascii="Nimbus Roman No9 L" w:hAnsi="Nimbus Roman No9 L" w:eastAsia="仿宋_GB2312" w:cs="Nimbus Roman No9 L"/>
          <w:color w:val="auto"/>
          <w:sz w:val="32"/>
          <w:szCs w:val="32"/>
          <w:highlight w:val="none"/>
          <w:lang w:eastAsia="zh-CN"/>
        </w:rPr>
        <w:t>支出</w:t>
      </w:r>
      <w:r>
        <w:rPr>
          <w:rFonts w:hint="default" w:ascii="Nimbus Roman No9 L" w:hAnsi="Nimbus Roman No9 L" w:eastAsia="仿宋_GB2312" w:cs="Nimbus Roman No9 L"/>
          <w:color w:val="auto"/>
          <w:sz w:val="32"/>
          <w:szCs w:val="32"/>
          <w:highlight w:val="none"/>
        </w:rPr>
        <w:t>总计各减少</w:t>
      </w:r>
      <w:r>
        <w:rPr>
          <w:rFonts w:hint="default" w:ascii="Nimbus Roman No9 L" w:hAnsi="Nimbus Roman No9 L" w:eastAsia="仿宋_GB2312" w:cs="Nimbus Roman No9 L"/>
          <w:color w:val="auto"/>
          <w:sz w:val="32"/>
          <w:szCs w:val="32"/>
          <w:highlight w:val="none"/>
          <w:lang w:val="en-US" w:eastAsia="zh-CN"/>
        </w:rPr>
        <w:t>291.3</w:t>
      </w:r>
      <w:r>
        <w:rPr>
          <w:rFonts w:hint="default" w:ascii="Nimbus Roman No9 L" w:hAnsi="Nimbus Roman No9 L" w:eastAsia="仿宋_GB2312" w:cs="Nimbus Roman No9 L"/>
          <w:color w:val="auto"/>
          <w:sz w:val="32"/>
          <w:szCs w:val="32"/>
          <w:highlight w:val="none"/>
        </w:rPr>
        <w:t>万元，下降</w:t>
      </w:r>
      <w:r>
        <w:rPr>
          <w:rFonts w:hint="default" w:ascii="Nimbus Roman No9 L" w:hAnsi="Nimbus Roman No9 L" w:eastAsia="仿宋_GB2312" w:cs="Nimbus Roman No9 L"/>
          <w:color w:val="auto"/>
          <w:sz w:val="32"/>
          <w:szCs w:val="32"/>
          <w:highlight w:val="none"/>
          <w:lang w:val="en-US" w:eastAsia="zh-CN"/>
        </w:rPr>
        <w:t>21</w:t>
      </w:r>
      <w:r>
        <w:rPr>
          <w:rFonts w:hint="default" w:ascii="Nimbus Roman No9 L" w:hAnsi="Nimbus Roman No9 L" w:eastAsia="仿宋_GB2312" w:cs="Nimbus Roman No9 L"/>
          <w:color w:val="auto"/>
          <w:sz w:val="32"/>
          <w:szCs w:val="32"/>
          <w:highlight w:val="none"/>
        </w:rPr>
        <w:t>%。主要变动原因是</w:t>
      </w:r>
      <w:r>
        <w:rPr>
          <w:rFonts w:hint="default" w:ascii="Nimbus Roman No9 L" w:hAnsi="Nimbus Roman No9 L" w:eastAsia="仿宋_GB2312" w:cs="Nimbus Roman No9 L"/>
          <w:color w:val="auto"/>
          <w:sz w:val="32"/>
          <w:szCs w:val="32"/>
          <w:highlight w:val="none"/>
          <w:lang w:eastAsia="zh-CN"/>
        </w:rPr>
        <w:t>本年度</w:t>
      </w:r>
      <w:r>
        <w:rPr>
          <w:rFonts w:hint="default" w:ascii="Nimbus Roman No9 L" w:hAnsi="Nimbus Roman No9 L" w:eastAsia="仿宋_GB2312" w:cs="Nimbus Roman No9 L"/>
          <w:sz w:val="32"/>
          <w:szCs w:val="32"/>
        </w:rPr>
        <w:t>项目经费支出</w:t>
      </w:r>
      <w:r>
        <w:rPr>
          <w:rFonts w:hint="default" w:ascii="Nimbus Roman No9 L" w:hAnsi="Nimbus Roman No9 L" w:eastAsia="仿宋_GB2312" w:cs="Nimbus Roman No9 L"/>
          <w:sz w:val="32"/>
          <w:szCs w:val="32"/>
          <w:lang w:eastAsia="zh-CN"/>
        </w:rPr>
        <w:t>减少。</w:t>
      </w:r>
    </w:p>
    <w:p w14:paraId="2CFDC1DE">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rPr>
        <w:t>（图1：</w:t>
      </w:r>
      <w:r>
        <w:rPr>
          <w:rFonts w:hint="default" w:ascii="Nimbus Roman No9 L" w:hAnsi="Nimbus Roman No9 L" w:eastAsia="仿宋_GB2312" w:cs="Nimbus Roman No9 L"/>
          <w:color w:val="auto"/>
          <w:sz w:val="32"/>
          <w:szCs w:val="32"/>
          <w:highlight w:val="none"/>
          <w:lang w:eastAsia="zh-CN"/>
        </w:rPr>
        <w:t>收入</w:t>
      </w:r>
      <w:r>
        <w:rPr>
          <w:rFonts w:hint="default" w:ascii="Nimbus Roman No9 L" w:hAnsi="Nimbus Roman No9 L" w:eastAsia="仿宋_GB2312" w:cs="Nimbus Roman No9 L"/>
          <w:color w:val="auto"/>
          <w:sz w:val="32"/>
          <w:szCs w:val="32"/>
          <w:highlight w:val="none"/>
        </w:rPr>
        <w:t>、</w:t>
      </w:r>
      <w:r>
        <w:rPr>
          <w:rFonts w:hint="default" w:ascii="Nimbus Roman No9 L" w:hAnsi="Nimbus Roman No9 L" w:eastAsia="仿宋_GB2312" w:cs="Nimbus Roman No9 L"/>
          <w:color w:val="auto"/>
          <w:sz w:val="32"/>
          <w:szCs w:val="32"/>
          <w:highlight w:val="none"/>
          <w:lang w:eastAsia="zh-CN"/>
        </w:rPr>
        <w:t>支出</w:t>
      </w:r>
      <w:r>
        <w:rPr>
          <w:rFonts w:hint="default" w:ascii="Nimbus Roman No9 L" w:hAnsi="Nimbus Roman No9 L" w:eastAsia="仿宋_GB2312" w:cs="Nimbus Roman No9 L"/>
          <w:color w:val="auto"/>
          <w:sz w:val="32"/>
          <w:szCs w:val="32"/>
          <w:highlight w:val="none"/>
        </w:rPr>
        <w:t>决算总计变动情况图）（柱状图）</w:t>
      </w:r>
    </w:p>
    <w:p w14:paraId="1E4C4D6F">
      <w:pPr>
        <w:pStyle w:val="3"/>
        <w:jc w:val="center"/>
        <w:rPr>
          <w:rFonts w:hint="default" w:ascii="Nimbus Roman No9 L" w:hAnsi="Nimbus Roman No9 L" w:eastAsia="仿宋_GB2312" w:cs="Nimbus Roman No9 L"/>
          <w:color w:val="auto"/>
          <w:sz w:val="32"/>
          <w:szCs w:val="32"/>
          <w:highlight w:val="none"/>
        </w:rPr>
      </w:pPr>
      <w:r>
        <w:rPr>
          <w:rFonts w:hint="default" w:ascii="Nimbus Roman No9 L" w:hAnsi="Nimbus Roman No9 L" w:cs="Nimbus Roman No9 L"/>
        </w:rPr>
        <w:drawing>
          <wp:inline distT="0" distB="0" distL="114300" distR="114300">
            <wp:extent cx="5270500" cy="3119120"/>
            <wp:effectExtent l="4445" t="4445" r="20955" b="19685"/>
            <wp:docPr id="111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11BE72">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黑体" w:cs="Nimbus Roman No9 L"/>
          <w:color w:val="auto"/>
          <w:sz w:val="32"/>
          <w:szCs w:val="32"/>
          <w:highlight w:val="none"/>
          <w:lang w:eastAsia="zh-CN"/>
        </w:rPr>
      </w:pPr>
      <w:bookmarkStart w:id="22" w:name="_Toc15396604"/>
      <w:bookmarkStart w:id="23" w:name="_Toc15377206"/>
      <w:r>
        <w:rPr>
          <w:rFonts w:hint="default" w:ascii="Nimbus Roman No9 L" w:hAnsi="Nimbus Roman No9 L" w:eastAsia="黑体" w:cs="Nimbus Roman No9 L"/>
          <w:color w:val="auto"/>
          <w:sz w:val="32"/>
          <w:szCs w:val="32"/>
          <w:highlight w:val="none"/>
          <w:lang w:eastAsia="zh-CN"/>
        </w:rPr>
        <w:t>二、收入决算情况说明</w:t>
      </w:r>
      <w:bookmarkEnd w:id="22"/>
      <w:bookmarkEnd w:id="23"/>
    </w:p>
    <w:p w14:paraId="68EE019D">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仿宋_GB2312" w:cs="Nimbus Roman No9 L"/>
          <w:b/>
          <w:bCs/>
          <w:color w:val="auto"/>
          <w:sz w:val="32"/>
          <w:szCs w:val="32"/>
          <w:highlight w:val="none"/>
          <w:lang w:eastAsia="zh-CN"/>
        </w:rPr>
      </w:pPr>
      <w:r>
        <w:rPr>
          <w:rFonts w:hint="default" w:ascii="Nimbus Roman No9 L" w:hAnsi="Nimbus Roman No9 L" w:eastAsia="仿宋_GB2312" w:cs="Nimbus Roman No9 L"/>
          <w:color w:val="auto"/>
          <w:sz w:val="32"/>
          <w:szCs w:val="32"/>
          <w:highlight w:val="none"/>
          <w:lang w:eastAsia="zh-CN"/>
        </w:rPr>
        <w:t>2025年度本年收入合计</w:t>
      </w:r>
      <w:r>
        <w:rPr>
          <w:rFonts w:hint="default" w:ascii="Nimbus Roman No9 L" w:hAnsi="Nimbus Roman No9 L" w:eastAsia="仿宋_GB2312" w:cs="Nimbus Roman No9 L"/>
          <w:sz w:val="32"/>
          <w:szCs w:val="32"/>
        </w:rPr>
        <w:t>1096.97</w:t>
      </w:r>
      <w:r>
        <w:rPr>
          <w:rFonts w:hint="default" w:ascii="Nimbus Roman No9 L" w:hAnsi="Nimbus Roman No9 L" w:eastAsia="仿宋_GB2312" w:cs="Nimbus Roman No9 L"/>
          <w:color w:val="auto"/>
          <w:sz w:val="32"/>
          <w:szCs w:val="32"/>
          <w:highlight w:val="none"/>
          <w:lang w:eastAsia="zh-CN"/>
        </w:rPr>
        <w:t>万元，其中：一般公共预算财政拨款收入</w:t>
      </w:r>
      <w:r>
        <w:rPr>
          <w:rFonts w:hint="default" w:ascii="Nimbus Roman No9 L" w:hAnsi="Nimbus Roman No9 L" w:eastAsia="仿宋_GB2312" w:cs="Nimbus Roman No9 L"/>
          <w:sz w:val="32"/>
          <w:szCs w:val="32"/>
        </w:rPr>
        <w:t>1096.97</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100</w:t>
      </w:r>
      <w:r>
        <w:rPr>
          <w:rFonts w:hint="default" w:ascii="Nimbus Roman No9 L" w:hAnsi="Nimbus Roman No9 L" w:eastAsia="仿宋_GB2312" w:cs="Nimbus Roman No9 L"/>
          <w:color w:val="auto"/>
          <w:sz w:val="32"/>
          <w:szCs w:val="32"/>
          <w:highlight w:val="none"/>
          <w:lang w:eastAsia="zh-CN"/>
        </w:rPr>
        <w:t>%；政府性基金预算财政拨款收入</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%；国有资本经营预算财政拨款收入</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%；上级补助收入</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%；事业收入</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%；经营收入</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%；附属单位上缴收入</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%；其他收入</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w:t>
      </w:r>
    </w:p>
    <w:p w14:paraId="74D20D5C">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仿宋_GB2312" w:cs="Nimbus Roman No9 L"/>
          <w:color w:val="auto"/>
          <w:sz w:val="32"/>
          <w:szCs w:val="32"/>
          <w:highlight w:val="none"/>
          <w:lang w:eastAsia="zh-CN"/>
        </w:rPr>
      </w:pPr>
      <w:r>
        <w:rPr>
          <w:rFonts w:hint="default" w:ascii="Nimbus Roman No9 L" w:hAnsi="Nimbus Roman No9 L" w:eastAsia="仿宋_GB2312" w:cs="Nimbus Roman No9 L"/>
          <w:color w:val="auto"/>
          <w:sz w:val="32"/>
          <w:szCs w:val="32"/>
          <w:highlight w:val="none"/>
          <w:lang w:eastAsia="zh-CN"/>
        </w:rPr>
        <w:t>（图2：收入决算结构图）（饼状图）</w:t>
      </w:r>
    </w:p>
    <w:p w14:paraId="3F1A7D25">
      <w:pPr>
        <w:pStyle w:val="3"/>
        <w:jc w:val="center"/>
        <w:rPr>
          <w:rFonts w:hint="default" w:ascii="Nimbus Roman No9 L" w:hAnsi="Nimbus Roman No9 L" w:eastAsia="仿宋_GB2312" w:cs="Nimbus Roman No9 L"/>
          <w:color w:val="auto"/>
          <w:sz w:val="32"/>
          <w:szCs w:val="32"/>
          <w:highlight w:val="none"/>
          <w:lang w:eastAsia="zh-CN"/>
        </w:rPr>
      </w:pPr>
      <w:r>
        <w:rPr>
          <w:rFonts w:hint="default" w:ascii="Nimbus Roman No9 L" w:hAnsi="Nimbus Roman No9 L" w:cs="Nimbus Roman No9 L"/>
        </w:rPr>
        <w:drawing>
          <wp:inline distT="0" distB="0" distL="114300" distR="114300">
            <wp:extent cx="4572000" cy="2743200"/>
            <wp:effectExtent l="4445" t="4445" r="14605" b="14605"/>
            <wp:docPr id="1744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5A1B6B">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default" w:ascii="Nimbus Roman No9 L" w:hAnsi="Nimbus Roman No9 L" w:eastAsia="黑体" w:cs="Nimbus Roman No9 L"/>
          <w:b w:val="0"/>
          <w:color w:val="auto"/>
          <w:highlight w:val="none"/>
        </w:rPr>
      </w:pPr>
      <w:bookmarkStart w:id="24" w:name="_Toc15377207"/>
      <w:bookmarkStart w:id="25" w:name="_Toc15396605"/>
      <w:r>
        <w:rPr>
          <w:rFonts w:hint="default" w:ascii="Nimbus Roman No9 L" w:hAnsi="Nimbus Roman No9 L" w:eastAsia="黑体" w:cs="Nimbus Roman No9 L"/>
          <w:color w:val="auto"/>
          <w:sz w:val="32"/>
          <w:szCs w:val="32"/>
          <w:highlight w:val="none"/>
          <w:lang w:eastAsia="zh-CN"/>
        </w:rPr>
        <w:t>三、</w:t>
      </w:r>
      <w:r>
        <w:rPr>
          <w:rFonts w:hint="default" w:ascii="Nimbus Roman No9 L" w:hAnsi="Nimbus Roman No9 L" w:eastAsia="黑体" w:cs="Nimbus Roman No9 L"/>
          <w:color w:val="auto"/>
          <w:sz w:val="32"/>
          <w:szCs w:val="32"/>
          <w:highlight w:val="none"/>
        </w:rPr>
        <w:t>支</w:t>
      </w:r>
      <w:r>
        <w:rPr>
          <w:rStyle w:val="31"/>
          <w:rFonts w:hint="default" w:ascii="Nimbus Roman No9 L" w:hAnsi="Nimbus Roman No9 L" w:eastAsia="黑体" w:cs="Nimbus Roman No9 L"/>
          <w:b w:val="0"/>
          <w:color w:val="auto"/>
          <w:highlight w:val="none"/>
        </w:rPr>
        <w:t>出决算情况说明</w:t>
      </w:r>
      <w:bookmarkEnd w:id="24"/>
      <w:bookmarkEnd w:id="25"/>
    </w:p>
    <w:p w14:paraId="69623A02">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仿宋_GB2312" w:cs="Nimbus Roman No9 L"/>
          <w:b/>
          <w:bCs/>
          <w:color w:val="auto"/>
          <w:sz w:val="32"/>
          <w:szCs w:val="32"/>
          <w:highlight w:val="none"/>
          <w:lang w:eastAsia="zh-CN"/>
        </w:rPr>
      </w:pPr>
      <w:r>
        <w:rPr>
          <w:rFonts w:hint="default" w:ascii="Nimbus Roman No9 L" w:hAnsi="Nimbus Roman No9 L" w:eastAsia="仿宋_GB2312" w:cs="Nimbus Roman No9 L"/>
          <w:color w:val="auto"/>
          <w:sz w:val="32"/>
          <w:szCs w:val="32"/>
          <w:highlight w:val="none"/>
          <w:lang w:eastAsia="zh-CN"/>
        </w:rPr>
        <w:t>2025年度本年支出合计</w:t>
      </w:r>
      <w:r>
        <w:rPr>
          <w:rFonts w:hint="default" w:ascii="Nimbus Roman No9 L" w:hAnsi="Nimbus Roman No9 L" w:eastAsia="仿宋_GB2312" w:cs="Nimbus Roman No9 L"/>
          <w:sz w:val="32"/>
          <w:szCs w:val="32"/>
        </w:rPr>
        <w:t>1096.97</w:t>
      </w:r>
      <w:r>
        <w:rPr>
          <w:rFonts w:hint="default" w:ascii="Nimbus Roman No9 L" w:hAnsi="Nimbus Roman No9 L" w:eastAsia="仿宋_GB2312" w:cs="Nimbus Roman No9 L"/>
          <w:color w:val="auto"/>
          <w:sz w:val="32"/>
          <w:szCs w:val="32"/>
          <w:highlight w:val="none"/>
          <w:lang w:eastAsia="zh-CN"/>
        </w:rPr>
        <w:t>万元，其中：基本支出</w:t>
      </w:r>
      <w:r>
        <w:rPr>
          <w:rFonts w:hint="default" w:ascii="Nimbus Roman No9 L" w:hAnsi="Nimbus Roman No9 L" w:eastAsia="仿宋_GB2312" w:cs="Nimbus Roman No9 L"/>
          <w:sz w:val="32"/>
          <w:szCs w:val="32"/>
        </w:rPr>
        <w:t>738.68</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67.</w:t>
      </w:r>
      <w:r>
        <w:rPr>
          <w:rFonts w:hint="default" w:ascii="Nimbus Roman No9 L" w:hAnsi="Nimbus Roman No9 L" w:eastAsia="仿宋_GB2312" w:cs="Nimbus Roman No9 L"/>
          <w:sz w:val="32"/>
          <w:szCs w:val="32"/>
          <w:lang w:val="en-US" w:eastAsia="zh-CN"/>
        </w:rPr>
        <w:t>3</w:t>
      </w:r>
      <w:r>
        <w:rPr>
          <w:rFonts w:hint="default" w:ascii="Nimbus Roman No9 L" w:hAnsi="Nimbus Roman No9 L" w:eastAsia="仿宋_GB2312" w:cs="Nimbus Roman No9 L"/>
          <w:color w:val="auto"/>
          <w:sz w:val="32"/>
          <w:szCs w:val="32"/>
          <w:highlight w:val="none"/>
          <w:lang w:eastAsia="zh-CN"/>
        </w:rPr>
        <w:t>%；项目支出</w:t>
      </w:r>
      <w:r>
        <w:rPr>
          <w:rFonts w:hint="default" w:ascii="Nimbus Roman No9 L" w:hAnsi="Nimbus Roman No9 L" w:eastAsia="仿宋_GB2312" w:cs="Nimbus Roman No9 L"/>
          <w:sz w:val="32"/>
          <w:szCs w:val="32"/>
        </w:rPr>
        <w:t>358.29</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32.</w:t>
      </w:r>
      <w:r>
        <w:rPr>
          <w:rFonts w:hint="default" w:ascii="Nimbus Roman No9 L" w:hAnsi="Nimbus Roman No9 L" w:eastAsia="仿宋_GB2312" w:cs="Nimbus Roman No9 L"/>
          <w:sz w:val="32"/>
          <w:szCs w:val="32"/>
          <w:lang w:val="en-US" w:eastAsia="zh-CN"/>
        </w:rPr>
        <w:t>7</w:t>
      </w:r>
      <w:r>
        <w:rPr>
          <w:rFonts w:hint="default" w:ascii="Nimbus Roman No9 L" w:hAnsi="Nimbus Roman No9 L" w:eastAsia="仿宋_GB2312" w:cs="Nimbus Roman No9 L"/>
          <w:color w:val="auto"/>
          <w:sz w:val="32"/>
          <w:szCs w:val="32"/>
          <w:highlight w:val="none"/>
          <w:lang w:eastAsia="zh-CN"/>
        </w:rPr>
        <w:t>%；上缴上级支出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%；经营支出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%；对附属单位补助支出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万元，占</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sz w:val="32"/>
          <w:szCs w:val="32"/>
          <w:highlight w:val="none"/>
          <w:lang w:eastAsia="zh-CN"/>
        </w:rPr>
        <w:t>%。</w:t>
      </w:r>
    </w:p>
    <w:p w14:paraId="50B4EEA5">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仿宋_GB2312" w:cs="Nimbus Roman No9 L"/>
          <w:color w:val="auto"/>
          <w:sz w:val="32"/>
          <w:szCs w:val="32"/>
          <w:highlight w:val="none"/>
          <w:lang w:eastAsia="zh-CN"/>
        </w:rPr>
      </w:pPr>
      <w:r>
        <w:rPr>
          <w:rFonts w:hint="default" w:ascii="Nimbus Roman No9 L" w:hAnsi="Nimbus Roman No9 L" w:eastAsia="仿宋_GB2312" w:cs="Nimbus Roman No9 L"/>
          <w:color w:val="auto"/>
          <w:sz w:val="32"/>
          <w:szCs w:val="32"/>
          <w:highlight w:val="none"/>
          <w:lang w:eastAsia="zh-CN"/>
        </w:rPr>
        <w:t>（图3：支出决算结构图）（饼状图）</w:t>
      </w:r>
    </w:p>
    <w:p w14:paraId="351777A3">
      <w:pPr>
        <w:pStyle w:val="3"/>
        <w:jc w:val="center"/>
        <w:rPr>
          <w:rFonts w:hint="default" w:ascii="Nimbus Roman No9 L" w:hAnsi="Nimbus Roman No9 L" w:eastAsia="仿宋_GB2312" w:cs="Nimbus Roman No9 L"/>
          <w:color w:val="auto"/>
          <w:sz w:val="32"/>
          <w:szCs w:val="32"/>
          <w:highlight w:val="none"/>
          <w:lang w:eastAsia="zh-CN"/>
        </w:rPr>
      </w:pPr>
      <w:r>
        <w:rPr>
          <w:rFonts w:hint="default" w:ascii="Nimbus Roman No9 L" w:hAnsi="Nimbus Roman No9 L" w:cs="Nimbus Roman No9 L"/>
        </w:rPr>
        <w:drawing>
          <wp:inline distT="0" distB="0" distL="114300" distR="114300">
            <wp:extent cx="3943350" cy="2534285"/>
            <wp:effectExtent l="4445" t="4445" r="14605" b="13970"/>
            <wp:docPr id="1234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FC3379">
      <w:pPr>
        <w:spacing w:line="600" w:lineRule="exact"/>
        <w:ind w:firstLine="640" w:firstLineChars="200"/>
        <w:outlineLvl w:val="1"/>
        <w:rPr>
          <w:rStyle w:val="31"/>
          <w:rFonts w:hint="default" w:ascii="Nimbus Roman No9 L" w:hAnsi="Nimbus Roman No9 L" w:eastAsia="黑体" w:cs="Nimbus Roman No9 L"/>
          <w:b w:val="0"/>
          <w:color w:val="auto"/>
          <w:highlight w:val="none"/>
        </w:rPr>
      </w:pPr>
      <w:bookmarkStart w:id="26" w:name="_Toc15377208"/>
      <w:bookmarkStart w:id="27" w:name="_Toc15396606"/>
      <w:r>
        <w:rPr>
          <w:rFonts w:hint="default" w:ascii="Nimbus Roman No9 L" w:hAnsi="Nimbus Roman No9 L" w:eastAsia="黑体" w:cs="Nimbus Roman No9 L"/>
          <w:color w:val="auto"/>
          <w:sz w:val="32"/>
          <w:szCs w:val="32"/>
          <w:highlight w:val="none"/>
        </w:rPr>
        <w:t>四、财</w:t>
      </w:r>
      <w:r>
        <w:rPr>
          <w:rStyle w:val="31"/>
          <w:rFonts w:hint="default" w:ascii="Nimbus Roman No9 L" w:hAnsi="Nimbus Roman No9 L" w:eastAsia="黑体" w:cs="Nimbus Roman No9 L"/>
          <w:b w:val="0"/>
          <w:color w:val="auto"/>
          <w:highlight w:val="none"/>
        </w:rPr>
        <w:t>政拨款收入支出决算总体情况说明</w:t>
      </w:r>
      <w:bookmarkEnd w:id="26"/>
      <w:bookmarkEnd w:id="27"/>
    </w:p>
    <w:p w14:paraId="30AD0E64">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仿宋_GB2312" w:cs="Nimbus Roman No9 L"/>
          <w:color w:val="auto"/>
          <w:sz w:val="32"/>
          <w:szCs w:val="32"/>
          <w:highlight w:val="none"/>
          <w:lang w:eastAsia="zh-CN"/>
        </w:rPr>
      </w:pPr>
      <w:r>
        <w:rPr>
          <w:rFonts w:hint="default" w:ascii="Nimbus Roman No9 L" w:hAnsi="Nimbus Roman No9 L" w:eastAsia="仿宋_GB2312" w:cs="Nimbus Roman No9 L"/>
          <w:color w:val="auto"/>
          <w:kern w:val="2"/>
          <w:sz w:val="32"/>
          <w:szCs w:val="32"/>
          <w:highlight w:val="none"/>
          <w:lang w:val="en-US" w:eastAsia="zh-CN" w:bidi="ar-SA"/>
        </w:rPr>
        <w:t>2025年度财政拨款收入、支出总计均为</w:t>
      </w:r>
      <w:r>
        <w:rPr>
          <w:rFonts w:hint="default" w:ascii="Nimbus Roman No9 L" w:hAnsi="Nimbus Roman No9 L" w:eastAsia="仿宋_GB2312" w:cs="Nimbus Roman No9 L"/>
          <w:sz w:val="32"/>
          <w:szCs w:val="32"/>
        </w:rPr>
        <w:t>1096.97</w:t>
      </w:r>
      <w:r>
        <w:rPr>
          <w:rFonts w:hint="default" w:ascii="Nimbus Roman No9 L" w:hAnsi="Nimbus Roman No9 L" w:eastAsia="仿宋_GB2312" w:cs="Nimbus Roman No9 L"/>
          <w:color w:val="auto"/>
          <w:kern w:val="2"/>
          <w:sz w:val="32"/>
          <w:szCs w:val="32"/>
          <w:highlight w:val="none"/>
          <w:lang w:val="en-US" w:eastAsia="zh-CN" w:bidi="ar-SA"/>
        </w:rPr>
        <w:t>万元。与上年度相比，财政拨款收入、支出总计</w:t>
      </w:r>
      <w:r>
        <w:rPr>
          <w:rFonts w:hint="default" w:ascii="Nimbus Roman No9 L" w:hAnsi="Nimbus Roman No9 L" w:eastAsia="仿宋_GB2312" w:cs="Nimbus Roman No9 L"/>
          <w:color w:val="auto"/>
          <w:sz w:val="32"/>
          <w:szCs w:val="32"/>
          <w:highlight w:val="none"/>
        </w:rPr>
        <w:t>各减少</w:t>
      </w:r>
      <w:r>
        <w:rPr>
          <w:rFonts w:hint="default" w:ascii="Nimbus Roman No9 L" w:hAnsi="Nimbus Roman No9 L" w:eastAsia="仿宋_GB2312" w:cs="Nimbus Roman No9 L"/>
          <w:color w:val="auto"/>
          <w:sz w:val="32"/>
          <w:szCs w:val="32"/>
          <w:highlight w:val="none"/>
          <w:lang w:val="en-US" w:eastAsia="zh-CN"/>
        </w:rPr>
        <w:t>291.3</w:t>
      </w:r>
      <w:r>
        <w:rPr>
          <w:rFonts w:hint="default" w:ascii="Nimbus Roman No9 L" w:hAnsi="Nimbus Roman No9 L" w:eastAsia="仿宋_GB2312" w:cs="Nimbus Roman No9 L"/>
          <w:color w:val="auto"/>
          <w:sz w:val="32"/>
          <w:szCs w:val="32"/>
          <w:highlight w:val="none"/>
        </w:rPr>
        <w:t>万元，下降</w:t>
      </w:r>
      <w:r>
        <w:rPr>
          <w:rFonts w:hint="default" w:ascii="Nimbus Roman No9 L" w:hAnsi="Nimbus Roman No9 L" w:eastAsia="仿宋_GB2312" w:cs="Nimbus Roman No9 L"/>
          <w:color w:val="auto"/>
          <w:sz w:val="32"/>
          <w:szCs w:val="32"/>
          <w:highlight w:val="none"/>
          <w:lang w:val="en-US" w:eastAsia="zh-CN"/>
        </w:rPr>
        <w:t>21</w:t>
      </w:r>
      <w:r>
        <w:rPr>
          <w:rFonts w:hint="default" w:ascii="Nimbus Roman No9 L" w:hAnsi="Nimbus Roman No9 L" w:eastAsia="仿宋_GB2312" w:cs="Nimbus Roman No9 L"/>
          <w:color w:val="auto"/>
          <w:sz w:val="32"/>
          <w:szCs w:val="32"/>
          <w:highlight w:val="none"/>
        </w:rPr>
        <w:t>%。主要变动原因是</w:t>
      </w:r>
      <w:r>
        <w:rPr>
          <w:rFonts w:hint="default" w:ascii="Nimbus Roman No9 L" w:hAnsi="Nimbus Roman No9 L" w:eastAsia="仿宋_GB2312" w:cs="Nimbus Roman No9 L"/>
          <w:color w:val="auto"/>
          <w:sz w:val="32"/>
          <w:szCs w:val="32"/>
          <w:highlight w:val="none"/>
          <w:lang w:eastAsia="zh-CN"/>
        </w:rPr>
        <w:t>本年度</w:t>
      </w:r>
      <w:r>
        <w:rPr>
          <w:rFonts w:hint="default" w:ascii="Nimbus Roman No9 L" w:hAnsi="Nimbus Roman No9 L" w:eastAsia="仿宋_GB2312" w:cs="Nimbus Roman No9 L"/>
          <w:sz w:val="32"/>
          <w:szCs w:val="32"/>
        </w:rPr>
        <w:t>项目经费支出</w:t>
      </w:r>
      <w:r>
        <w:rPr>
          <w:rFonts w:hint="default" w:ascii="Nimbus Roman No9 L" w:hAnsi="Nimbus Roman No9 L" w:eastAsia="仿宋_GB2312" w:cs="Nimbus Roman No9 L"/>
          <w:sz w:val="32"/>
          <w:szCs w:val="32"/>
          <w:lang w:eastAsia="zh-CN"/>
        </w:rPr>
        <w:t>减少。</w:t>
      </w:r>
    </w:p>
    <w:p w14:paraId="4AF9041C">
      <w:pPr>
        <w:spacing w:line="600" w:lineRule="exact"/>
        <w:ind w:firstLine="640" w:firstLineChars="20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（图4：财政拨款收、支决算总计变动情况）（柱状图）</w:t>
      </w:r>
    </w:p>
    <w:p w14:paraId="1A0355C4">
      <w:pPr>
        <w:pStyle w:val="3"/>
        <w:jc w:val="center"/>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cs="Nimbus Roman No9 L"/>
        </w:rPr>
        <w:drawing>
          <wp:inline distT="0" distB="0" distL="114300" distR="114300">
            <wp:extent cx="5271770" cy="2868295"/>
            <wp:effectExtent l="4445" t="4445" r="19685" b="22860"/>
            <wp:docPr id="1131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9AEE0F9">
      <w:pPr>
        <w:spacing w:line="600" w:lineRule="exact"/>
        <w:ind w:firstLine="640" w:firstLineChars="200"/>
        <w:outlineLvl w:val="1"/>
        <w:rPr>
          <w:rStyle w:val="31"/>
          <w:rFonts w:hint="default" w:ascii="Nimbus Roman No9 L" w:hAnsi="Nimbus Roman No9 L" w:eastAsia="黑体" w:cs="Nimbus Roman No9 L"/>
          <w:b w:val="0"/>
          <w:color w:val="auto"/>
          <w:highlight w:val="none"/>
        </w:rPr>
      </w:pPr>
      <w:bookmarkStart w:id="28" w:name="_Toc15377209"/>
      <w:bookmarkStart w:id="29" w:name="_Toc15396607"/>
      <w:r>
        <w:rPr>
          <w:rFonts w:hint="default" w:ascii="Nimbus Roman No9 L" w:hAnsi="Nimbus Roman No9 L" w:eastAsia="黑体" w:cs="Nimbus Roman No9 L"/>
          <w:color w:val="auto"/>
          <w:sz w:val="32"/>
          <w:szCs w:val="32"/>
          <w:highlight w:val="none"/>
        </w:rPr>
        <w:t>五、</w:t>
      </w:r>
      <w:r>
        <w:rPr>
          <w:rFonts w:hint="default" w:ascii="Nimbus Roman No9 L" w:hAnsi="Nimbus Roman No9 L" w:eastAsia="黑体" w:cs="Nimbus Roman No9 L"/>
          <w:b/>
          <w:color w:val="auto"/>
          <w:sz w:val="32"/>
          <w:szCs w:val="32"/>
          <w:highlight w:val="none"/>
        </w:rPr>
        <w:t>一</w:t>
      </w:r>
      <w:r>
        <w:rPr>
          <w:rStyle w:val="31"/>
          <w:rFonts w:hint="default" w:ascii="Nimbus Roman No9 L" w:hAnsi="Nimbus Roman No9 L" w:eastAsia="黑体" w:cs="Nimbus Roman No9 L"/>
          <w:b w:val="0"/>
          <w:color w:val="auto"/>
          <w:highlight w:val="none"/>
        </w:rPr>
        <w:t>般公共预算财政拨款支出决算情况说明</w:t>
      </w:r>
      <w:bookmarkEnd w:id="28"/>
      <w:bookmarkEnd w:id="29"/>
    </w:p>
    <w:p w14:paraId="1C72AAFB">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bookmarkStart w:id="30" w:name="_Toc15377210"/>
      <w:r>
        <w:rPr>
          <w:rFonts w:hint="default" w:ascii="Nimbus Roman No9 L" w:hAnsi="Nimbus Roman No9 L" w:eastAsia="楷体_GB2312" w:cs="Nimbus Roman No9 L"/>
          <w:b/>
          <w:color w:val="auto"/>
          <w:sz w:val="32"/>
          <w:szCs w:val="32"/>
          <w:highlight w:val="none"/>
        </w:rPr>
        <w:t>（一）一般公共预算财政拨款支出决算总体情况</w:t>
      </w:r>
      <w:bookmarkEnd w:id="30"/>
    </w:p>
    <w:p w14:paraId="4068B2FA">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Nimbus Roman No9 L" w:hAnsi="Nimbus Roman No9 L" w:eastAsia="仿宋_GB2312" w:cs="Nimbus Roman No9 L"/>
          <w:color w:val="auto"/>
          <w:sz w:val="32"/>
          <w:szCs w:val="32"/>
          <w:highlight w:val="none"/>
          <w:lang w:eastAsia="zh-CN"/>
        </w:rPr>
      </w:pPr>
      <w:r>
        <w:rPr>
          <w:rFonts w:hint="default" w:ascii="Nimbus Roman No9 L" w:hAnsi="Nimbus Roman No9 L" w:eastAsia="仿宋_GB2312" w:cs="Nimbus Roman No9 L"/>
          <w:color w:val="auto"/>
          <w:kern w:val="2"/>
          <w:sz w:val="32"/>
          <w:szCs w:val="32"/>
          <w:highlight w:val="none"/>
          <w:lang w:val="en-US" w:eastAsia="zh-CN" w:bidi="ar-SA"/>
        </w:rPr>
        <w:t>2025年度一般公共预算财政拨款支出</w:t>
      </w:r>
      <w:r>
        <w:rPr>
          <w:rFonts w:hint="default" w:ascii="Nimbus Roman No9 L" w:hAnsi="Nimbus Roman No9 L" w:eastAsia="仿宋_GB2312" w:cs="Nimbus Roman No9 L"/>
          <w:sz w:val="32"/>
          <w:szCs w:val="32"/>
        </w:rPr>
        <w:t>1096.97</w:t>
      </w:r>
      <w:r>
        <w:rPr>
          <w:rFonts w:hint="default" w:ascii="Nimbus Roman No9 L" w:hAnsi="Nimbus Roman No9 L" w:eastAsia="仿宋_GB2312" w:cs="Nimbus Roman No9 L"/>
          <w:color w:val="auto"/>
          <w:kern w:val="2"/>
          <w:sz w:val="32"/>
          <w:szCs w:val="32"/>
          <w:highlight w:val="none"/>
          <w:lang w:val="en-US" w:eastAsia="zh-CN" w:bidi="ar-SA"/>
        </w:rPr>
        <w:t>万元，占本年支出合计的</w:t>
      </w:r>
      <w:r>
        <w:rPr>
          <w:rFonts w:hint="default" w:ascii="Nimbus Roman No9 L" w:hAnsi="Nimbus Roman No9 L" w:eastAsia="仿宋_GB2312" w:cs="Nimbus Roman No9 L"/>
          <w:sz w:val="32"/>
          <w:szCs w:val="32"/>
        </w:rPr>
        <w:t>100</w:t>
      </w:r>
      <w:r>
        <w:rPr>
          <w:rFonts w:hint="default" w:ascii="Nimbus Roman No9 L" w:hAnsi="Nimbus Roman No9 L" w:eastAsia="仿宋_GB2312" w:cs="Nimbus Roman No9 L"/>
          <w:color w:val="auto"/>
          <w:kern w:val="2"/>
          <w:sz w:val="32"/>
          <w:szCs w:val="32"/>
          <w:highlight w:val="none"/>
          <w:lang w:val="en-US" w:eastAsia="zh-CN" w:bidi="ar-SA"/>
        </w:rPr>
        <w:t>%。与上年度相比，一般公共预算财政拨款支出</w:t>
      </w:r>
      <w:r>
        <w:rPr>
          <w:rFonts w:hint="default" w:ascii="Nimbus Roman No9 L" w:hAnsi="Nimbus Roman No9 L" w:eastAsia="仿宋_GB2312" w:cs="Nimbus Roman No9 L"/>
          <w:color w:val="auto"/>
          <w:sz w:val="32"/>
          <w:szCs w:val="32"/>
          <w:highlight w:val="none"/>
        </w:rPr>
        <w:t>减少</w:t>
      </w:r>
      <w:r>
        <w:rPr>
          <w:rFonts w:hint="default" w:ascii="Nimbus Roman No9 L" w:hAnsi="Nimbus Roman No9 L" w:eastAsia="仿宋_GB2312" w:cs="Nimbus Roman No9 L"/>
          <w:color w:val="auto"/>
          <w:sz w:val="32"/>
          <w:szCs w:val="32"/>
          <w:highlight w:val="none"/>
          <w:lang w:val="en-US" w:eastAsia="zh-CN"/>
        </w:rPr>
        <w:t>291.3</w:t>
      </w:r>
      <w:r>
        <w:rPr>
          <w:rFonts w:hint="default" w:ascii="Nimbus Roman No9 L" w:hAnsi="Nimbus Roman No9 L" w:eastAsia="仿宋_GB2312" w:cs="Nimbus Roman No9 L"/>
          <w:color w:val="auto"/>
          <w:sz w:val="32"/>
          <w:szCs w:val="32"/>
          <w:highlight w:val="none"/>
        </w:rPr>
        <w:t>万元，下降</w:t>
      </w:r>
      <w:r>
        <w:rPr>
          <w:rFonts w:hint="default" w:ascii="Nimbus Roman No9 L" w:hAnsi="Nimbus Roman No9 L" w:eastAsia="仿宋_GB2312" w:cs="Nimbus Roman No9 L"/>
          <w:color w:val="auto"/>
          <w:sz w:val="32"/>
          <w:szCs w:val="32"/>
          <w:highlight w:val="none"/>
          <w:lang w:val="en-US" w:eastAsia="zh-CN"/>
        </w:rPr>
        <w:t>21</w:t>
      </w:r>
      <w:r>
        <w:rPr>
          <w:rFonts w:hint="default" w:ascii="Nimbus Roman No9 L" w:hAnsi="Nimbus Roman No9 L" w:eastAsia="仿宋_GB2312" w:cs="Nimbus Roman No9 L"/>
          <w:color w:val="auto"/>
          <w:sz w:val="32"/>
          <w:szCs w:val="32"/>
          <w:highlight w:val="none"/>
        </w:rPr>
        <w:t>%。主要变动原因是</w:t>
      </w:r>
      <w:r>
        <w:rPr>
          <w:rFonts w:hint="default" w:ascii="Nimbus Roman No9 L" w:hAnsi="Nimbus Roman No9 L" w:eastAsia="仿宋_GB2312" w:cs="Nimbus Roman No9 L"/>
          <w:color w:val="auto"/>
          <w:sz w:val="32"/>
          <w:szCs w:val="32"/>
          <w:highlight w:val="none"/>
          <w:lang w:eastAsia="zh-CN"/>
        </w:rPr>
        <w:t>本年度</w:t>
      </w:r>
      <w:r>
        <w:rPr>
          <w:rFonts w:hint="default" w:ascii="Nimbus Roman No9 L" w:hAnsi="Nimbus Roman No9 L" w:eastAsia="仿宋_GB2312" w:cs="Nimbus Roman No9 L"/>
          <w:sz w:val="32"/>
          <w:szCs w:val="32"/>
        </w:rPr>
        <w:t>项目经费支出</w:t>
      </w:r>
      <w:r>
        <w:rPr>
          <w:rFonts w:hint="default" w:ascii="Nimbus Roman No9 L" w:hAnsi="Nimbus Roman No9 L" w:eastAsia="仿宋_GB2312" w:cs="Nimbus Roman No9 L"/>
          <w:sz w:val="32"/>
          <w:szCs w:val="32"/>
          <w:lang w:eastAsia="zh-CN"/>
        </w:rPr>
        <w:t>减少。</w:t>
      </w:r>
    </w:p>
    <w:p w14:paraId="12D39DD1">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（图5：一般公共预算财政拨款支出决算变动情况）（柱状图）</w:t>
      </w:r>
    </w:p>
    <w:p w14:paraId="0437292F">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p>
    <w:p w14:paraId="006E00A7">
      <w:pPr>
        <w:pStyle w:val="2"/>
        <w:rPr>
          <w:rFonts w:hint="default" w:ascii="Nimbus Roman No9 L" w:hAnsi="Nimbus Roman No9 L" w:eastAsia="仿宋_GB2312" w:cs="Nimbus Roman No9 L"/>
          <w:color w:val="auto"/>
          <w:kern w:val="2"/>
          <w:sz w:val="32"/>
          <w:szCs w:val="32"/>
          <w:highlight w:val="none"/>
          <w:lang w:val="en-US" w:eastAsia="zh-CN" w:bidi="ar-SA"/>
        </w:rPr>
      </w:pPr>
    </w:p>
    <w:p w14:paraId="5CCCAEFF">
      <w:pPr>
        <w:pStyle w:val="3"/>
        <w:rPr>
          <w:rFonts w:hint="default" w:ascii="Nimbus Roman No9 L" w:hAnsi="Nimbus Roman No9 L" w:eastAsia="仿宋_GB2312" w:cs="Nimbus Roman No9 L"/>
          <w:color w:val="auto"/>
          <w:kern w:val="2"/>
          <w:sz w:val="32"/>
          <w:szCs w:val="32"/>
          <w:highlight w:val="none"/>
          <w:lang w:val="en-US" w:eastAsia="zh-CN" w:bidi="ar-SA"/>
        </w:rPr>
      </w:pPr>
    </w:p>
    <w:p w14:paraId="772D3CE5">
      <w:pPr>
        <w:pStyle w:val="3"/>
        <w:jc w:val="center"/>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cs="Nimbus Roman No9 L"/>
        </w:rPr>
        <w:drawing>
          <wp:inline distT="0" distB="0" distL="114300" distR="114300">
            <wp:extent cx="4572635" cy="2771775"/>
            <wp:effectExtent l="4445" t="4445" r="13970" b="5080"/>
            <wp:docPr id="7232"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645937">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bookmarkStart w:id="31" w:name="_Toc15377211"/>
      <w:r>
        <w:rPr>
          <w:rFonts w:hint="default" w:ascii="Nimbus Roman No9 L" w:hAnsi="Nimbus Roman No9 L" w:eastAsia="楷体_GB2312" w:cs="Nimbus Roman No9 L"/>
          <w:b/>
          <w:color w:val="auto"/>
          <w:sz w:val="32"/>
          <w:szCs w:val="32"/>
          <w:highlight w:val="none"/>
        </w:rPr>
        <w:t>（二）一般公共预算财政拨款支出决算结构情况</w:t>
      </w:r>
      <w:bookmarkEnd w:id="31"/>
    </w:p>
    <w:p w14:paraId="38C3319E">
      <w:pPr>
        <w:spacing w:line="600" w:lineRule="exact"/>
        <w:ind w:firstLine="640" w:firstLineChars="200"/>
        <w:rPr>
          <w:rFonts w:hint="default" w:ascii="Nimbus Roman No9 L" w:hAnsi="Nimbus Roman No9 L" w:eastAsia="仿宋" w:cs="Nimbus Roman No9 L"/>
          <w:sz w:val="32"/>
          <w:szCs w:val="32"/>
        </w:rPr>
      </w:pPr>
      <w:r>
        <w:rPr>
          <w:rFonts w:hint="default" w:ascii="Nimbus Roman No9 L" w:hAnsi="Nimbus Roman No9 L" w:eastAsia="仿宋_GB2312" w:cs="Nimbus Roman No9 L"/>
          <w:color w:val="auto"/>
          <w:kern w:val="2"/>
          <w:sz w:val="32"/>
          <w:szCs w:val="32"/>
          <w:highlight w:val="none"/>
          <w:lang w:val="en-US" w:eastAsia="zh-CN" w:bidi="ar-SA"/>
        </w:rPr>
        <w:t>2025年度一般公共预算财政拨款支出</w:t>
      </w:r>
      <w:r>
        <w:rPr>
          <w:rFonts w:hint="default" w:ascii="Nimbus Roman No9 L" w:hAnsi="Nimbus Roman No9 L" w:eastAsia="仿宋_GB2312" w:cs="Nimbus Roman No9 L"/>
          <w:sz w:val="32"/>
          <w:szCs w:val="32"/>
        </w:rPr>
        <w:t>1096.97</w:t>
      </w:r>
      <w:r>
        <w:rPr>
          <w:rFonts w:hint="default" w:ascii="Nimbus Roman No9 L" w:hAnsi="Nimbus Roman No9 L" w:eastAsia="仿宋_GB2312" w:cs="Nimbus Roman No9 L"/>
          <w:color w:val="auto"/>
          <w:kern w:val="2"/>
          <w:sz w:val="32"/>
          <w:szCs w:val="32"/>
          <w:highlight w:val="none"/>
          <w:lang w:val="en-US" w:eastAsia="zh-CN" w:bidi="ar-SA"/>
        </w:rPr>
        <w:t>万元，主要用于以下方面：</w:t>
      </w:r>
      <w:r>
        <w:rPr>
          <w:rFonts w:hint="default" w:ascii="Nimbus Roman No9 L" w:hAnsi="Nimbus Roman No9 L" w:eastAsia="仿宋" w:cs="Nimbus Roman No9 L"/>
          <w:b/>
          <w:sz w:val="32"/>
          <w:szCs w:val="32"/>
        </w:rPr>
        <w:t>一般公共服务</w:t>
      </w:r>
      <w:r>
        <w:rPr>
          <w:rFonts w:hint="default" w:ascii="Nimbus Roman No9 L" w:hAnsi="Nimbus Roman No9 L" w:eastAsia="仿宋" w:cs="Nimbus Roman No9 L"/>
          <w:b/>
          <w:bCs/>
          <w:sz w:val="32"/>
          <w:szCs w:val="32"/>
        </w:rPr>
        <w:t>支出</w:t>
      </w:r>
      <w:r>
        <w:rPr>
          <w:rFonts w:hint="default" w:ascii="Nimbus Roman No9 L" w:hAnsi="Nimbus Roman No9 L" w:eastAsia="仿宋" w:cs="Nimbus Roman No9 L"/>
          <w:sz w:val="32"/>
          <w:szCs w:val="32"/>
          <w:lang w:val="en-US" w:eastAsia="zh-CN"/>
        </w:rPr>
        <w:t>2.32</w:t>
      </w:r>
      <w:r>
        <w:rPr>
          <w:rFonts w:hint="default" w:ascii="Nimbus Roman No9 L" w:hAnsi="Nimbus Roman No9 L" w:eastAsia="仿宋" w:cs="Nimbus Roman No9 L"/>
          <w:sz w:val="32"/>
          <w:szCs w:val="32"/>
        </w:rPr>
        <w:t>万元，占</w:t>
      </w:r>
      <w:r>
        <w:rPr>
          <w:rFonts w:hint="default" w:ascii="Nimbus Roman No9 L" w:hAnsi="Nimbus Roman No9 L" w:eastAsia="仿宋" w:cs="Nimbus Roman No9 L"/>
          <w:sz w:val="32"/>
          <w:szCs w:val="32"/>
          <w:lang w:val="en-US" w:eastAsia="zh-CN"/>
        </w:rPr>
        <w:t>0.2</w:t>
      </w:r>
      <w:r>
        <w:rPr>
          <w:rFonts w:hint="default" w:ascii="Nimbus Roman No9 L" w:hAnsi="Nimbus Roman No9 L" w:eastAsia="仿宋" w:cs="Nimbus Roman No9 L"/>
          <w:sz w:val="32"/>
          <w:szCs w:val="32"/>
        </w:rPr>
        <w:t>%；</w:t>
      </w:r>
      <w:r>
        <w:rPr>
          <w:rFonts w:hint="default" w:ascii="Nimbus Roman No9 L" w:hAnsi="Nimbus Roman No9 L" w:eastAsia="仿宋" w:cs="Nimbus Roman No9 L"/>
          <w:b/>
          <w:sz w:val="32"/>
          <w:szCs w:val="32"/>
        </w:rPr>
        <w:t>科学技术</w:t>
      </w:r>
      <w:r>
        <w:rPr>
          <w:rFonts w:hint="default" w:ascii="Nimbus Roman No9 L" w:hAnsi="Nimbus Roman No9 L" w:eastAsia="仿宋" w:cs="Nimbus Roman No9 L"/>
          <w:b/>
          <w:bCs/>
          <w:sz w:val="32"/>
          <w:szCs w:val="32"/>
        </w:rPr>
        <w:t>支出</w:t>
      </w:r>
      <w:r>
        <w:rPr>
          <w:rFonts w:hint="default" w:ascii="Nimbus Roman No9 L" w:hAnsi="Nimbus Roman No9 L" w:eastAsia="仿宋" w:cs="Nimbus Roman No9 L"/>
          <w:sz w:val="32"/>
          <w:szCs w:val="32"/>
          <w:lang w:val="en-US" w:eastAsia="zh-CN"/>
        </w:rPr>
        <w:t>615.57</w:t>
      </w:r>
      <w:r>
        <w:rPr>
          <w:rFonts w:hint="default" w:ascii="Nimbus Roman No9 L" w:hAnsi="Nimbus Roman No9 L" w:eastAsia="仿宋" w:cs="Nimbus Roman No9 L"/>
          <w:sz w:val="32"/>
          <w:szCs w:val="32"/>
        </w:rPr>
        <w:t>万元，占</w:t>
      </w:r>
      <w:r>
        <w:rPr>
          <w:rFonts w:hint="default" w:ascii="Nimbus Roman No9 L" w:hAnsi="Nimbus Roman No9 L" w:eastAsia="仿宋" w:cs="Nimbus Roman No9 L"/>
          <w:sz w:val="32"/>
          <w:szCs w:val="32"/>
          <w:lang w:val="en-US" w:eastAsia="zh-CN"/>
        </w:rPr>
        <w:t>56.1</w:t>
      </w:r>
      <w:r>
        <w:rPr>
          <w:rFonts w:hint="default" w:ascii="Nimbus Roman No9 L" w:hAnsi="Nimbus Roman No9 L" w:eastAsia="仿宋" w:cs="Nimbus Roman No9 L"/>
          <w:sz w:val="32"/>
          <w:szCs w:val="32"/>
        </w:rPr>
        <w:t>%；</w:t>
      </w:r>
      <w:r>
        <w:rPr>
          <w:rFonts w:hint="default" w:ascii="Nimbus Roman No9 L" w:hAnsi="Nimbus Roman No9 L" w:eastAsia="仿宋" w:cs="Nimbus Roman No9 L"/>
          <w:b/>
          <w:sz w:val="32"/>
          <w:szCs w:val="32"/>
        </w:rPr>
        <w:t>社会保障和就业</w:t>
      </w:r>
      <w:r>
        <w:rPr>
          <w:rFonts w:hint="default" w:ascii="Nimbus Roman No9 L" w:hAnsi="Nimbus Roman No9 L" w:eastAsia="仿宋" w:cs="Nimbus Roman No9 L"/>
          <w:b/>
          <w:bCs/>
          <w:sz w:val="32"/>
          <w:szCs w:val="32"/>
        </w:rPr>
        <w:t>支出</w:t>
      </w:r>
      <w:r>
        <w:rPr>
          <w:rFonts w:hint="default" w:ascii="Nimbus Roman No9 L" w:hAnsi="Nimbus Roman No9 L" w:eastAsia="仿宋" w:cs="Nimbus Roman No9 L"/>
          <w:sz w:val="32"/>
          <w:szCs w:val="32"/>
          <w:lang w:val="en-US" w:eastAsia="zh-CN"/>
        </w:rPr>
        <w:t>201.95</w:t>
      </w:r>
      <w:r>
        <w:rPr>
          <w:rFonts w:hint="default" w:ascii="Nimbus Roman No9 L" w:hAnsi="Nimbus Roman No9 L" w:eastAsia="仿宋" w:cs="Nimbus Roman No9 L"/>
          <w:sz w:val="32"/>
          <w:szCs w:val="32"/>
        </w:rPr>
        <w:t>万元，占</w:t>
      </w:r>
      <w:r>
        <w:rPr>
          <w:rFonts w:hint="default" w:ascii="Nimbus Roman No9 L" w:hAnsi="Nimbus Roman No9 L" w:eastAsia="仿宋" w:cs="Nimbus Roman No9 L"/>
          <w:sz w:val="32"/>
          <w:szCs w:val="32"/>
          <w:lang w:val="en-US" w:eastAsia="zh-CN"/>
        </w:rPr>
        <w:t>18.4</w:t>
      </w:r>
      <w:r>
        <w:rPr>
          <w:rFonts w:hint="default" w:ascii="Nimbus Roman No9 L" w:hAnsi="Nimbus Roman No9 L" w:eastAsia="仿宋" w:cs="Nimbus Roman No9 L"/>
          <w:sz w:val="32"/>
          <w:szCs w:val="32"/>
        </w:rPr>
        <w:t>%；</w:t>
      </w:r>
      <w:r>
        <w:rPr>
          <w:rFonts w:hint="default" w:ascii="Nimbus Roman No9 L" w:hAnsi="Nimbus Roman No9 L" w:eastAsia="仿宋" w:cs="Nimbus Roman No9 L"/>
          <w:b/>
          <w:bCs/>
          <w:sz w:val="32"/>
          <w:szCs w:val="32"/>
        </w:rPr>
        <w:t>卫生健康支出</w:t>
      </w:r>
      <w:r>
        <w:rPr>
          <w:rFonts w:hint="default" w:ascii="Nimbus Roman No9 L" w:hAnsi="Nimbus Roman No9 L" w:eastAsia="仿宋" w:cs="Nimbus Roman No9 L"/>
          <w:sz w:val="32"/>
          <w:szCs w:val="32"/>
          <w:lang w:val="en-US" w:eastAsia="zh-CN"/>
        </w:rPr>
        <w:t>34.22</w:t>
      </w:r>
      <w:r>
        <w:rPr>
          <w:rFonts w:hint="default" w:ascii="Nimbus Roman No9 L" w:hAnsi="Nimbus Roman No9 L" w:eastAsia="仿宋" w:cs="Nimbus Roman No9 L"/>
          <w:sz w:val="32"/>
          <w:szCs w:val="32"/>
        </w:rPr>
        <w:t>万元，占</w:t>
      </w:r>
      <w:r>
        <w:rPr>
          <w:rFonts w:hint="default" w:ascii="Nimbus Roman No9 L" w:hAnsi="Nimbus Roman No9 L" w:eastAsia="仿宋" w:cs="Nimbus Roman No9 L"/>
          <w:sz w:val="32"/>
          <w:szCs w:val="32"/>
          <w:lang w:val="en-US" w:eastAsia="zh-CN"/>
        </w:rPr>
        <w:t>3.2</w:t>
      </w:r>
      <w:r>
        <w:rPr>
          <w:rFonts w:hint="default" w:ascii="Nimbus Roman No9 L" w:hAnsi="Nimbus Roman No9 L" w:eastAsia="仿宋" w:cs="Nimbus Roman No9 L"/>
          <w:sz w:val="32"/>
          <w:szCs w:val="32"/>
        </w:rPr>
        <w:t>%；</w:t>
      </w:r>
      <w:r>
        <w:rPr>
          <w:rFonts w:hint="default" w:ascii="Nimbus Roman No9 L" w:hAnsi="Nimbus Roman No9 L" w:eastAsia="仿宋" w:cs="Nimbus Roman No9 L"/>
          <w:b/>
          <w:sz w:val="32"/>
          <w:szCs w:val="32"/>
        </w:rPr>
        <w:t>资源勘探工业信息等支出</w:t>
      </w:r>
      <w:r>
        <w:rPr>
          <w:rFonts w:hint="default" w:ascii="Nimbus Roman No9 L" w:hAnsi="Nimbus Roman No9 L" w:eastAsia="仿宋" w:cs="Nimbus Roman No9 L"/>
          <w:sz w:val="32"/>
          <w:szCs w:val="32"/>
          <w:lang w:val="en-US" w:eastAsia="zh-CN"/>
        </w:rPr>
        <w:t>200万元，占18.2%；</w:t>
      </w:r>
      <w:r>
        <w:rPr>
          <w:rFonts w:hint="default" w:ascii="Nimbus Roman No9 L" w:hAnsi="Nimbus Roman No9 L" w:eastAsia="仿宋" w:cs="Nimbus Roman No9 L"/>
          <w:b/>
          <w:bCs/>
          <w:sz w:val="32"/>
          <w:szCs w:val="32"/>
        </w:rPr>
        <w:t>住房保障支出</w:t>
      </w:r>
      <w:r>
        <w:rPr>
          <w:rFonts w:hint="default" w:ascii="Nimbus Roman No9 L" w:hAnsi="Nimbus Roman No9 L" w:eastAsia="仿宋" w:cs="Nimbus Roman No9 L"/>
          <w:sz w:val="32"/>
          <w:szCs w:val="32"/>
          <w:lang w:val="en-US" w:eastAsia="zh-CN"/>
        </w:rPr>
        <w:t>42.9</w:t>
      </w:r>
      <w:r>
        <w:rPr>
          <w:rFonts w:hint="default" w:ascii="Nimbus Roman No9 L" w:hAnsi="Nimbus Roman No9 L" w:eastAsia="仿宋" w:cs="Nimbus Roman No9 L"/>
          <w:sz w:val="32"/>
          <w:szCs w:val="32"/>
        </w:rPr>
        <w:t>万元，占</w:t>
      </w:r>
      <w:r>
        <w:rPr>
          <w:rFonts w:hint="default" w:ascii="Nimbus Roman No9 L" w:hAnsi="Nimbus Roman No9 L" w:eastAsia="仿宋" w:cs="Nimbus Roman No9 L"/>
          <w:sz w:val="32"/>
          <w:szCs w:val="32"/>
          <w:lang w:val="en-US" w:eastAsia="zh-CN"/>
        </w:rPr>
        <w:t>3.9</w:t>
      </w:r>
      <w:r>
        <w:rPr>
          <w:rFonts w:hint="default" w:ascii="Nimbus Roman No9 L" w:hAnsi="Nimbus Roman No9 L" w:eastAsia="仿宋" w:cs="Nimbus Roman No9 L"/>
          <w:sz w:val="32"/>
          <w:szCs w:val="32"/>
        </w:rPr>
        <w:t>%。</w:t>
      </w:r>
    </w:p>
    <w:p w14:paraId="530695DD">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（图6：一般公共预算财政拨款支出决算结构）（饼状图）</w:t>
      </w:r>
    </w:p>
    <w:p w14:paraId="6B4C73A6">
      <w:pPr>
        <w:pStyle w:val="3"/>
        <w:jc w:val="center"/>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cs="Nimbus Roman No9 L"/>
        </w:rPr>
        <w:drawing>
          <wp:inline distT="0" distB="0" distL="114300" distR="114300">
            <wp:extent cx="3943350" cy="2534285"/>
            <wp:effectExtent l="4445" t="4445" r="14605" b="13970"/>
            <wp:docPr id="1437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9DAF92E">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bookmarkStart w:id="32" w:name="_Toc15377212"/>
      <w:r>
        <w:rPr>
          <w:rFonts w:hint="default" w:ascii="Nimbus Roman No9 L" w:hAnsi="Nimbus Roman No9 L" w:eastAsia="楷体_GB2312" w:cs="Nimbus Roman No9 L"/>
          <w:b/>
          <w:color w:val="auto"/>
          <w:sz w:val="32"/>
          <w:szCs w:val="32"/>
          <w:highlight w:val="none"/>
        </w:rPr>
        <w:t>（三）一般公共预算财政拨款支出决算具体情况</w:t>
      </w:r>
      <w:bookmarkEnd w:id="32"/>
    </w:p>
    <w:p w14:paraId="2A9311CA">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bookmarkStart w:id="33" w:name="_Toc15377444"/>
      <w:bookmarkStart w:id="34" w:name="_Toc15378460"/>
      <w:bookmarkStart w:id="35" w:name="_Toc15377213"/>
      <w:r>
        <w:rPr>
          <w:rFonts w:hint="default" w:ascii="Nimbus Roman No9 L" w:hAnsi="Nimbus Roman No9 L" w:eastAsia="仿宋_GB2312" w:cs="Nimbus Roman No9 L"/>
          <w:color w:val="auto"/>
          <w:kern w:val="2"/>
          <w:sz w:val="32"/>
          <w:szCs w:val="32"/>
          <w:highlight w:val="none"/>
          <w:lang w:val="en-US" w:eastAsia="zh-CN" w:bidi="ar-SA"/>
        </w:rPr>
        <w:t>2025年度一般公共预算支出决算数为</w:t>
      </w:r>
      <w:r>
        <w:rPr>
          <w:rFonts w:hint="default" w:ascii="Nimbus Roman No9 L" w:hAnsi="Nimbus Roman No9 L" w:eastAsia="仿宋_GB2312" w:cs="Nimbus Roman No9 L"/>
          <w:sz w:val="32"/>
          <w:szCs w:val="32"/>
        </w:rPr>
        <w:t>1096.97</w:t>
      </w:r>
      <w:r>
        <w:rPr>
          <w:rFonts w:hint="default" w:ascii="Nimbus Roman No9 L" w:hAnsi="Nimbus Roman No9 L" w:eastAsia="仿宋_GB2312" w:cs="Nimbus Roman No9 L"/>
          <w:color w:val="auto"/>
          <w:kern w:val="2"/>
          <w:sz w:val="32"/>
          <w:szCs w:val="32"/>
          <w:highlight w:val="none"/>
          <w:lang w:val="en-US" w:eastAsia="zh-CN" w:bidi="ar-SA"/>
        </w:rPr>
        <w:t>，完成预算100%。其中：</w:t>
      </w:r>
      <w:bookmarkEnd w:id="33"/>
      <w:bookmarkEnd w:id="34"/>
      <w:bookmarkEnd w:id="35"/>
    </w:p>
    <w:p w14:paraId="0539C81E">
      <w:pPr>
        <w:spacing w:line="600" w:lineRule="exact"/>
        <w:ind w:firstLine="643" w:firstLineChars="200"/>
        <w:rPr>
          <w:rFonts w:hint="default" w:ascii="Nimbus Roman No9 L" w:hAnsi="Nimbus Roman No9 L" w:eastAsia="仿宋" w:cs="Nimbus Roman No9 L"/>
          <w:b/>
          <w:sz w:val="32"/>
          <w:szCs w:val="32"/>
        </w:rPr>
      </w:pPr>
      <w:bookmarkStart w:id="36" w:name="_Toc15396608"/>
      <w:bookmarkStart w:id="37" w:name="_Toc15377214"/>
      <w:r>
        <w:rPr>
          <w:rStyle w:val="19"/>
          <w:rFonts w:hint="default" w:ascii="Nimbus Roman No9 L" w:hAnsi="Nimbus Roman No9 L" w:eastAsia="仿宋" w:cs="Nimbus Roman No9 L"/>
          <w:bCs/>
          <w:sz w:val="32"/>
          <w:szCs w:val="32"/>
        </w:rPr>
        <w:t>1.一般公共服务（类）组织事务（款）其他组织事务支出（项）:</w:t>
      </w:r>
      <w:r>
        <w:rPr>
          <w:rStyle w:val="19"/>
          <w:rFonts w:hint="default" w:ascii="Nimbus Roman No9 L" w:hAnsi="Nimbus Roman No9 L" w:eastAsia="仿宋" w:cs="Nimbus Roman No9 L"/>
          <w:b w:val="0"/>
          <w:bCs/>
          <w:sz w:val="32"/>
          <w:szCs w:val="32"/>
        </w:rPr>
        <w:t xml:space="preserve"> 支出决算为</w:t>
      </w:r>
      <w:r>
        <w:rPr>
          <w:rStyle w:val="19"/>
          <w:rFonts w:hint="default" w:ascii="Nimbus Roman No9 L" w:hAnsi="Nimbus Roman No9 L" w:eastAsia="仿宋" w:cs="Nimbus Roman No9 L"/>
          <w:b w:val="0"/>
          <w:bCs/>
          <w:sz w:val="32"/>
          <w:szCs w:val="32"/>
          <w:lang w:val="en-US" w:eastAsia="zh-CN"/>
        </w:rPr>
        <w:t>2.32</w:t>
      </w:r>
      <w:r>
        <w:rPr>
          <w:rStyle w:val="19"/>
          <w:rFonts w:hint="default" w:ascii="Nimbus Roman No9 L" w:hAnsi="Nimbus Roman No9 L" w:eastAsia="仿宋" w:cs="Nimbus Roman No9 L"/>
          <w:b w:val="0"/>
          <w:bCs/>
          <w:sz w:val="32"/>
          <w:szCs w:val="32"/>
        </w:rPr>
        <w:t>万元，完成预算</w:t>
      </w:r>
      <w:r>
        <w:rPr>
          <w:rStyle w:val="19"/>
          <w:rFonts w:hint="default" w:ascii="Nimbus Roman No9 L" w:hAnsi="Nimbus Roman No9 L" w:eastAsia="仿宋" w:cs="Nimbus Roman No9 L"/>
          <w:b w:val="0"/>
          <w:bCs/>
          <w:sz w:val="32"/>
          <w:szCs w:val="32"/>
          <w:lang w:val="en-US" w:eastAsia="zh-CN"/>
        </w:rPr>
        <w:t>100</w:t>
      </w:r>
      <w:r>
        <w:rPr>
          <w:rStyle w:val="19"/>
          <w:rFonts w:hint="default" w:ascii="Nimbus Roman No9 L" w:hAnsi="Nimbus Roman No9 L" w:eastAsia="仿宋" w:cs="Nimbus Roman No9 L"/>
          <w:b w:val="0"/>
          <w:bCs/>
          <w:sz w:val="32"/>
          <w:szCs w:val="32"/>
        </w:rPr>
        <w:t>%，决算数等于预算数。</w:t>
      </w:r>
    </w:p>
    <w:p w14:paraId="6CF91CEE">
      <w:pPr>
        <w:spacing w:line="600" w:lineRule="exact"/>
        <w:ind w:firstLine="643" w:firstLineChars="200"/>
        <w:rPr>
          <w:rFonts w:hint="default" w:ascii="Nimbus Roman No9 L" w:hAnsi="Nimbus Roman No9 L" w:eastAsia="仿宋" w:cs="Nimbus Roman No9 L"/>
          <w:b/>
          <w:sz w:val="32"/>
          <w:szCs w:val="32"/>
        </w:rPr>
      </w:pPr>
      <w:r>
        <w:rPr>
          <w:rStyle w:val="19"/>
          <w:rFonts w:hint="default" w:ascii="Nimbus Roman No9 L" w:hAnsi="Nimbus Roman No9 L" w:eastAsia="仿宋" w:cs="Nimbus Roman No9 L"/>
          <w:bCs/>
          <w:sz w:val="32"/>
          <w:szCs w:val="32"/>
        </w:rPr>
        <w:t>2.科学技术（类）科学技术管理事务（款）行政运行（项）:</w:t>
      </w:r>
      <w:r>
        <w:rPr>
          <w:rStyle w:val="19"/>
          <w:rFonts w:hint="default" w:ascii="Nimbus Roman No9 L" w:hAnsi="Nimbus Roman No9 L" w:eastAsia="仿宋" w:cs="Nimbus Roman No9 L"/>
          <w:b w:val="0"/>
          <w:bCs/>
          <w:sz w:val="32"/>
          <w:szCs w:val="32"/>
        </w:rPr>
        <w:t xml:space="preserve"> 支出决算为</w:t>
      </w:r>
      <w:r>
        <w:rPr>
          <w:rStyle w:val="19"/>
          <w:rFonts w:hint="default" w:ascii="Nimbus Roman No9 L" w:hAnsi="Nimbus Roman No9 L" w:eastAsia="仿宋" w:cs="Nimbus Roman No9 L"/>
          <w:b w:val="0"/>
          <w:bCs/>
          <w:sz w:val="32"/>
          <w:szCs w:val="32"/>
          <w:lang w:val="en-US" w:eastAsia="zh-CN"/>
        </w:rPr>
        <w:t>456.94</w:t>
      </w:r>
      <w:r>
        <w:rPr>
          <w:rStyle w:val="19"/>
          <w:rFonts w:hint="default" w:ascii="Nimbus Roman No9 L" w:hAnsi="Nimbus Roman No9 L" w:eastAsia="仿宋" w:cs="Nimbus Roman No9 L"/>
          <w:b w:val="0"/>
          <w:bCs/>
          <w:sz w:val="32"/>
          <w:szCs w:val="32"/>
        </w:rPr>
        <w:t>万元，完成预算</w:t>
      </w:r>
      <w:r>
        <w:rPr>
          <w:rStyle w:val="19"/>
          <w:rFonts w:hint="default" w:ascii="Nimbus Roman No9 L" w:hAnsi="Nimbus Roman No9 L" w:eastAsia="仿宋" w:cs="Nimbus Roman No9 L"/>
          <w:b w:val="0"/>
          <w:bCs/>
          <w:sz w:val="32"/>
          <w:szCs w:val="32"/>
          <w:lang w:val="en-US" w:eastAsia="zh-CN"/>
        </w:rPr>
        <w:t>100</w:t>
      </w:r>
      <w:r>
        <w:rPr>
          <w:rStyle w:val="19"/>
          <w:rFonts w:hint="default" w:ascii="Nimbus Roman No9 L" w:hAnsi="Nimbus Roman No9 L" w:eastAsia="仿宋" w:cs="Nimbus Roman No9 L"/>
          <w:b w:val="0"/>
          <w:bCs/>
          <w:sz w:val="32"/>
          <w:szCs w:val="32"/>
        </w:rPr>
        <w:t>%，决算数等于预算数</w:t>
      </w:r>
      <w:r>
        <w:rPr>
          <w:rStyle w:val="19"/>
          <w:rFonts w:hint="default" w:ascii="Nimbus Roman No9 L" w:hAnsi="Nimbus Roman No9 L" w:eastAsia="仿宋" w:cs="Nimbus Roman No9 L"/>
          <w:b w:val="0"/>
          <w:bCs/>
          <w:sz w:val="32"/>
          <w:szCs w:val="32"/>
          <w:lang w:eastAsia="zh-CN"/>
        </w:rPr>
        <w:t>；</w:t>
      </w:r>
      <w:r>
        <w:rPr>
          <w:rStyle w:val="19"/>
          <w:rFonts w:hint="default" w:ascii="Nimbus Roman No9 L" w:hAnsi="Nimbus Roman No9 L" w:eastAsia="仿宋" w:cs="Nimbus Roman No9 L"/>
          <w:bCs/>
          <w:sz w:val="32"/>
          <w:szCs w:val="32"/>
        </w:rPr>
        <w:t>科学技术管理事务（款）</w:t>
      </w:r>
      <w:r>
        <w:rPr>
          <w:rStyle w:val="19"/>
          <w:rFonts w:hint="default" w:ascii="Nimbus Roman No9 L" w:hAnsi="Nimbus Roman No9 L" w:eastAsia="仿宋" w:cs="Nimbus Roman No9 L"/>
          <w:b/>
          <w:bCs w:val="0"/>
          <w:sz w:val="32"/>
          <w:szCs w:val="32"/>
          <w:lang w:eastAsia="zh-CN"/>
        </w:rPr>
        <w:t>其他科学技术管理事务支出</w:t>
      </w:r>
      <w:r>
        <w:rPr>
          <w:rStyle w:val="19"/>
          <w:rFonts w:hint="default" w:ascii="Nimbus Roman No9 L" w:hAnsi="Nimbus Roman No9 L" w:eastAsia="仿宋" w:cs="Nimbus Roman No9 L"/>
          <w:b/>
          <w:bCs w:val="0"/>
          <w:sz w:val="32"/>
          <w:szCs w:val="32"/>
        </w:rPr>
        <w:t>（项</w:t>
      </w:r>
      <w:r>
        <w:rPr>
          <w:rStyle w:val="19"/>
          <w:rFonts w:hint="default" w:ascii="Nimbus Roman No9 L" w:hAnsi="Nimbus Roman No9 L" w:eastAsia="仿宋" w:cs="Nimbus Roman No9 L"/>
          <w:bCs/>
          <w:sz w:val="32"/>
          <w:szCs w:val="32"/>
        </w:rPr>
        <w:t>）</w:t>
      </w:r>
      <w:r>
        <w:rPr>
          <w:rStyle w:val="19"/>
          <w:rFonts w:hint="default" w:ascii="Nimbus Roman No9 L" w:hAnsi="Nimbus Roman No9 L" w:eastAsia="仿宋" w:cs="Nimbus Roman No9 L"/>
          <w:bCs/>
          <w:sz w:val="32"/>
          <w:szCs w:val="32"/>
          <w:lang w:eastAsia="zh-CN"/>
        </w:rPr>
        <w:t>：</w:t>
      </w:r>
      <w:r>
        <w:rPr>
          <w:rStyle w:val="19"/>
          <w:rFonts w:hint="default" w:ascii="Nimbus Roman No9 L" w:hAnsi="Nimbus Roman No9 L" w:eastAsia="仿宋" w:cs="Nimbus Roman No9 L"/>
          <w:b w:val="0"/>
          <w:bCs/>
          <w:sz w:val="32"/>
          <w:szCs w:val="32"/>
        </w:rPr>
        <w:t>支出决算为</w:t>
      </w:r>
      <w:r>
        <w:rPr>
          <w:rStyle w:val="19"/>
          <w:rFonts w:hint="default" w:ascii="Nimbus Roman No9 L" w:hAnsi="Nimbus Roman No9 L" w:eastAsia="仿宋" w:cs="Nimbus Roman No9 L"/>
          <w:b w:val="0"/>
          <w:bCs/>
          <w:sz w:val="32"/>
          <w:szCs w:val="32"/>
          <w:lang w:val="en-US" w:eastAsia="zh-CN"/>
        </w:rPr>
        <w:t>4.95</w:t>
      </w:r>
      <w:r>
        <w:rPr>
          <w:rStyle w:val="19"/>
          <w:rFonts w:hint="default" w:ascii="Nimbus Roman No9 L" w:hAnsi="Nimbus Roman No9 L" w:eastAsia="仿宋" w:cs="Nimbus Roman No9 L"/>
          <w:b w:val="0"/>
          <w:bCs/>
          <w:sz w:val="32"/>
          <w:szCs w:val="32"/>
        </w:rPr>
        <w:t>万元，完成预算</w:t>
      </w:r>
      <w:r>
        <w:rPr>
          <w:rStyle w:val="19"/>
          <w:rFonts w:hint="default" w:ascii="Nimbus Roman No9 L" w:hAnsi="Nimbus Roman No9 L" w:eastAsia="仿宋" w:cs="Nimbus Roman No9 L"/>
          <w:b w:val="0"/>
          <w:bCs/>
          <w:sz w:val="32"/>
          <w:szCs w:val="32"/>
          <w:lang w:val="en-US" w:eastAsia="zh-CN"/>
        </w:rPr>
        <w:t>100</w:t>
      </w:r>
      <w:r>
        <w:rPr>
          <w:rStyle w:val="19"/>
          <w:rFonts w:hint="default" w:ascii="Nimbus Roman No9 L" w:hAnsi="Nimbus Roman No9 L" w:eastAsia="仿宋" w:cs="Nimbus Roman No9 L"/>
          <w:b w:val="0"/>
          <w:bCs/>
          <w:sz w:val="32"/>
          <w:szCs w:val="32"/>
        </w:rPr>
        <w:t>%，决算数等于预算数</w:t>
      </w:r>
      <w:r>
        <w:rPr>
          <w:rStyle w:val="19"/>
          <w:rFonts w:hint="default" w:ascii="Nimbus Roman No9 L" w:hAnsi="Nimbus Roman No9 L" w:eastAsia="仿宋" w:cs="Nimbus Roman No9 L"/>
          <w:b w:val="0"/>
          <w:bCs/>
          <w:sz w:val="32"/>
          <w:szCs w:val="32"/>
          <w:lang w:eastAsia="zh-CN"/>
        </w:rPr>
        <w:t>；</w:t>
      </w:r>
      <w:r>
        <w:rPr>
          <w:rStyle w:val="19"/>
          <w:rFonts w:hint="default" w:ascii="Nimbus Roman No9 L" w:hAnsi="Nimbus Roman No9 L" w:eastAsia="仿宋" w:cs="Nimbus Roman No9 L"/>
          <w:bCs/>
          <w:sz w:val="32"/>
          <w:szCs w:val="32"/>
        </w:rPr>
        <w:t>其他科学技术支出（款）</w:t>
      </w:r>
      <w:r>
        <w:rPr>
          <w:rStyle w:val="19"/>
          <w:rFonts w:hint="default" w:ascii="Nimbus Roman No9 L" w:hAnsi="Nimbus Roman No9 L" w:eastAsia="仿宋" w:cs="Nimbus Roman No9 L"/>
          <w:b/>
          <w:bCs w:val="0"/>
          <w:sz w:val="32"/>
          <w:szCs w:val="32"/>
          <w:lang w:eastAsia="zh-CN"/>
        </w:rPr>
        <w:t xml:space="preserve"> 其他科学技术支出</w:t>
      </w:r>
      <w:r>
        <w:rPr>
          <w:rStyle w:val="19"/>
          <w:rFonts w:hint="default" w:ascii="Nimbus Roman No9 L" w:hAnsi="Nimbus Roman No9 L" w:eastAsia="仿宋" w:cs="Nimbus Roman No9 L"/>
          <w:b/>
          <w:bCs w:val="0"/>
          <w:sz w:val="32"/>
          <w:szCs w:val="32"/>
        </w:rPr>
        <w:t>（项</w:t>
      </w:r>
      <w:r>
        <w:rPr>
          <w:rStyle w:val="19"/>
          <w:rFonts w:hint="default" w:ascii="Nimbus Roman No9 L" w:hAnsi="Nimbus Roman No9 L" w:eastAsia="仿宋" w:cs="Nimbus Roman No9 L"/>
          <w:bCs/>
          <w:sz w:val="32"/>
          <w:szCs w:val="32"/>
        </w:rPr>
        <w:t>）</w:t>
      </w:r>
      <w:r>
        <w:rPr>
          <w:rStyle w:val="19"/>
          <w:rFonts w:hint="default" w:ascii="Nimbus Roman No9 L" w:hAnsi="Nimbus Roman No9 L" w:eastAsia="仿宋" w:cs="Nimbus Roman No9 L"/>
          <w:bCs/>
          <w:sz w:val="32"/>
          <w:szCs w:val="32"/>
          <w:lang w:eastAsia="zh-CN"/>
        </w:rPr>
        <w:t>：</w:t>
      </w:r>
      <w:r>
        <w:rPr>
          <w:rStyle w:val="19"/>
          <w:rFonts w:hint="default" w:ascii="Nimbus Roman No9 L" w:hAnsi="Nimbus Roman No9 L" w:eastAsia="仿宋" w:cs="Nimbus Roman No9 L"/>
          <w:b w:val="0"/>
          <w:bCs/>
          <w:sz w:val="32"/>
          <w:szCs w:val="32"/>
        </w:rPr>
        <w:t>支出决算为</w:t>
      </w:r>
      <w:r>
        <w:rPr>
          <w:rStyle w:val="19"/>
          <w:rFonts w:hint="default" w:ascii="Nimbus Roman No9 L" w:hAnsi="Nimbus Roman No9 L" w:eastAsia="仿宋" w:cs="Nimbus Roman No9 L"/>
          <w:b w:val="0"/>
          <w:bCs/>
          <w:sz w:val="32"/>
          <w:szCs w:val="32"/>
          <w:lang w:val="en-US" w:eastAsia="zh-CN"/>
        </w:rPr>
        <w:t>153.67</w:t>
      </w:r>
      <w:r>
        <w:rPr>
          <w:rStyle w:val="19"/>
          <w:rFonts w:hint="default" w:ascii="Nimbus Roman No9 L" w:hAnsi="Nimbus Roman No9 L" w:eastAsia="仿宋" w:cs="Nimbus Roman No9 L"/>
          <w:b w:val="0"/>
          <w:bCs/>
          <w:sz w:val="32"/>
          <w:szCs w:val="32"/>
        </w:rPr>
        <w:t>万元，完成预算</w:t>
      </w:r>
      <w:r>
        <w:rPr>
          <w:rStyle w:val="19"/>
          <w:rFonts w:hint="default" w:ascii="Nimbus Roman No9 L" w:hAnsi="Nimbus Roman No9 L" w:eastAsia="仿宋" w:cs="Nimbus Roman No9 L"/>
          <w:b w:val="0"/>
          <w:bCs/>
          <w:sz w:val="32"/>
          <w:szCs w:val="32"/>
          <w:lang w:val="en-US" w:eastAsia="zh-CN"/>
        </w:rPr>
        <w:t>100</w:t>
      </w:r>
      <w:r>
        <w:rPr>
          <w:rStyle w:val="19"/>
          <w:rFonts w:hint="default" w:ascii="Nimbus Roman No9 L" w:hAnsi="Nimbus Roman No9 L" w:eastAsia="仿宋" w:cs="Nimbus Roman No9 L"/>
          <w:b w:val="0"/>
          <w:bCs/>
          <w:sz w:val="32"/>
          <w:szCs w:val="32"/>
        </w:rPr>
        <w:t>%，决算数等于预算数。</w:t>
      </w:r>
    </w:p>
    <w:p w14:paraId="1F8C2E92">
      <w:pPr>
        <w:spacing w:line="600" w:lineRule="exact"/>
        <w:ind w:firstLine="643" w:firstLineChars="200"/>
        <w:rPr>
          <w:rFonts w:hint="default" w:ascii="Nimbus Roman No9 L" w:hAnsi="Nimbus Roman No9 L" w:eastAsia="仿宋" w:cs="Nimbus Roman No9 L"/>
          <w:b/>
          <w:sz w:val="32"/>
          <w:szCs w:val="32"/>
          <w:lang w:eastAsia="zh-CN"/>
        </w:rPr>
      </w:pPr>
      <w:r>
        <w:rPr>
          <w:rStyle w:val="19"/>
          <w:rFonts w:hint="default" w:ascii="Nimbus Roman No9 L" w:hAnsi="Nimbus Roman No9 L" w:eastAsia="仿宋" w:cs="Nimbus Roman No9 L"/>
          <w:bCs/>
          <w:sz w:val="32"/>
          <w:szCs w:val="32"/>
          <w:lang w:val="en-US" w:eastAsia="zh-CN"/>
        </w:rPr>
        <w:t>3</w:t>
      </w:r>
      <w:r>
        <w:rPr>
          <w:rStyle w:val="19"/>
          <w:rFonts w:hint="default" w:ascii="Nimbus Roman No9 L" w:hAnsi="Nimbus Roman No9 L" w:eastAsia="仿宋" w:cs="Nimbus Roman No9 L"/>
          <w:bCs/>
          <w:sz w:val="32"/>
          <w:szCs w:val="32"/>
        </w:rPr>
        <w:t>.社会保障和就业（类）</w:t>
      </w:r>
      <w:r>
        <w:rPr>
          <w:rStyle w:val="19"/>
          <w:rFonts w:hint="default" w:ascii="Nimbus Roman No9 L" w:hAnsi="Nimbus Roman No9 L" w:eastAsia="仿宋" w:cs="Nimbus Roman No9 L"/>
          <w:b/>
          <w:bCs w:val="0"/>
          <w:sz w:val="32"/>
          <w:szCs w:val="32"/>
          <w:lang w:eastAsia="zh-CN"/>
        </w:rPr>
        <w:t>行政事业单位养老支出</w:t>
      </w:r>
      <w:r>
        <w:rPr>
          <w:rStyle w:val="19"/>
          <w:rFonts w:hint="default" w:ascii="Nimbus Roman No9 L" w:hAnsi="Nimbus Roman No9 L" w:eastAsia="仿宋" w:cs="Nimbus Roman No9 L"/>
          <w:bCs/>
          <w:sz w:val="32"/>
          <w:szCs w:val="32"/>
        </w:rPr>
        <w:t>（款）行政单位离退休（项）:</w:t>
      </w:r>
      <w:r>
        <w:rPr>
          <w:rStyle w:val="19"/>
          <w:rFonts w:hint="default" w:ascii="Nimbus Roman No9 L" w:hAnsi="Nimbus Roman No9 L" w:eastAsia="仿宋" w:cs="Nimbus Roman No9 L"/>
          <w:b w:val="0"/>
          <w:bCs/>
          <w:sz w:val="32"/>
          <w:szCs w:val="32"/>
        </w:rPr>
        <w:t xml:space="preserve"> 支出决算为</w:t>
      </w:r>
      <w:r>
        <w:rPr>
          <w:rStyle w:val="19"/>
          <w:rFonts w:hint="default" w:ascii="Nimbus Roman No9 L" w:hAnsi="Nimbus Roman No9 L" w:eastAsia="仿宋" w:cs="Nimbus Roman No9 L"/>
          <w:b w:val="0"/>
          <w:bCs/>
          <w:sz w:val="32"/>
          <w:szCs w:val="32"/>
          <w:lang w:val="en-US" w:eastAsia="zh-CN"/>
        </w:rPr>
        <w:t>127.05</w:t>
      </w:r>
      <w:r>
        <w:rPr>
          <w:rStyle w:val="19"/>
          <w:rFonts w:hint="default" w:ascii="Nimbus Roman No9 L" w:hAnsi="Nimbus Roman No9 L" w:eastAsia="仿宋" w:cs="Nimbus Roman No9 L"/>
          <w:b w:val="0"/>
          <w:bCs/>
          <w:sz w:val="32"/>
          <w:szCs w:val="32"/>
        </w:rPr>
        <w:t>万元，完成预算</w:t>
      </w:r>
      <w:r>
        <w:rPr>
          <w:rStyle w:val="19"/>
          <w:rFonts w:hint="default" w:ascii="Nimbus Roman No9 L" w:hAnsi="Nimbus Roman No9 L" w:eastAsia="仿宋" w:cs="Nimbus Roman No9 L"/>
          <w:b w:val="0"/>
          <w:bCs/>
          <w:sz w:val="32"/>
          <w:szCs w:val="32"/>
          <w:lang w:val="en-US" w:eastAsia="zh-CN"/>
        </w:rPr>
        <w:t>100</w:t>
      </w:r>
      <w:r>
        <w:rPr>
          <w:rStyle w:val="19"/>
          <w:rFonts w:hint="default" w:ascii="Nimbus Roman No9 L" w:hAnsi="Nimbus Roman No9 L" w:eastAsia="仿宋" w:cs="Nimbus Roman No9 L"/>
          <w:b w:val="0"/>
          <w:bCs/>
          <w:sz w:val="32"/>
          <w:szCs w:val="32"/>
        </w:rPr>
        <w:t>%，决算数等于预算数</w:t>
      </w:r>
      <w:r>
        <w:rPr>
          <w:rStyle w:val="19"/>
          <w:rFonts w:hint="default" w:ascii="Nimbus Roman No9 L" w:hAnsi="Nimbus Roman No9 L" w:eastAsia="仿宋" w:cs="Nimbus Roman No9 L"/>
          <w:b w:val="0"/>
          <w:bCs/>
          <w:sz w:val="32"/>
          <w:szCs w:val="32"/>
          <w:lang w:eastAsia="zh-CN"/>
        </w:rPr>
        <w:t>；</w:t>
      </w:r>
      <w:r>
        <w:rPr>
          <w:rStyle w:val="19"/>
          <w:rFonts w:hint="default" w:ascii="Nimbus Roman No9 L" w:hAnsi="Nimbus Roman No9 L" w:eastAsia="仿宋" w:cs="Nimbus Roman No9 L"/>
          <w:b/>
          <w:bCs w:val="0"/>
          <w:sz w:val="32"/>
          <w:szCs w:val="32"/>
          <w:lang w:eastAsia="zh-CN"/>
        </w:rPr>
        <w:t>行政事业单位养老支出</w:t>
      </w:r>
      <w:r>
        <w:rPr>
          <w:rStyle w:val="19"/>
          <w:rFonts w:hint="default" w:ascii="Nimbus Roman No9 L" w:hAnsi="Nimbus Roman No9 L" w:eastAsia="仿宋" w:cs="Nimbus Roman No9 L"/>
          <w:bCs/>
          <w:sz w:val="32"/>
          <w:szCs w:val="32"/>
        </w:rPr>
        <w:t>（款）机关事业单位基本养老保险缴费支出（项）:</w:t>
      </w:r>
      <w:r>
        <w:rPr>
          <w:rStyle w:val="19"/>
          <w:rFonts w:hint="default" w:ascii="Nimbus Roman No9 L" w:hAnsi="Nimbus Roman No9 L" w:eastAsia="仿宋" w:cs="Nimbus Roman No9 L"/>
          <w:b w:val="0"/>
          <w:bCs/>
          <w:sz w:val="32"/>
          <w:szCs w:val="32"/>
        </w:rPr>
        <w:t xml:space="preserve"> 支出决算为</w:t>
      </w:r>
      <w:r>
        <w:rPr>
          <w:rStyle w:val="19"/>
          <w:rFonts w:hint="default" w:ascii="Nimbus Roman No9 L" w:hAnsi="Nimbus Roman No9 L" w:eastAsia="仿宋" w:cs="Nimbus Roman No9 L"/>
          <w:b w:val="0"/>
          <w:bCs/>
          <w:sz w:val="32"/>
          <w:szCs w:val="32"/>
          <w:lang w:val="en-US" w:eastAsia="zh-CN"/>
        </w:rPr>
        <w:t>51.97</w:t>
      </w:r>
      <w:r>
        <w:rPr>
          <w:rStyle w:val="19"/>
          <w:rFonts w:hint="default" w:ascii="Nimbus Roman No9 L" w:hAnsi="Nimbus Roman No9 L" w:eastAsia="仿宋" w:cs="Nimbus Roman No9 L"/>
          <w:b w:val="0"/>
          <w:bCs/>
          <w:sz w:val="32"/>
          <w:szCs w:val="32"/>
        </w:rPr>
        <w:t>万元，完成预算</w:t>
      </w:r>
      <w:r>
        <w:rPr>
          <w:rStyle w:val="19"/>
          <w:rFonts w:hint="default" w:ascii="Nimbus Roman No9 L" w:hAnsi="Nimbus Roman No9 L" w:eastAsia="仿宋" w:cs="Nimbus Roman No9 L"/>
          <w:b w:val="0"/>
          <w:bCs/>
          <w:sz w:val="32"/>
          <w:szCs w:val="32"/>
          <w:lang w:val="en-US" w:eastAsia="zh-CN"/>
        </w:rPr>
        <w:t>100</w:t>
      </w:r>
      <w:r>
        <w:rPr>
          <w:rStyle w:val="19"/>
          <w:rFonts w:hint="default" w:ascii="Nimbus Roman No9 L" w:hAnsi="Nimbus Roman No9 L" w:eastAsia="仿宋" w:cs="Nimbus Roman No9 L"/>
          <w:b w:val="0"/>
          <w:bCs/>
          <w:sz w:val="32"/>
          <w:szCs w:val="32"/>
        </w:rPr>
        <w:t>%，决算数等于预算数</w:t>
      </w:r>
      <w:r>
        <w:rPr>
          <w:rStyle w:val="19"/>
          <w:rFonts w:hint="default" w:ascii="Nimbus Roman No9 L" w:hAnsi="Nimbus Roman No9 L" w:eastAsia="仿宋" w:cs="Nimbus Roman No9 L"/>
          <w:b w:val="0"/>
          <w:bCs/>
          <w:sz w:val="32"/>
          <w:szCs w:val="32"/>
          <w:lang w:eastAsia="zh-CN"/>
        </w:rPr>
        <w:t>；</w:t>
      </w:r>
      <w:r>
        <w:rPr>
          <w:rStyle w:val="19"/>
          <w:rFonts w:hint="default" w:ascii="Nimbus Roman No9 L" w:hAnsi="Nimbus Roman No9 L" w:eastAsia="仿宋" w:cs="Nimbus Roman No9 L"/>
          <w:b/>
          <w:bCs w:val="0"/>
          <w:sz w:val="32"/>
          <w:szCs w:val="32"/>
          <w:lang w:eastAsia="zh-CN"/>
        </w:rPr>
        <w:t>行政事业单位养老支出</w:t>
      </w:r>
      <w:r>
        <w:rPr>
          <w:rStyle w:val="19"/>
          <w:rFonts w:hint="default" w:ascii="Nimbus Roman No9 L" w:hAnsi="Nimbus Roman No9 L" w:eastAsia="仿宋" w:cs="Nimbus Roman No9 L"/>
          <w:bCs/>
          <w:sz w:val="32"/>
          <w:szCs w:val="32"/>
        </w:rPr>
        <w:t>（款</w:t>
      </w:r>
      <w:r>
        <w:rPr>
          <w:rStyle w:val="19"/>
          <w:rFonts w:hint="default" w:ascii="Nimbus Roman No9 L" w:hAnsi="Nimbus Roman No9 L" w:eastAsia="仿宋" w:cs="Nimbus Roman No9 L"/>
          <w:b/>
          <w:bCs w:val="0"/>
          <w:sz w:val="32"/>
          <w:szCs w:val="32"/>
          <w:lang w:eastAsia="zh-CN"/>
        </w:rPr>
        <w:t>）机关事业单位职业年金缴费支出</w:t>
      </w:r>
      <w:r>
        <w:rPr>
          <w:rStyle w:val="19"/>
          <w:rFonts w:hint="default" w:ascii="Nimbus Roman No9 L" w:hAnsi="Nimbus Roman No9 L" w:eastAsia="仿宋" w:cs="Nimbus Roman No9 L"/>
          <w:bCs/>
          <w:sz w:val="32"/>
          <w:szCs w:val="32"/>
        </w:rPr>
        <w:t>（项）</w:t>
      </w:r>
      <w:r>
        <w:rPr>
          <w:rStyle w:val="19"/>
          <w:rFonts w:hint="default" w:ascii="Nimbus Roman No9 L" w:hAnsi="Nimbus Roman No9 L" w:eastAsia="仿宋" w:cs="Nimbus Roman No9 L"/>
          <w:b w:val="0"/>
          <w:bCs/>
          <w:sz w:val="32"/>
          <w:szCs w:val="32"/>
        </w:rPr>
        <w:t>支出决算为</w:t>
      </w:r>
      <w:r>
        <w:rPr>
          <w:rStyle w:val="19"/>
          <w:rFonts w:hint="default" w:ascii="Nimbus Roman No9 L" w:hAnsi="Nimbus Roman No9 L" w:eastAsia="仿宋" w:cs="Nimbus Roman No9 L"/>
          <w:b w:val="0"/>
          <w:bCs/>
          <w:sz w:val="32"/>
          <w:szCs w:val="32"/>
          <w:lang w:val="en-US" w:eastAsia="zh-CN"/>
        </w:rPr>
        <w:t>22.76</w:t>
      </w:r>
      <w:r>
        <w:rPr>
          <w:rStyle w:val="19"/>
          <w:rFonts w:hint="default" w:ascii="Nimbus Roman No9 L" w:hAnsi="Nimbus Roman No9 L" w:eastAsia="仿宋" w:cs="Nimbus Roman No9 L"/>
          <w:b w:val="0"/>
          <w:bCs/>
          <w:sz w:val="32"/>
          <w:szCs w:val="32"/>
        </w:rPr>
        <w:t>万元，完成预算</w:t>
      </w:r>
      <w:r>
        <w:rPr>
          <w:rStyle w:val="19"/>
          <w:rFonts w:hint="default" w:ascii="Nimbus Roman No9 L" w:hAnsi="Nimbus Roman No9 L" w:eastAsia="仿宋" w:cs="Nimbus Roman No9 L"/>
          <w:b w:val="0"/>
          <w:bCs/>
          <w:sz w:val="32"/>
          <w:szCs w:val="32"/>
          <w:lang w:val="en-US" w:eastAsia="zh-CN"/>
        </w:rPr>
        <w:t>100</w:t>
      </w:r>
      <w:r>
        <w:rPr>
          <w:rStyle w:val="19"/>
          <w:rFonts w:hint="default" w:ascii="Nimbus Roman No9 L" w:hAnsi="Nimbus Roman No9 L" w:eastAsia="仿宋" w:cs="Nimbus Roman No9 L"/>
          <w:b w:val="0"/>
          <w:bCs/>
          <w:sz w:val="32"/>
          <w:szCs w:val="32"/>
        </w:rPr>
        <w:t>%，决算数等于预算数</w:t>
      </w:r>
      <w:r>
        <w:rPr>
          <w:rStyle w:val="19"/>
          <w:rFonts w:hint="default" w:ascii="Nimbus Roman No9 L" w:hAnsi="Nimbus Roman No9 L" w:eastAsia="仿宋" w:cs="Nimbus Roman No9 L"/>
          <w:b w:val="0"/>
          <w:bCs/>
          <w:sz w:val="32"/>
          <w:szCs w:val="32"/>
          <w:lang w:eastAsia="zh-CN"/>
        </w:rPr>
        <w:t>；</w:t>
      </w:r>
      <w:r>
        <w:rPr>
          <w:rStyle w:val="19"/>
          <w:rFonts w:hint="default" w:ascii="Nimbus Roman No9 L" w:hAnsi="Nimbus Roman No9 L" w:eastAsia="仿宋" w:cs="Nimbus Roman No9 L"/>
          <w:b/>
          <w:bCs w:val="0"/>
          <w:sz w:val="32"/>
          <w:szCs w:val="32"/>
          <w:lang w:eastAsia="zh-CN"/>
        </w:rPr>
        <w:t>社会福利</w:t>
      </w:r>
      <w:r>
        <w:rPr>
          <w:rStyle w:val="19"/>
          <w:rFonts w:hint="default" w:ascii="Nimbus Roman No9 L" w:hAnsi="Nimbus Roman No9 L" w:eastAsia="仿宋" w:cs="Nimbus Roman No9 L"/>
          <w:bCs/>
          <w:sz w:val="32"/>
          <w:szCs w:val="32"/>
        </w:rPr>
        <w:t>（款）儿童福利</w:t>
      </w:r>
      <w:r>
        <w:rPr>
          <w:rStyle w:val="19"/>
          <w:rFonts w:hint="default" w:ascii="Nimbus Roman No9 L" w:hAnsi="Nimbus Roman No9 L" w:eastAsia="仿宋" w:cs="Nimbus Roman No9 L"/>
          <w:bCs/>
          <w:sz w:val="32"/>
          <w:szCs w:val="32"/>
          <w:lang w:eastAsia="zh-CN"/>
        </w:rPr>
        <w:t>（项目）：</w:t>
      </w:r>
      <w:r>
        <w:rPr>
          <w:rStyle w:val="19"/>
          <w:rFonts w:hint="default" w:ascii="Nimbus Roman No9 L" w:hAnsi="Nimbus Roman No9 L" w:eastAsia="仿宋" w:cs="Nimbus Roman No9 L"/>
          <w:b w:val="0"/>
          <w:bCs/>
          <w:sz w:val="32"/>
          <w:szCs w:val="32"/>
        </w:rPr>
        <w:t>支出决算为</w:t>
      </w:r>
      <w:r>
        <w:rPr>
          <w:rStyle w:val="19"/>
          <w:rFonts w:hint="default" w:ascii="Nimbus Roman No9 L" w:hAnsi="Nimbus Roman No9 L" w:eastAsia="仿宋" w:cs="Nimbus Roman No9 L"/>
          <w:b w:val="0"/>
          <w:bCs/>
          <w:sz w:val="32"/>
          <w:szCs w:val="32"/>
          <w:lang w:val="en-US" w:eastAsia="zh-CN"/>
        </w:rPr>
        <w:t>0.16</w:t>
      </w:r>
      <w:r>
        <w:rPr>
          <w:rStyle w:val="19"/>
          <w:rFonts w:hint="default" w:ascii="Nimbus Roman No9 L" w:hAnsi="Nimbus Roman No9 L" w:eastAsia="仿宋" w:cs="Nimbus Roman No9 L"/>
          <w:b w:val="0"/>
          <w:bCs/>
          <w:sz w:val="32"/>
          <w:szCs w:val="32"/>
        </w:rPr>
        <w:t>万元，完成预算</w:t>
      </w:r>
      <w:r>
        <w:rPr>
          <w:rStyle w:val="19"/>
          <w:rFonts w:hint="default" w:ascii="Nimbus Roman No9 L" w:hAnsi="Nimbus Roman No9 L" w:eastAsia="仿宋" w:cs="Nimbus Roman No9 L"/>
          <w:b w:val="0"/>
          <w:bCs/>
          <w:sz w:val="32"/>
          <w:szCs w:val="32"/>
          <w:lang w:val="en-US" w:eastAsia="zh-CN"/>
        </w:rPr>
        <w:t>100</w:t>
      </w:r>
      <w:r>
        <w:rPr>
          <w:rStyle w:val="19"/>
          <w:rFonts w:hint="default" w:ascii="Nimbus Roman No9 L" w:hAnsi="Nimbus Roman No9 L" w:eastAsia="仿宋" w:cs="Nimbus Roman No9 L"/>
          <w:b w:val="0"/>
          <w:bCs/>
          <w:sz w:val="32"/>
          <w:szCs w:val="32"/>
        </w:rPr>
        <w:t>%，决算数等于预算数</w:t>
      </w:r>
      <w:r>
        <w:rPr>
          <w:rStyle w:val="19"/>
          <w:rFonts w:hint="default" w:ascii="Nimbus Roman No9 L" w:hAnsi="Nimbus Roman No9 L" w:eastAsia="仿宋" w:cs="Nimbus Roman No9 L"/>
          <w:b w:val="0"/>
          <w:bCs/>
          <w:sz w:val="32"/>
          <w:szCs w:val="32"/>
          <w:lang w:eastAsia="zh-CN"/>
        </w:rPr>
        <w:t>。</w:t>
      </w:r>
    </w:p>
    <w:p w14:paraId="4B65741F">
      <w:pPr>
        <w:spacing w:line="600" w:lineRule="exact"/>
        <w:ind w:firstLine="643" w:firstLineChars="200"/>
        <w:rPr>
          <w:rFonts w:hint="default" w:ascii="Nimbus Roman No9 L" w:hAnsi="Nimbus Roman No9 L" w:eastAsia="仿宋" w:cs="Nimbus Roman No9 L"/>
          <w:b/>
          <w:sz w:val="32"/>
          <w:szCs w:val="32"/>
        </w:rPr>
      </w:pPr>
      <w:r>
        <w:rPr>
          <w:rStyle w:val="19"/>
          <w:rFonts w:hint="default" w:ascii="Nimbus Roman No9 L" w:hAnsi="Nimbus Roman No9 L" w:eastAsia="仿宋" w:cs="Nimbus Roman No9 L"/>
          <w:bCs/>
          <w:sz w:val="32"/>
          <w:szCs w:val="32"/>
          <w:lang w:val="en-US" w:eastAsia="zh-CN"/>
        </w:rPr>
        <w:t>4</w:t>
      </w:r>
      <w:r>
        <w:rPr>
          <w:rStyle w:val="19"/>
          <w:rFonts w:hint="default" w:ascii="Nimbus Roman No9 L" w:hAnsi="Nimbus Roman No9 L" w:eastAsia="仿宋" w:cs="Nimbus Roman No9 L"/>
          <w:bCs/>
          <w:sz w:val="32"/>
          <w:szCs w:val="32"/>
        </w:rPr>
        <w:t>.</w:t>
      </w:r>
      <w:r>
        <w:rPr>
          <w:rFonts w:hint="default" w:ascii="Nimbus Roman No9 L" w:hAnsi="Nimbus Roman No9 L" w:eastAsia="仿宋" w:cs="Nimbus Roman No9 L"/>
          <w:b/>
          <w:bCs/>
          <w:sz w:val="32"/>
          <w:szCs w:val="32"/>
        </w:rPr>
        <w:t>卫生健康</w:t>
      </w:r>
      <w:r>
        <w:rPr>
          <w:rStyle w:val="19"/>
          <w:rFonts w:hint="default" w:ascii="Nimbus Roman No9 L" w:hAnsi="Nimbus Roman No9 L" w:eastAsia="仿宋" w:cs="Nimbus Roman No9 L"/>
          <w:bCs/>
          <w:sz w:val="32"/>
          <w:szCs w:val="32"/>
        </w:rPr>
        <w:t>（类）行政事业单位医疗（款）</w:t>
      </w:r>
      <w:r>
        <w:rPr>
          <w:rStyle w:val="19"/>
          <w:rFonts w:hint="default" w:ascii="Nimbus Roman No9 L" w:hAnsi="Nimbus Roman No9 L" w:eastAsia="仿宋" w:cs="Nimbus Roman No9 L"/>
          <w:bCs/>
          <w:sz w:val="32"/>
          <w:szCs w:val="32"/>
          <w:lang w:eastAsia="zh-CN"/>
        </w:rPr>
        <w:t>行政单位医疗（项）</w:t>
      </w:r>
      <w:r>
        <w:rPr>
          <w:rStyle w:val="19"/>
          <w:rFonts w:hint="default" w:ascii="Nimbus Roman No9 L" w:hAnsi="Nimbus Roman No9 L" w:eastAsia="仿宋" w:cs="Nimbus Roman No9 L"/>
          <w:b w:val="0"/>
          <w:bCs/>
          <w:sz w:val="32"/>
          <w:szCs w:val="32"/>
        </w:rPr>
        <w:t>支出决算为</w:t>
      </w:r>
      <w:r>
        <w:rPr>
          <w:rStyle w:val="19"/>
          <w:rFonts w:hint="default" w:ascii="Nimbus Roman No9 L" w:hAnsi="Nimbus Roman No9 L" w:eastAsia="仿宋" w:cs="Nimbus Roman No9 L"/>
          <w:b w:val="0"/>
          <w:bCs/>
          <w:sz w:val="32"/>
          <w:szCs w:val="32"/>
          <w:lang w:val="en-US" w:eastAsia="zh-CN"/>
        </w:rPr>
        <w:t>28</w:t>
      </w:r>
      <w:r>
        <w:rPr>
          <w:rStyle w:val="19"/>
          <w:rFonts w:hint="default" w:ascii="Nimbus Roman No9 L" w:hAnsi="Nimbus Roman No9 L" w:eastAsia="仿宋" w:cs="Nimbus Roman No9 L"/>
          <w:b w:val="0"/>
          <w:bCs/>
          <w:sz w:val="32"/>
          <w:szCs w:val="32"/>
        </w:rPr>
        <w:t>万元，完成预算</w:t>
      </w:r>
      <w:r>
        <w:rPr>
          <w:rStyle w:val="19"/>
          <w:rFonts w:hint="default" w:ascii="Nimbus Roman No9 L" w:hAnsi="Nimbus Roman No9 L" w:eastAsia="仿宋" w:cs="Nimbus Roman No9 L"/>
          <w:b w:val="0"/>
          <w:bCs/>
          <w:sz w:val="32"/>
          <w:szCs w:val="32"/>
          <w:lang w:val="en-US" w:eastAsia="zh-CN"/>
        </w:rPr>
        <w:t>100</w:t>
      </w:r>
      <w:r>
        <w:rPr>
          <w:rStyle w:val="19"/>
          <w:rFonts w:hint="default" w:ascii="Nimbus Roman No9 L" w:hAnsi="Nimbus Roman No9 L" w:eastAsia="仿宋" w:cs="Nimbus Roman No9 L"/>
          <w:b w:val="0"/>
          <w:bCs/>
          <w:sz w:val="32"/>
          <w:szCs w:val="32"/>
        </w:rPr>
        <w:t>%，决算数等于预算数</w:t>
      </w:r>
      <w:r>
        <w:rPr>
          <w:rStyle w:val="19"/>
          <w:rFonts w:hint="default" w:ascii="Nimbus Roman No9 L" w:hAnsi="Nimbus Roman No9 L" w:eastAsia="仿宋" w:cs="Nimbus Roman No9 L"/>
          <w:b w:val="0"/>
          <w:bCs/>
          <w:sz w:val="32"/>
          <w:szCs w:val="32"/>
          <w:lang w:eastAsia="zh-CN"/>
        </w:rPr>
        <w:t>；</w:t>
      </w:r>
      <w:r>
        <w:rPr>
          <w:rStyle w:val="19"/>
          <w:rFonts w:hint="default" w:ascii="Nimbus Roman No9 L" w:hAnsi="Nimbus Roman No9 L" w:eastAsia="仿宋" w:cs="Nimbus Roman No9 L"/>
          <w:bCs/>
          <w:sz w:val="32"/>
          <w:szCs w:val="32"/>
        </w:rPr>
        <w:t>行政事业单位医疗（款）</w:t>
      </w:r>
      <w:r>
        <w:rPr>
          <w:rStyle w:val="19"/>
          <w:rFonts w:hint="default" w:ascii="Nimbus Roman No9 L" w:hAnsi="Nimbus Roman No9 L" w:eastAsia="仿宋" w:cs="Nimbus Roman No9 L"/>
          <w:bCs/>
          <w:sz w:val="32"/>
          <w:szCs w:val="32"/>
          <w:lang w:eastAsia="zh-CN"/>
        </w:rPr>
        <w:t>公务员医疗补助（项）：</w:t>
      </w:r>
      <w:r>
        <w:rPr>
          <w:rStyle w:val="19"/>
          <w:rFonts w:hint="default" w:ascii="Nimbus Roman No9 L" w:hAnsi="Nimbus Roman No9 L" w:eastAsia="仿宋" w:cs="Nimbus Roman No9 L"/>
          <w:b w:val="0"/>
          <w:bCs/>
          <w:sz w:val="32"/>
          <w:szCs w:val="32"/>
        </w:rPr>
        <w:t>支出决算为</w:t>
      </w:r>
      <w:r>
        <w:rPr>
          <w:rStyle w:val="19"/>
          <w:rFonts w:hint="default" w:ascii="Nimbus Roman No9 L" w:hAnsi="Nimbus Roman No9 L" w:eastAsia="仿宋" w:cs="Nimbus Roman No9 L"/>
          <w:b w:val="0"/>
          <w:bCs/>
          <w:sz w:val="32"/>
          <w:szCs w:val="32"/>
          <w:lang w:val="en-US" w:eastAsia="zh-CN"/>
        </w:rPr>
        <w:t>2.53</w:t>
      </w:r>
      <w:r>
        <w:rPr>
          <w:rStyle w:val="19"/>
          <w:rFonts w:hint="default" w:ascii="Nimbus Roman No9 L" w:hAnsi="Nimbus Roman No9 L" w:eastAsia="仿宋" w:cs="Nimbus Roman No9 L"/>
          <w:b w:val="0"/>
          <w:bCs/>
          <w:sz w:val="32"/>
          <w:szCs w:val="32"/>
        </w:rPr>
        <w:t>万元，完成预算</w:t>
      </w:r>
      <w:r>
        <w:rPr>
          <w:rStyle w:val="19"/>
          <w:rFonts w:hint="default" w:ascii="Nimbus Roman No9 L" w:hAnsi="Nimbus Roman No9 L" w:eastAsia="仿宋" w:cs="Nimbus Roman No9 L"/>
          <w:b w:val="0"/>
          <w:bCs/>
          <w:sz w:val="32"/>
          <w:szCs w:val="32"/>
          <w:lang w:val="en-US" w:eastAsia="zh-CN"/>
        </w:rPr>
        <w:t>100</w:t>
      </w:r>
      <w:r>
        <w:rPr>
          <w:rStyle w:val="19"/>
          <w:rFonts w:hint="default" w:ascii="Nimbus Roman No9 L" w:hAnsi="Nimbus Roman No9 L" w:eastAsia="仿宋" w:cs="Nimbus Roman No9 L"/>
          <w:b w:val="0"/>
          <w:bCs/>
          <w:sz w:val="32"/>
          <w:szCs w:val="32"/>
        </w:rPr>
        <w:t>%，决算数等于预算数</w:t>
      </w:r>
      <w:r>
        <w:rPr>
          <w:rStyle w:val="19"/>
          <w:rFonts w:hint="default" w:ascii="Nimbus Roman No9 L" w:hAnsi="Nimbus Roman No9 L" w:eastAsia="仿宋" w:cs="Nimbus Roman No9 L"/>
          <w:b w:val="0"/>
          <w:bCs/>
          <w:sz w:val="32"/>
          <w:szCs w:val="32"/>
          <w:lang w:eastAsia="zh-CN"/>
        </w:rPr>
        <w:t>；</w:t>
      </w:r>
      <w:r>
        <w:rPr>
          <w:rStyle w:val="19"/>
          <w:rFonts w:hint="default" w:ascii="Nimbus Roman No9 L" w:hAnsi="Nimbus Roman No9 L" w:eastAsia="仿宋" w:cs="Nimbus Roman No9 L"/>
          <w:bCs/>
          <w:sz w:val="32"/>
          <w:szCs w:val="32"/>
        </w:rPr>
        <w:t>行政事业单位医疗（款）</w:t>
      </w:r>
      <w:r>
        <w:rPr>
          <w:rStyle w:val="19"/>
          <w:rFonts w:hint="default" w:ascii="Nimbus Roman No9 L" w:hAnsi="Nimbus Roman No9 L" w:eastAsia="仿宋" w:cs="Nimbus Roman No9 L"/>
          <w:bCs/>
          <w:sz w:val="32"/>
          <w:szCs w:val="32"/>
          <w:lang w:eastAsia="zh-CN"/>
        </w:rPr>
        <w:t>其他行政事业单位医疗（项）</w:t>
      </w:r>
      <w:r>
        <w:rPr>
          <w:rStyle w:val="19"/>
          <w:rFonts w:hint="default" w:ascii="Nimbus Roman No9 L" w:hAnsi="Nimbus Roman No9 L" w:eastAsia="仿宋" w:cs="Nimbus Roman No9 L"/>
          <w:b w:val="0"/>
          <w:bCs/>
          <w:sz w:val="32"/>
          <w:szCs w:val="32"/>
        </w:rPr>
        <w:t>支出决算为</w:t>
      </w:r>
      <w:r>
        <w:rPr>
          <w:rStyle w:val="19"/>
          <w:rFonts w:hint="default" w:ascii="Nimbus Roman No9 L" w:hAnsi="Nimbus Roman No9 L" w:eastAsia="仿宋" w:cs="Nimbus Roman No9 L"/>
          <w:b w:val="0"/>
          <w:bCs/>
          <w:sz w:val="32"/>
          <w:szCs w:val="32"/>
          <w:lang w:val="en-US" w:eastAsia="zh-CN"/>
        </w:rPr>
        <w:t>3.51</w:t>
      </w:r>
      <w:r>
        <w:rPr>
          <w:rStyle w:val="19"/>
          <w:rFonts w:hint="default" w:ascii="Nimbus Roman No9 L" w:hAnsi="Nimbus Roman No9 L" w:eastAsia="仿宋" w:cs="Nimbus Roman No9 L"/>
          <w:b w:val="0"/>
          <w:bCs/>
          <w:sz w:val="32"/>
          <w:szCs w:val="32"/>
        </w:rPr>
        <w:t>万元，完成预算</w:t>
      </w:r>
      <w:r>
        <w:rPr>
          <w:rStyle w:val="19"/>
          <w:rFonts w:hint="default" w:ascii="Nimbus Roman No9 L" w:hAnsi="Nimbus Roman No9 L" w:eastAsia="仿宋" w:cs="Nimbus Roman No9 L"/>
          <w:b w:val="0"/>
          <w:bCs/>
          <w:sz w:val="32"/>
          <w:szCs w:val="32"/>
          <w:lang w:val="en-US" w:eastAsia="zh-CN"/>
        </w:rPr>
        <w:t>100</w:t>
      </w:r>
      <w:r>
        <w:rPr>
          <w:rStyle w:val="19"/>
          <w:rFonts w:hint="default" w:ascii="Nimbus Roman No9 L" w:hAnsi="Nimbus Roman No9 L" w:eastAsia="仿宋" w:cs="Nimbus Roman No9 L"/>
          <w:b w:val="0"/>
          <w:bCs/>
          <w:sz w:val="32"/>
          <w:szCs w:val="32"/>
        </w:rPr>
        <w:t>%，决算数等于预算数</w:t>
      </w:r>
      <w:r>
        <w:rPr>
          <w:rStyle w:val="19"/>
          <w:rFonts w:hint="default" w:ascii="Nimbus Roman No9 L" w:hAnsi="Nimbus Roman No9 L" w:eastAsia="仿宋" w:cs="Nimbus Roman No9 L"/>
          <w:b w:val="0"/>
          <w:bCs/>
          <w:sz w:val="32"/>
          <w:szCs w:val="32"/>
          <w:lang w:eastAsia="zh-CN"/>
        </w:rPr>
        <w:t>；</w:t>
      </w:r>
      <w:r>
        <w:rPr>
          <w:rStyle w:val="19"/>
          <w:rFonts w:hint="default" w:ascii="Nimbus Roman No9 L" w:hAnsi="Nimbus Roman No9 L" w:eastAsia="仿宋" w:cs="Nimbus Roman No9 L"/>
          <w:bCs/>
          <w:sz w:val="32"/>
          <w:szCs w:val="32"/>
        </w:rPr>
        <w:t>其他卫生健康支出（款）其他卫生健康支出（项）:</w:t>
      </w:r>
      <w:r>
        <w:rPr>
          <w:rStyle w:val="19"/>
          <w:rFonts w:hint="default" w:ascii="Nimbus Roman No9 L" w:hAnsi="Nimbus Roman No9 L" w:eastAsia="仿宋" w:cs="Nimbus Roman No9 L"/>
          <w:b w:val="0"/>
          <w:bCs/>
          <w:sz w:val="32"/>
          <w:szCs w:val="32"/>
        </w:rPr>
        <w:t>支出决算为</w:t>
      </w:r>
      <w:r>
        <w:rPr>
          <w:rStyle w:val="19"/>
          <w:rFonts w:hint="default" w:ascii="Nimbus Roman No9 L" w:hAnsi="Nimbus Roman No9 L" w:eastAsia="仿宋" w:cs="Nimbus Roman No9 L"/>
          <w:b w:val="0"/>
          <w:bCs/>
          <w:sz w:val="32"/>
          <w:szCs w:val="32"/>
          <w:lang w:val="en-US" w:eastAsia="zh-CN"/>
        </w:rPr>
        <w:t>0.18</w:t>
      </w:r>
      <w:r>
        <w:rPr>
          <w:rStyle w:val="19"/>
          <w:rFonts w:hint="default" w:ascii="Nimbus Roman No9 L" w:hAnsi="Nimbus Roman No9 L" w:eastAsia="仿宋" w:cs="Nimbus Roman No9 L"/>
          <w:b w:val="0"/>
          <w:bCs/>
          <w:sz w:val="32"/>
          <w:szCs w:val="32"/>
        </w:rPr>
        <w:t>万元，完成预算</w:t>
      </w:r>
      <w:r>
        <w:rPr>
          <w:rStyle w:val="19"/>
          <w:rFonts w:hint="default" w:ascii="Nimbus Roman No9 L" w:hAnsi="Nimbus Roman No9 L" w:eastAsia="仿宋" w:cs="Nimbus Roman No9 L"/>
          <w:b w:val="0"/>
          <w:bCs/>
          <w:sz w:val="32"/>
          <w:szCs w:val="32"/>
          <w:lang w:val="en-US" w:eastAsia="zh-CN"/>
        </w:rPr>
        <w:t>100</w:t>
      </w:r>
      <w:r>
        <w:rPr>
          <w:rStyle w:val="19"/>
          <w:rFonts w:hint="default" w:ascii="Nimbus Roman No9 L" w:hAnsi="Nimbus Roman No9 L" w:eastAsia="仿宋" w:cs="Nimbus Roman No9 L"/>
          <w:b w:val="0"/>
          <w:bCs/>
          <w:sz w:val="32"/>
          <w:szCs w:val="32"/>
        </w:rPr>
        <w:t>%，决算数等于预算数。</w:t>
      </w:r>
    </w:p>
    <w:p w14:paraId="132AD74D">
      <w:pPr>
        <w:spacing w:line="600" w:lineRule="exact"/>
        <w:ind w:firstLine="643" w:firstLineChars="200"/>
        <w:rPr>
          <w:rStyle w:val="19"/>
          <w:rFonts w:hint="default" w:ascii="Nimbus Roman No9 L" w:hAnsi="Nimbus Roman No9 L" w:eastAsia="仿宋" w:cs="Nimbus Roman No9 L"/>
          <w:bCs/>
          <w:sz w:val="32"/>
          <w:szCs w:val="32"/>
          <w:lang w:val="en-US" w:eastAsia="zh-CN"/>
        </w:rPr>
      </w:pPr>
      <w:r>
        <w:rPr>
          <w:rStyle w:val="19"/>
          <w:rFonts w:hint="default" w:ascii="Nimbus Roman No9 L" w:hAnsi="Nimbus Roman No9 L" w:eastAsia="仿宋" w:cs="Nimbus Roman No9 L"/>
          <w:bCs/>
          <w:sz w:val="32"/>
          <w:szCs w:val="32"/>
          <w:lang w:val="en-US" w:eastAsia="zh-CN"/>
        </w:rPr>
        <w:t>5.资源勘探工业信息等支出（类）制造业（款）其他制造业支出（项）：</w:t>
      </w:r>
      <w:r>
        <w:rPr>
          <w:rStyle w:val="19"/>
          <w:rFonts w:hint="default" w:ascii="Nimbus Roman No9 L" w:hAnsi="Nimbus Roman No9 L" w:eastAsia="仿宋" w:cs="Nimbus Roman No9 L"/>
          <w:b w:val="0"/>
          <w:bCs/>
          <w:sz w:val="32"/>
          <w:szCs w:val="32"/>
        </w:rPr>
        <w:t>支出决算为</w:t>
      </w:r>
      <w:r>
        <w:rPr>
          <w:rStyle w:val="19"/>
          <w:rFonts w:hint="default" w:ascii="Nimbus Roman No9 L" w:hAnsi="Nimbus Roman No9 L" w:eastAsia="仿宋" w:cs="Nimbus Roman No9 L"/>
          <w:b w:val="0"/>
          <w:bCs/>
          <w:sz w:val="32"/>
          <w:szCs w:val="32"/>
          <w:lang w:val="en-US" w:eastAsia="zh-CN"/>
        </w:rPr>
        <w:t>200</w:t>
      </w:r>
      <w:r>
        <w:rPr>
          <w:rStyle w:val="19"/>
          <w:rFonts w:hint="default" w:ascii="Nimbus Roman No9 L" w:hAnsi="Nimbus Roman No9 L" w:eastAsia="仿宋" w:cs="Nimbus Roman No9 L"/>
          <w:b w:val="0"/>
          <w:bCs/>
          <w:sz w:val="32"/>
          <w:szCs w:val="32"/>
        </w:rPr>
        <w:t>万元，完成预算</w:t>
      </w:r>
      <w:r>
        <w:rPr>
          <w:rStyle w:val="19"/>
          <w:rFonts w:hint="default" w:ascii="Nimbus Roman No9 L" w:hAnsi="Nimbus Roman No9 L" w:eastAsia="仿宋" w:cs="Nimbus Roman No9 L"/>
          <w:b w:val="0"/>
          <w:bCs/>
          <w:sz w:val="32"/>
          <w:szCs w:val="32"/>
          <w:lang w:val="en-US" w:eastAsia="zh-CN"/>
        </w:rPr>
        <w:t>100</w:t>
      </w:r>
      <w:r>
        <w:rPr>
          <w:rStyle w:val="19"/>
          <w:rFonts w:hint="default" w:ascii="Nimbus Roman No9 L" w:hAnsi="Nimbus Roman No9 L" w:eastAsia="仿宋" w:cs="Nimbus Roman No9 L"/>
          <w:b w:val="0"/>
          <w:bCs/>
          <w:sz w:val="32"/>
          <w:szCs w:val="32"/>
        </w:rPr>
        <w:t>%，决算数等于预算数。</w:t>
      </w:r>
    </w:p>
    <w:p w14:paraId="7F60E6EB">
      <w:pPr>
        <w:spacing w:line="600" w:lineRule="exact"/>
        <w:ind w:firstLine="643" w:firstLineChars="200"/>
        <w:rPr>
          <w:rFonts w:hint="default" w:ascii="Nimbus Roman No9 L" w:hAnsi="Nimbus Roman No9 L" w:eastAsia="仿宋" w:cs="Nimbus Roman No9 L"/>
          <w:b/>
          <w:sz w:val="32"/>
          <w:szCs w:val="32"/>
        </w:rPr>
      </w:pPr>
      <w:r>
        <w:rPr>
          <w:rStyle w:val="19"/>
          <w:rFonts w:hint="default" w:ascii="Nimbus Roman No9 L" w:hAnsi="Nimbus Roman No9 L" w:eastAsia="仿宋" w:cs="Nimbus Roman No9 L"/>
          <w:bCs/>
          <w:sz w:val="32"/>
          <w:szCs w:val="32"/>
          <w:lang w:val="en-US" w:eastAsia="zh-CN"/>
        </w:rPr>
        <w:t>6</w:t>
      </w:r>
      <w:r>
        <w:rPr>
          <w:rStyle w:val="19"/>
          <w:rFonts w:hint="default" w:ascii="Nimbus Roman No9 L" w:hAnsi="Nimbus Roman No9 L" w:eastAsia="仿宋" w:cs="Nimbus Roman No9 L"/>
          <w:bCs/>
          <w:sz w:val="32"/>
          <w:szCs w:val="32"/>
        </w:rPr>
        <w:t>.</w:t>
      </w:r>
      <w:r>
        <w:rPr>
          <w:rFonts w:hint="default" w:ascii="Nimbus Roman No9 L" w:hAnsi="Nimbus Roman No9 L" w:eastAsia="仿宋" w:cs="Nimbus Roman No9 L"/>
          <w:b/>
          <w:bCs/>
          <w:sz w:val="32"/>
          <w:szCs w:val="32"/>
        </w:rPr>
        <w:t>住房保障支出</w:t>
      </w:r>
      <w:r>
        <w:rPr>
          <w:rStyle w:val="19"/>
          <w:rFonts w:hint="default" w:ascii="Nimbus Roman No9 L" w:hAnsi="Nimbus Roman No9 L" w:eastAsia="仿宋" w:cs="Nimbus Roman No9 L"/>
          <w:bCs/>
          <w:sz w:val="32"/>
          <w:szCs w:val="32"/>
        </w:rPr>
        <w:t>（类）住房改革支出（款）住房公积金（项）:</w:t>
      </w:r>
      <w:r>
        <w:rPr>
          <w:rStyle w:val="19"/>
          <w:rFonts w:hint="default" w:ascii="Nimbus Roman No9 L" w:hAnsi="Nimbus Roman No9 L" w:eastAsia="仿宋" w:cs="Nimbus Roman No9 L"/>
          <w:b w:val="0"/>
          <w:bCs/>
          <w:sz w:val="32"/>
          <w:szCs w:val="32"/>
        </w:rPr>
        <w:t>支出决算为</w:t>
      </w:r>
      <w:r>
        <w:rPr>
          <w:rStyle w:val="19"/>
          <w:rFonts w:hint="default" w:ascii="Nimbus Roman No9 L" w:hAnsi="Nimbus Roman No9 L" w:eastAsia="仿宋" w:cs="Nimbus Roman No9 L"/>
          <w:b w:val="0"/>
          <w:bCs/>
          <w:sz w:val="32"/>
          <w:szCs w:val="32"/>
          <w:lang w:val="en-US" w:eastAsia="zh-CN"/>
        </w:rPr>
        <w:t>42.9</w:t>
      </w:r>
      <w:r>
        <w:rPr>
          <w:rStyle w:val="19"/>
          <w:rFonts w:hint="default" w:ascii="Nimbus Roman No9 L" w:hAnsi="Nimbus Roman No9 L" w:eastAsia="仿宋" w:cs="Nimbus Roman No9 L"/>
          <w:b w:val="0"/>
          <w:bCs/>
          <w:sz w:val="32"/>
          <w:szCs w:val="32"/>
        </w:rPr>
        <w:t>万元，完成预算</w:t>
      </w:r>
      <w:r>
        <w:rPr>
          <w:rStyle w:val="19"/>
          <w:rFonts w:hint="default" w:ascii="Nimbus Roman No9 L" w:hAnsi="Nimbus Roman No9 L" w:eastAsia="仿宋" w:cs="Nimbus Roman No9 L"/>
          <w:b w:val="0"/>
          <w:bCs/>
          <w:sz w:val="32"/>
          <w:szCs w:val="32"/>
          <w:lang w:val="en-US" w:eastAsia="zh-CN"/>
        </w:rPr>
        <w:t>100</w:t>
      </w:r>
      <w:r>
        <w:rPr>
          <w:rStyle w:val="19"/>
          <w:rFonts w:hint="default" w:ascii="Nimbus Roman No9 L" w:hAnsi="Nimbus Roman No9 L" w:eastAsia="仿宋" w:cs="Nimbus Roman No9 L"/>
          <w:b w:val="0"/>
          <w:bCs/>
          <w:sz w:val="32"/>
          <w:szCs w:val="32"/>
        </w:rPr>
        <w:t>%，决算数等于预算数。</w:t>
      </w:r>
    </w:p>
    <w:p w14:paraId="55FC51F3">
      <w:pPr>
        <w:tabs>
          <w:tab w:val="right" w:pos="8306"/>
        </w:tabs>
        <w:spacing w:line="600" w:lineRule="exact"/>
        <w:ind w:firstLine="640"/>
        <w:outlineLvl w:val="1"/>
        <w:rPr>
          <w:rStyle w:val="31"/>
          <w:rFonts w:hint="default" w:ascii="Nimbus Roman No9 L" w:hAnsi="Nimbus Roman No9 L" w:cs="Nimbus Roman No9 L"/>
          <w:color w:val="auto"/>
          <w:highlight w:val="none"/>
        </w:rPr>
      </w:pPr>
      <w:r>
        <w:rPr>
          <w:rFonts w:hint="default" w:ascii="Nimbus Roman No9 L" w:hAnsi="Nimbus Roman No9 L" w:eastAsia="黑体" w:cs="Nimbus Roman No9 L"/>
          <w:color w:val="auto"/>
          <w:sz w:val="32"/>
          <w:szCs w:val="32"/>
          <w:highlight w:val="none"/>
        </w:rPr>
        <w:t>六</w:t>
      </w:r>
      <w:r>
        <w:rPr>
          <w:rFonts w:hint="default" w:ascii="Nimbus Roman No9 L" w:hAnsi="Nimbus Roman No9 L" w:eastAsia="黑体" w:cs="Nimbus Roman No9 L"/>
          <w:b/>
          <w:color w:val="auto"/>
          <w:sz w:val="32"/>
          <w:szCs w:val="32"/>
          <w:highlight w:val="none"/>
        </w:rPr>
        <w:t>、一</w:t>
      </w:r>
      <w:r>
        <w:rPr>
          <w:rStyle w:val="31"/>
          <w:rFonts w:hint="default" w:ascii="Nimbus Roman No9 L" w:hAnsi="Nimbus Roman No9 L" w:eastAsia="黑体" w:cs="Nimbus Roman No9 L"/>
          <w:b w:val="0"/>
          <w:color w:val="auto"/>
          <w:highlight w:val="none"/>
        </w:rPr>
        <w:t>般公共预算财政拨款基本支出决算情况说明</w:t>
      </w:r>
      <w:bookmarkEnd w:id="36"/>
      <w:bookmarkEnd w:id="37"/>
      <w:r>
        <w:rPr>
          <w:rStyle w:val="31"/>
          <w:rFonts w:hint="default" w:ascii="Nimbus Roman No9 L" w:hAnsi="Nimbus Roman No9 L" w:eastAsia="黑体" w:cs="Nimbus Roman No9 L"/>
          <w:b w:val="0"/>
          <w:color w:val="auto"/>
          <w:highlight w:val="none"/>
        </w:rPr>
        <w:tab/>
      </w:r>
    </w:p>
    <w:p w14:paraId="52DAB4AD">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2025年度一般公共预算财政拨款基本支出</w:t>
      </w:r>
      <w:r>
        <w:rPr>
          <w:rFonts w:hint="default" w:ascii="Nimbus Roman No9 L" w:hAnsi="Nimbus Roman No9 L" w:eastAsia="仿宋_GB2312" w:cs="Nimbus Roman No9 L"/>
          <w:sz w:val="32"/>
          <w:szCs w:val="32"/>
        </w:rPr>
        <w:t>738.68</w:t>
      </w:r>
      <w:r>
        <w:rPr>
          <w:rFonts w:hint="default" w:ascii="Nimbus Roman No9 L" w:hAnsi="Nimbus Roman No9 L" w:eastAsia="仿宋_GB2312" w:cs="Nimbus Roman No9 L"/>
          <w:color w:val="auto"/>
          <w:kern w:val="2"/>
          <w:sz w:val="32"/>
          <w:szCs w:val="32"/>
          <w:highlight w:val="none"/>
          <w:lang w:val="en-US" w:eastAsia="zh-CN" w:bidi="ar-SA"/>
        </w:rPr>
        <w:t>万元，其中：</w:t>
      </w:r>
    </w:p>
    <w:p w14:paraId="5B2E1414">
      <w:pPr>
        <w:spacing w:line="600" w:lineRule="exact"/>
        <w:ind w:firstLine="645"/>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人员经费</w:t>
      </w:r>
      <w:r>
        <w:rPr>
          <w:rFonts w:hint="default" w:ascii="Nimbus Roman No9 L" w:hAnsi="Nimbus Roman No9 L" w:eastAsia="仿宋_GB2312" w:cs="Nimbus Roman No9 L"/>
          <w:sz w:val="32"/>
          <w:szCs w:val="32"/>
        </w:rPr>
        <w:t>671.83</w:t>
      </w:r>
      <w:r>
        <w:rPr>
          <w:rFonts w:hint="default" w:ascii="Nimbus Roman No9 L" w:hAnsi="Nimbus Roman No9 L" w:eastAsia="仿宋_GB2312" w:cs="Nimbus Roman No9 L"/>
          <w:color w:val="auto"/>
          <w:kern w:val="2"/>
          <w:sz w:val="32"/>
          <w:szCs w:val="32"/>
          <w:highlight w:val="none"/>
          <w:lang w:val="en-US" w:eastAsia="zh-CN" w:bidi="ar-SA"/>
        </w:rPr>
        <w:t>万元，主要包括：基本工资、津贴补贴、奖金、机关事业单位基本养老保险缴费、职业年金缴费、职工基本医疗保险缴费、公务员医疗补助缴费、其他社会保障缴费、住房公积金、其他工资福利支出、离休费、生活补助、医疗费补助、奖励金、其他对个人和家庭的补助。</w:t>
      </w:r>
      <w:r>
        <w:rPr>
          <w:rFonts w:hint="default" w:ascii="Nimbus Roman No9 L" w:hAnsi="Nimbus Roman No9 L" w:eastAsia="仿宋_GB2312" w:cs="Nimbus Roman No9 L"/>
          <w:color w:val="auto"/>
          <w:kern w:val="2"/>
          <w:sz w:val="32"/>
          <w:szCs w:val="32"/>
          <w:highlight w:val="none"/>
          <w:lang w:val="en-US" w:eastAsia="zh-CN" w:bidi="ar-SA"/>
        </w:rPr>
        <w:br w:type="textWrapping"/>
      </w:r>
      <w:r>
        <w:rPr>
          <w:rFonts w:hint="default" w:ascii="Nimbus Roman No9 L" w:hAnsi="Nimbus Roman No9 L" w:eastAsia="仿宋_GB2312" w:cs="Nimbus Roman No9 L"/>
          <w:color w:val="auto"/>
          <w:kern w:val="2"/>
          <w:sz w:val="32"/>
          <w:szCs w:val="32"/>
          <w:highlight w:val="none"/>
          <w:lang w:val="en-US" w:eastAsia="zh-CN" w:bidi="ar-SA"/>
        </w:rPr>
        <w:t>　　公用经费</w:t>
      </w:r>
      <w:r>
        <w:rPr>
          <w:rFonts w:hint="default" w:ascii="Nimbus Roman No9 L" w:hAnsi="Nimbus Roman No9 L" w:eastAsia="仿宋_GB2312" w:cs="Nimbus Roman No9 L"/>
          <w:sz w:val="32"/>
          <w:szCs w:val="32"/>
        </w:rPr>
        <w:t>66.85</w:t>
      </w:r>
      <w:r>
        <w:rPr>
          <w:rFonts w:hint="default" w:ascii="Nimbus Roman No9 L" w:hAnsi="Nimbus Roman No9 L" w:eastAsia="仿宋_GB2312" w:cs="Nimbus Roman No9 L"/>
          <w:color w:val="auto"/>
          <w:kern w:val="2"/>
          <w:sz w:val="32"/>
          <w:szCs w:val="32"/>
          <w:highlight w:val="none"/>
          <w:lang w:val="en-US" w:eastAsia="zh-CN" w:bidi="ar-SA"/>
        </w:rPr>
        <w:t>万元，主要包括：</w:t>
      </w:r>
      <w:r>
        <w:rPr>
          <w:rFonts w:hint="default" w:ascii="Nimbus Roman No9 L" w:hAnsi="Nimbus Roman No9 L" w:eastAsia="仿宋" w:cs="Nimbus Roman No9 L"/>
          <w:sz w:val="32"/>
          <w:szCs w:val="32"/>
        </w:rPr>
        <w:t>办公费</w:t>
      </w:r>
      <w:r>
        <w:rPr>
          <w:rFonts w:hint="default" w:ascii="Nimbus Roman No9 L" w:hAnsi="Nimbus Roman No9 L" w:eastAsia="仿宋" w:cs="Nimbus Roman No9 L"/>
          <w:sz w:val="32"/>
          <w:szCs w:val="32"/>
          <w:lang w:eastAsia="zh-CN"/>
        </w:rPr>
        <w:t>、水费、</w:t>
      </w:r>
      <w:r>
        <w:rPr>
          <w:rFonts w:hint="default" w:ascii="Nimbus Roman No9 L" w:hAnsi="Nimbus Roman No9 L" w:eastAsia="仿宋" w:cs="Nimbus Roman No9 L"/>
          <w:sz w:val="32"/>
          <w:szCs w:val="32"/>
        </w:rPr>
        <w:t>电费、邮电费、物业管理费、差旅费</w:t>
      </w:r>
      <w:r>
        <w:rPr>
          <w:rFonts w:hint="default" w:ascii="Nimbus Roman No9 L" w:hAnsi="Nimbus Roman No9 L" w:eastAsia="仿宋" w:cs="Nimbus Roman No9 L"/>
          <w:sz w:val="32"/>
          <w:szCs w:val="32"/>
          <w:lang w:eastAsia="zh-CN"/>
        </w:rPr>
        <w:t>、</w:t>
      </w:r>
      <w:r>
        <w:rPr>
          <w:rFonts w:hint="default" w:ascii="Nimbus Roman No9 L" w:hAnsi="Nimbus Roman No9 L" w:eastAsia="仿宋" w:cs="Nimbus Roman No9 L"/>
          <w:sz w:val="32"/>
          <w:szCs w:val="32"/>
        </w:rPr>
        <w:t>公务接待费、劳务费、工会经费、福利费、公务用车运行维护费、其他交通费、其他商品和服务支出。</w:t>
      </w:r>
    </w:p>
    <w:p w14:paraId="17E465AB">
      <w:pPr>
        <w:spacing w:line="600" w:lineRule="exact"/>
        <w:ind w:firstLine="640"/>
        <w:outlineLvl w:val="1"/>
        <w:rPr>
          <w:rStyle w:val="31"/>
          <w:rFonts w:hint="default" w:ascii="Nimbus Roman No9 L" w:hAnsi="Nimbus Roman No9 L" w:eastAsia="黑体" w:cs="Nimbus Roman No9 L"/>
          <w:b w:val="0"/>
          <w:color w:val="auto"/>
          <w:highlight w:val="none"/>
        </w:rPr>
      </w:pPr>
      <w:bookmarkStart w:id="38" w:name="_Toc15396609"/>
      <w:bookmarkStart w:id="39" w:name="_Toc15377215"/>
      <w:r>
        <w:rPr>
          <w:rFonts w:hint="default" w:ascii="Nimbus Roman No9 L" w:hAnsi="Nimbus Roman No9 L" w:eastAsia="黑体" w:cs="Nimbus Roman No9 L"/>
          <w:color w:val="auto"/>
          <w:sz w:val="32"/>
          <w:szCs w:val="32"/>
          <w:highlight w:val="none"/>
        </w:rPr>
        <w:t>七、</w:t>
      </w:r>
      <w:r>
        <w:rPr>
          <w:rStyle w:val="31"/>
          <w:rFonts w:hint="default" w:ascii="Nimbus Roman No9 L" w:hAnsi="Nimbus Roman No9 L" w:eastAsia="黑体" w:cs="Nimbus Roman No9 L"/>
          <w:b w:val="0"/>
          <w:color w:val="auto"/>
          <w:highlight w:val="none"/>
        </w:rPr>
        <w:t>财政拨款</w:t>
      </w:r>
      <w:r>
        <w:rPr>
          <w:rStyle w:val="31"/>
          <w:rFonts w:hint="default" w:ascii="Nimbus Roman No9 L" w:hAnsi="Nimbus Roman No9 L" w:eastAsia="黑体" w:cs="Nimbus Roman No9 L"/>
          <w:color w:val="auto"/>
          <w:highlight w:val="none"/>
        </w:rPr>
        <w:t>“</w:t>
      </w:r>
      <w:r>
        <w:rPr>
          <w:rStyle w:val="31"/>
          <w:rFonts w:hint="default" w:ascii="Nimbus Roman No9 L" w:hAnsi="Nimbus Roman No9 L" w:eastAsia="黑体" w:cs="Nimbus Roman No9 L"/>
          <w:b w:val="0"/>
          <w:color w:val="auto"/>
          <w:highlight w:val="none"/>
        </w:rPr>
        <w:t>三公”经费支出决算情况说明</w:t>
      </w:r>
      <w:bookmarkEnd w:id="38"/>
      <w:bookmarkEnd w:id="39"/>
    </w:p>
    <w:p w14:paraId="06E3DBE5">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bookmarkStart w:id="40" w:name="_Toc15377216"/>
      <w:r>
        <w:rPr>
          <w:rFonts w:hint="default" w:ascii="Nimbus Roman No9 L" w:hAnsi="Nimbus Roman No9 L" w:eastAsia="楷体_GB2312" w:cs="Nimbus Roman No9 L"/>
          <w:b/>
          <w:color w:val="auto"/>
          <w:sz w:val="32"/>
          <w:szCs w:val="32"/>
          <w:highlight w:val="none"/>
        </w:rPr>
        <w:t>（一）财政拨款“三公”经费支出决算总体情况说明</w:t>
      </w:r>
      <w:bookmarkEnd w:id="40"/>
    </w:p>
    <w:p w14:paraId="0EE1090F">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2025年度财政拨款“三公”经费支出决算为3.4万元，完成预算97.3%，较上年度增加0.12万元，增长3.7%。决算数小于预算数的主要原因是一体化内推送的公车维修费采购订单金额为估计值，略大于实际支付金额。</w:t>
      </w:r>
    </w:p>
    <w:p w14:paraId="54E3591F">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bookmarkStart w:id="41" w:name="_Toc15377217"/>
      <w:r>
        <w:rPr>
          <w:rFonts w:hint="default" w:ascii="Nimbus Roman No9 L" w:hAnsi="Nimbus Roman No9 L" w:eastAsia="楷体_GB2312" w:cs="Nimbus Roman No9 L"/>
          <w:b/>
          <w:color w:val="auto"/>
          <w:sz w:val="32"/>
          <w:szCs w:val="32"/>
          <w:highlight w:val="none"/>
        </w:rPr>
        <w:t>（二）财政拨款“三公”经费支出决算具体情况说明</w:t>
      </w:r>
      <w:bookmarkEnd w:id="41"/>
    </w:p>
    <w:p w14:paraId="3C8F4E0A">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2025年度财政拨款“三公”经费支出决算中，因公出国（境）费支出决算0万元，占0%；公务用车购置及运行维护费支出决算2.17万元，占63.8%；公务接待费支出决算1.23万元，占36.2%。具体情况如下：</w:t>
      </w:r>
    </w:p>
    <w:p w14:paraId="71B006DD">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（图7：财政拨款“三公”经费支出结构）（饼状图）</w:t>
      </w:r>
    </w:p>
    <w:p w14:paraId="560A1C75">
      <w:pPr>
        <w:pStyle w:val="3"/>
        <w:jc w:val="center"/>
        <w:rPr>
          <w:rFonts w:hint="default" w:ascii="Nimbus Roman No9 L" w:hAnsi="Nimbus Roman No9 L" w:eastAsia="仿宋_GB2312" w:cs="Nimbus Roman No9 L"/>
          <w:color w:val="auto"/>
          <w:kern w:val="2"/>
          <w:sz w:val="32"/>
          <w:szCs w:val="32"/>
          <w:highlight w:val="none"/>
          <w:lang w:val="en-US" w:eastAsia="zh-CN" w:bidi="ar-SA"/>
        </w:rPr>
      </w:pPr>
      <w:r>
        <w:drawing>
          <wp:inline distT="0" distB="0" distL="114300" distR="114300">
            <wp:extent cx="3943350" cy="2534285"/>
            <wp:effectExtent l="4445" t="4445" r="14605" b="13970"/>
            <wp:docPr id="1540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CEC45A">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b/>
          <w:bCs/>
          <w:color w:val="auto"/>
          <w:kern w:val="2"/>
          <w:sz w:val="32"/>
          <w:szCs w:val="32"/>
          <w:highlight w:val="none"/>
          <w:lang w:val="en-US" w:eastAsia="zh-CN" w:bidi="ar-SA"/>
        </w:rPr>
        <w:t>1.因公出国（境）经费支出0万元，完成预算0%。</w:t>
      </w:r>
      <w:r>
        <w:rPr>
          <w:rFonts w:hint="default" w:ascii="Nimbus Roman No9 L" w:hAnsi="Nimbus Roman No9 L" w:eastAsia="仿宋_GB2312" w:cs="Nimbus Roman No9 L"/>
          <w:color w:val="auto"/>
          <w:kern w:val="2"/>
          <w:sz w:val="32"/>
          <w:szCs w:val="32"/>
          <w:highlight w:val="none"/>
          <w:lang w:val="en-US" w:eastAsia="zh-CN" w:bidi="ar-SA"/>
        </w:rPr>
        <w:t>全年安排因公出国（境）团组</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次，出国（境）</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人。因公出国（境）支出决算与2024年持平。</w:t>
      </w:r>
    </w:p>
    <w:p w14:paraId="3003B0C6">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b/>
          <w:bCs/>
          <w:color w:val="auto"/>
          <w:kern w:val="2"/>
          <w:sz w:val="32"/>
          <w:szCs w:val="32"/>
          <w:highlight w:val="none"/>
          <w:lang w:val="en-US" w:eastAsia="zh-CN" w:bidi="ar-SA"/>
        </w:rPr>
        <w:t>2.公务用车购置及运行维护费支出2.17万元，完成预算95.6%。</w:t>
      </w:r>
      <w:r>
        <w:rPr>
          <w:rFonts w:hint="default" w:ascii="Nimbus Roman No9 L" w:hAnsi="Nimbus Roman No9 L" w:eastAsia="仿宋_GB2312" w:cs="Nimbus Roman No9 L"/>
          <w:color w:val="auto"/>
          <w:kern w:val="2"/>
          <w:sz w:val="32"/>
          <w:szCs w:val="32"/>
          <w:highlight w:val="none"/>
          <w:lang w:val="en-US" w:eastAsia="zh-CN" w:bidi="ar-SA"/>
        </w:rPr>
        <w:t>公务用车购置及运行维护费支出决算比上年度减少0.17万元，下降7.3%。主要原因是加强公车管理，压减费用支出。</w:t>
      </w:r>
    </w:p>
    <w:p w14:paraId="78CC0CB5">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其中：公务用车购置支出0万元。全年按规定更新购置公务用车0辆，其中：轿车0辆、金额0万元，越野车0辆、金额0万元，载客汽车0辆、金额0万元。截至2025年12月31日，单位共有公务用车1辆，其中：轿车0辆、越野车1辆、载客汽车0辆。</w:t>
      </w:r>
    </w:p>
    <w:p w14:paraId="6E972B94">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公务用车运行维护费支出2.17万元。主要用于执行公务、开展业务活动等等所需的公务用车燃料费、维修费、过路过桥费、保险费等支出。</w:t>
      </w:r>
    </w:p>
    <w:p w14:paraId="218BE020">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b/>
          <w:bCs/>
          <w:color w:val="auto"/>
          <w:kern w:val="2"/>
          <w:sz w:val="32"/>
          <w:szCs w:val="32"/>
          <w:highlight w:val="none"/>
          <w:lang w:val="en-US" w:eastAsia="zh-CN" w:bidi="ar-SA"/>
        </w:rPr>
        <w:t>3.公务接待费支出1.23万元，完成预算100%。</w:t>
      </w:r>
      <w:r>
        <w:rPr>
          <w:rFonts w:hint="default" w:ascii="Nimbus Roman No9 L" w:hAnsi="Nimbus Roman No9 L" w:eastAsia="仿宋_GB2312" w:cs="Nimbus Roman No9 L"/>
          <w:color w:val="auto"/>
          <w:kern w:val="2"/>
          <w:sz w:val="32"/>
          <w:szCs w:val="32"/>
          <w:highlight w:val="none"/>
          <w:lang w:val="en-US" w:eastAsia="zh-CN" w:bidi="ar-SA"/>
        </w:rPr>
        <w:t>公务接待费支出决算比上年度增加0.29万元，增长30.9%。主要原因是本年度承接金江实验室和科创岛建设、招院引所等市委市政府安排的重点工作，接待任务增加。其中：</w:t>
      </w:r>
    </w:p>
    <w:p w14:paraId="3954CC9A">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国内公务接待支出1.23万元，主要用于科技厅等上级部门来攀调研指导、部分市外单位来攀开展工作对接、学习考察等活动开支的用餐费等。国内公务接待9批次，92人次（不包括陪同人员），共计支出1.23万元，具体内容包括：</w:t>
      </w:r>
      <w:r>
        <w:rPr>
          <w:rFonts w:hint="default" w:ascii="Nimbus Roman No9 L" w:hAnsi="Nimbus Roman No9 L" w:eastAsia="仿宋_GB2312" w:cs="Nimbus Roman No9 L"/>
          <w:color w:val="auto"/>
          <w:sz w:val="32"/>
          <w:szCs w:val="32"/>
          <w:lang w:val="en-US" w:eastAsia="zh-CN"/>
        </w:rPr>
        <w:t>1</w:t>
      </w:r>
      <w:r>
        <w:rPr>
          <w:rFonts w:hint="default" w:ascii="Nimbus Roman No9 L" w:hAnsi="Nimbus Roman No9 L" w:eastAsia="仿宋_GB2312" w:cs="Nimbus Roman No9 L"/>
          <w:color w:val="auto"/>
          <w:kern w:val="2"/>
          <w:sz w:val="32"/>
          <w:szCs w:val="32"/>
          <w:highlight w:val="none"/>
          <w:lang w:val="en-US" w:eastAsia="zh-CN" w:bidi="ar-SA"/>
        </w:rPr>
        <w:t>.接待达州市科技局来攀考察支出</w:t>
      </w:r>
      <w:r>
        <w:rPr>
          <w:rFonts w:hint="eastAsia" w:ascii="Nimbus Roman No9 L" w:hAnsi="Nimbus Roman No9 L" w:eastAsia="仿宋_GB2312" w:cs="Nimbus Roman No9 L"/>
          <w:color w:val="auto"/>
          <w:kern w:val="2"/>
          <w:sz w:val="32"/>
          <w:szCs w:val="32"/>
          <w:highlight w:val="none"/>
          <w:lang w:val="en-US" w:eastAsia="zh-CN" w:bidi="ar-SA"/>
        </w:rPr>
        <w:t>0.06万</w:t>
      </w:r>
      <w:r>
        <w:rPr>
          <w:rFonts w:hint="default" w:ascii="Nimbus Roman No9 L" w:hAnsi="Nimbus Roman No9 L" w:eastAsia="仿宋_GB2312" w:cs="Nimbus Roman No9 L"/>
          <w:color w:val="auto"/>
          <w:kern w:val="2"/>
          <w:sz w:val="32"/>
          <w:szCs w:val="32"/>
          <w:highlight w:val="none"/>
          <w:lang w:val="en-US" w:eastAsia="zh-CN" w:bidi="ar-SA"/>
        </w:rPr>
        <w:t>元；2.接待德阳市科技局来攀调研支出</w:t>
      </w:r>
      <w:r>
        <w:rPr>
          <w:rFonts w:hint="eastAsia" w:ascii="Nimbus Roman No9 L" w:hAnsi="Nimbus Roman No9 L" w:eastAsia="仿宋_GB2312" w:cs="Nimbus Roman No9 L"/>
          <w:color w:val="auto"/>
          <w:kern w:val="2"/>
          <w:sz w:val="32"/>
          <w:szCs w:val="32"/>
          <w:highlight w:val="none"/>
          <w:lang w:val="en-US" w:eastAsia="zh-CN" w:bidi="ar-SA"/>
        </w:rPr>
        <w:t>0.</w:t>
      </w:r>
      <w:r>
        <w:rPr>
          <w:rFonts w:hint="default" w:ascii="Nimbus Roman No9 L" w:hAnsi="Nimbus Roman No9 L" w:eastAsia="仿宋_GB2312" w:cs="Nimbus Roman No9 L"/>
          <w:color w:val="auto"/>
          <w:kern w:val="2"/>
          <w:sz w:val="32"/>
          <w:szCs w:val="32"/>
          <w:highlight w:val="none"/>
          <w:lang w:val="en-US" w:eastAsia="zh-CN" w:bidi="ar-SA"/>
        </w:rPr>
        <w:t>18</w:t>
      </w:r>
      <w:r>
        <w:rPr>
          <w:rFonts w:hint="eastAsia" w:ascii="Nimbus Roman No9 L" w:hAnsi="Nimbus Roman No9 L" w:eastAsia="仿宋_GB2312" w:cs="Nimbus Roman No9 L"/>
          <w:color w:val="auto"/>
          <w:kern w:val="2"/>
          <w:sz w:val="32"/>
          <w:szCs w:val="32"/>
          <w:highlight w:val="none"/>
          <w:lang w:val="en-US" w:eastAsia="zh-CN" w:bidi="ar-SA"/>
        </w:rPr>
        <w:t>万</w:t>
      </w:r>
      <w:r>
        <w:rPr>
          <w:rFonts w:hint="default" w:ascii="Nimbus Roman No9 L" w:hAnsi="Nimbus Roman No9 L" w:eastAsia="仿宋_GB2312" w:cs="Nimbus Roman No9 L"/>
          <w:color w:val="auto"/>
          <w:kern w:val="2"/>
          <w:sz w:val="32"/>
          <w:szCs w:val="32"/>
          <w:highlight w:val="none"/>
          <w:lang w:val="en-US" w:eastAsia="zh-CN" w:bidi="ar-SA"/>
        </w:rPr>
        <w:t>元；3.接待省科技厅来攀调研“十五五”科技创新规划战略研究支出</w:t>
      </w:r>
      <w:r>
        <w:rPr>
          <w:rFonts w:hint="eastAsia" w:ascii="Nimbus Roman No9 L" w:hAnsi="Nimbus Roman No9 L" w:eastAsia="仿宋_GB2312" w:cs="Nimbus Roman No9 L"/>
          <w:color w:val="auto"/>
          <w:kern w:val="2"/>
          <w:sz w:val="32"/>
          <w:szCs w:val="32"/>
          <w:highlight w:val="none"/>
          <w:lang w:val="en-US" w:eastAsia="zh-CN" w:bidi="ar-SA"/>
        </w:rPr>
        <w:t>0.</w:t>
      </w:r>
      <w:r>
        <w:rPr>
          <w:rFonts w:hint="default" w:ascii="Nimbus Roman No9 L" w:hAnsi="Nimbus Roman No9 L" w:eastAsia="仿宋_GB2312" w:cs="Nimbus Roman No9 L"/>
          <w:color w:val="auto"/>
          <w:kern w:val="2"/>
          <w:sz w:val="32"/>
          <w:szCs w:val="32"/>
          <w:highlight w:val="none"/>
          <w:lang w:val="en-US" w:eastAsia="zh-CN" w:bidi="ar-SA"/>
        </w:rPr>
        <w:t>21</w:t>
      </w:r>
      <w:r>
        <w:rPr>
          <w:rFonts w:hint="eastAsia" w:ascii="Nimbus Roman No9 L" w:hAnsi="Nimbus Roman No9 L" w:eastAsia="仿宋_GB2312" w:cs="Nimbus Roman No9 L"/>
          <w:color w:val="auto"/>
          <w:kern w:val="2"/>
          <w:sz w:val="32"/>
          <w:szCs w:val="32"/>
          <w:highlight w:val="none"/>
          <w:lang w:val="en-US" w:eastAsia="zh-CN" w:bidi="ar-SA"/>
        </w:rPr>
        <w:t>万</w:t>
      </w:r>
      <w:r>
        <w:rPr>
          <w:rFonts w:hint="default" w:ascii="Nimbus Roman No9 L" w:hAnsi="Nimbus Roman No9 L" w:eastAsia="仿宋_GB2312" w:cs="Nimbus Roman No9 L"/>
          <w:color w:val="auto"/>
          <w:kern w:val="2"/>
          <w:sz w:val="32"/>
          <w:szCs w:val="32"/>
          <w:highlight w:val="none"/>
          <w:lang w:val="en-US" w:eastAsia="zh-CN" w:bidi="ar-SA"/>
        </w:rPr>
        <w:t>元；4.接待国家电投集团科学技术研究院赴攀考察支出</w:t>
      </w:r>
      <w:r>
        <w:rPr>
          <w:rFonts w:hint="eastAsia" w:ascii="Nimbus Roman No9 L" w:hAnsi="Nimbus Roman No9 L" w:eastAsia="仿宋_GB2312" w:cs="Nimbus Roman No9 L"/>
          <w:color w:val="auto"/>
          <w:kern w:val="2"/>
          <w:sz w:val="32"/>
          <w:szCs w:val="32"/>
          <w:highlight w:val="none"/>
          <w:lang w:val="en-US" w:eastAsia="zh-CN" w:bidi="ar-SA"/>
        </w:rPr>
        <w:t>0.0</w:t>
      </w:r>
      <w:r>
        <w:rPr>
          <w:rFonts w:hint="default" w:ascii="Nimbus Roman No9 L" w:hAnsi="Nimbus Roman No9 L" w:eastAsia="仿宋_GB2312" w:cs="Nimbus Roman No9 L"/>
          <w:color w:val="auto"/>
          <w:kern w:val="2"/>
          <w:sz w:val="32"/>
          <w:szCs w:val="32"/>
          <w:highlight w:val="none"/>
          <w:lang w:val="en-US" w:eastAsia="zh-CN" w:bidi="ar-SA"/>
        </w:rPr>
        <w:t>8</w:t>
      </w:r>
      <w:r>
        <w:rPr>
          <w:rFonts w:hint="eastAsia" w:ascii="Nimbus Roman No9 L" w:hAnsi="Nimbus Roman No9 L" w:eastAsia="仿宋_GB2312" w:cs="Nimbus Roman No9 L"/>
          <w:color w:val="auto"/>
          <w:kern w:val="2"/>
          <w:sz w:val="32"/>
          <w:szCs w:val="32"/>
          <w:highlight w:val="none"/>
          <w:lang w:val="en-US" w:eastAsia="zh-CN" w:bidi="ar-SA"/>
        </w:rPr>
        <w:t>万</w:t>
      </w:r>
      <w:r>
        <w:rPr>
          <w:rFonts w:hint="default" w:ascii="Nimbus Roman No9 L" w:hAnsi="Nimbus Roman No9 L" w:eastAsia="仿宋_GB2312" w:cs="Nimbus Roman No9 L"/>
          <w:color w:val="auto"/>
          <w:kern w:val="2"/>
          <w:sz w:val="32"/>
          <w:szCs w:val="32"/>
          <w:highlight w:val="none"/>
          <w:lang w:val="en-US" w:eastAsia="zh-CN" w:bidi="ar-SA"/>
        </w:rPr>
        <w:t>元；5.接待西华大学来攀调研支出</w:t>
      </w:r>
      <w:r>
        <w:rPr>
          <w:rFonts w:hint="eastAsia" w:ascii="Nimbus Roman No9 L" w:hAnsi="Nimbus Roman No9 L" w:eastAsia="仿宋_GB2312" w:cs="Nimbus Roman No9 L"/>
          <w:color w:val="auto"/>
          <w:kern w:val="2"/>
          <w:sz w:val="32"/>
          <w:szCs w:val="32"/>
          <w:highlight w:val="none"/>
          <w:lang w:val="en-US" w:eastAsia="zh-CN" w:bidi="ar-SA"/>
        </w:rPr>
        <w:t>0.0</w:t>
      </w:r>
      <w:r>
        <w:rPr>
          <w:rFonts w:hint="default" w:ascii="Nimbus Roman No9 L" w:hAnsi="Nimbus Roman No9 L" w:eastAsia="仿宋_GB2312" w:cs="Nimbus Roman No9 L"/>
          <w:color w:val="auto"/>
          <w:kern w:val="2"/>
          <w:sz w:val="32"/>
          <w:szCs w:val="32"/>
          <w:highlight w:val="none"/>
          <w:lang w:val="en-US" w:eastAsia="zh-CN" w:bidi="ar-SA"/>
        </w:rPr>
        <w:t>9</w:t>
      </w:r>
      <w:r>
        <w:rPr>
          <w:rFonts w:hint="eastAsia" w:ascii="Nimbus Roman No9 L" w:hAnsi="Nimbus Roman No9 L" w:eastAsia="仿宋_GB2312" w:cs="Nimbus Roman No9 L"/>
          <w:color w:val="auto"/>
          <w:kern w:val="2"/>
          <w:sz w:val="32"/>
          <w:szCs w:val="32"/>
          <w:highlight w:val="none"/>
          <w:lang w:val="en-US" w:eastAsia="zh-CN" w:bidi="ar-SA"/>
        </w:rPr>
        <w:t>万</w:t>
      </w:r>
      <w:r>
        <w:rPr>
          <w:rFonts w:hint="default" w:ascii="Nimbus Roman No9 L" w:hAnsi="Nimbus Roman No9 L" w:eastAsia="仿宋_GB2312" w:cs="Nimbus Roman No9 L"/>
          <w:color w:val="auto"/>
          <w:kern w:val="2"/>
          <w:sz w:val="32"/>
          <w:szCs w:val="32"/>
          <w:highlight w:val="none"/>
          <w:lang w:val="en-US" w:eastAsia="zh-CN" w:bidi="ar-SA"/>
        </w:rPr>
        <w:t>元；6.接待清华大学教授莅攀调研支出</w:t>
      </w:r>
      <w:r>
        <w:rPr>
          <w:rFonts w:hint="eastAsia" w:ascii="Nimbus Roman No9 L" w:hAnsi="Nimbus Roman No9 L" w:eastAsia="仿宋_GB2312" w:cs="Nimbus Roman No9 L"/>
          <w:color w:val="auto"/>
          <w:kern w:val="2"/>
          <w:sz w:val="32"/>
          <w:szCs w:val="32"/>
          <w:highlight w:val="none"/>
          <w:lang w:val="en-US" w:eastAsia="zh-CN" w:bidi="ar-SA"/>
        </w:rPr>
        <w:t>0.</w:t>
      </w:r>
      <w:r>
        <w:rPr>
          <w:rFonts w:hint="default" w:ascii="Nimbus Roman No9 L" w:hAnsi="Nimbus Roman No9 L" w:eastAsia="仿宋_GB2312" w:cs="Nimbus Roman No9 L"/>
          <w:color w:val="auto"/>
          <w:kern w:val="2"/>
          <w:sz w:val="32"/>
          <w:szCs w:val="32"/>
          <w:highlight w:val="none"/>
          <w:lang w:val="en-US" w:eastAsia="zh-CN" w:bidi="ar-SA"/>
        </w:rPr>
        <w:t>23</w:t>
      </w:r>
      <w:r>
        <w:rPr>
          <w:rFonts w:hint="eastAsia" w:ascii="Nimbus Roman No9 L" w:hAnsi="Nimbus Roman No9 L" w:eastAsia="仿宋_GB2312" w:cs="Nimbus Roman No9 L"/>
          <w:color w:val="auto"/>
          <w:kern w:val="2"/>
          <w:sz w:val="32"/>
          <w:szCs w:val="32"/>
          <w:highlight w:val="none"/>
          <w:lang w:val="en-US" w:eastAsia="zh-CN" w:bidi="ar-SA"/>
        </w:rPr>
        <w:t>万</w:t>
      </w:r>
      <w:r>
        <w:rPr>
          <w:rFonts w:hint="default" w:ascii="Nimbus Roman No9 L" w:hAnsi="Nimbus Roman No9 L" w:eastAsia="仿宋_GB2312" w:cs="Nimbus Roman No9 L"/>
          <w:color w:val="auto"/>
          <w:kern w:val="2"/>
          <w:sz w:val="32"/>
          <w:szCs w:val="32"/>
          <w:highlight w:val="none"/>
          <w:lang w:val="en-US" w:eastAsia="zh-CN" w:bidi="ar-SA"/>
        </w:rPr>
        <w:t>元；7.接待成都科技企业孵化器协会来攀指导支出</w:t>
      </w:r>
      <w:r>
        <w:rPr>
          <w:rFonts w:hint="eastAsia" w:ascii="Nimbus Roman No9 L" w:hAnsi="Nimbus Roman No9 L" w:eastAsia="仿宋_GB2312" w:cs="Nimbus Roman No9 L"/>
          <w:color w:val="auto"/>
          <w:kern w:val="2"/>
          <w:sz w:val="32"/>
          <w:szCs w:val="32"/>
          <w:highlight w:val="none"/>
          <w:lang w:val="en-US" w:eastAsia="zh-CN" w:bidi="ar-SA"/>
        </w:rPr>
        <w:t>0.05万</w:t>
      </w:r>
      <w:r>
        <w:rPr>
          <w:rFonts w:hint="default" w:ascii="Nimbus Roman No9 L" w:hAnsi="Nimbus Roman No9 L" w:eastAsia="仿宋_GB2312" w:cs="Nimbus Roman No9 L"/>
          <w:color w:val="auto"/>
          <w:kern w:val="2"/>
          <w:sz w:val="32"/>
          <w:szCs w:val="32"/>
          <w:highlight w:val="none"/>
          <w:lang w:val="en-US" w:eastAsia="zh-CN" w:bidi="ar-SA"/>
        </w:rPr>
        <w:t>元；8.接待中科院成都分院来攀调研支出</w:t>
      </w:r>
      <w:r>
        <w:rPr>
          <w:rFonts w:hint="eastAsia" w:ascii="Nimbus Roman No9 L" w:hAnsi="Nimbus Roman No9 L" w:eastAsia="仿宋_GB2312" w:cs="Nimbus Roman No9 L"/>
          <w:color w:val="auto"/>
          <w:kern w:val="2"/>
          <w:sz w:val="32"/>
          <w:szCs w:val="32"/>
          <w:highlight w:val="none"/>
          <w:lang w:val="en-US" w:eastAsia="zh-CN" w:bidi="ar-SA"/>
        </w:rPr>
        <w:t>0.08万</w:t>
      </w:r>
      <w:r>
        <w:rPr>
          <w:rFonts w:hint="default" w:ascii="Nimbus Roman No9 L" w:hAnsi="Nimbus Roman No9 L" w:eastAsia="仿宋_GB2312" w:cs="Nimbus Roman No9 L"/>
          <w:color w:val="auto"/>
          <w:kern w:val="2"/>
          <w:sz w:val="32"/>
          <w:szCs w:val="32"/>
          <w:highlight w:val="none"/>
          <w:lang w:val="en-US" w:eastAsia="zh-CN" w:bidi="ar-SA"/>
        </w:rPr>
        <w:t>元；9.接待中国科学院、北京科技大学等国内高校（院所）来攀科技成果及技术需求指导支出</w:t>
      </w:r>
      <w:r>
        <w:rPr>
          <w:rFonts w:hint="eastAsia" w:ascii="Nimbus Roman No9 L" w:hAnsi="Nimbus Roman No9 L" w:eastAsia="仿宋_GB2312" w:cs="Nimbus Roman No9 L"/>
          <w:color w:val="auto"/>
          <w:kern w:val="2"/>
          <w:sz w:val="32"/>
          <w:szCs w:val="32"/>
          <w:highlight w:val="none"/>
          <w:lang w:val="en-US" w:eastAsia="zh-CN" w:bidi="ar-SA"/>
        </w:rPr>
        <w:t>0.</w:t>
      </w:r>
      <w:r>
        <w:rPr>
          <w:rFonts w:hint="default" w:ascii="Nimbus Roman No9 L" w:hAnsi="Nimbus Roman No9 L" w:eastAsia="仿宋_GB2312" w:cs="Nimbus Roman No9 L"/>
          <w:color w:val="auto"/>
          <w:kern w:val="2"/>
          <w:sz w:val="32"/>
          <w:szCs w:val="32"/>
          <w:highlight w:val="none"/>
          <w:lang w:val="en-US" w:eastAsia="zh-CN" w:bidi="ar-SA"/>
        </w:rPr>
        <w:t>24</w:t>
      </w:r>
      <w:r>
        <w:rPr>
          <w:rFonts w:hint="eastAsia" w:ascii="Nimbus Roman No9 L" w:hAnsi="Nimbus Roman No9 L" w:eastAsia="仿宋_GB2312" w:cs="Nimbus Roman No9 L"/>
          <w:color w:val="auto"/>
          <w:kern w:val="2"/>
          <w:sz w:val="32"/>
          <w:szCs w:val="32"/>
          <w:highlight w:val="none"/>
          <w:lang w:val="en-US" w:eastAsia="zh-CN" w:bidi="ar-SA"/>
        </w:rPr>
        <w:t>万</w:t>
      </w:r>
      <w:r>
        <w:rPr>
          <w:rFonts w:hint="default" w:ascii="Nimbus Roman No9 L" w:hAnsi="Nimbus Roman No9 L" w:eastAsia="仿宋_GB2312" w:cs="Nimbus Roman No9 L"/>
          <w:color w:val="auto"/>
          <w:kern w:val="2"/>
          <w:sz w:val="32"/>
          <w:szCs w:val="32"/>
          <w:highlight w:val="none"/>
          <w:lang w:val="en-US" w:eastAsia="zh-CN" w:bidi="ar-SA"/>
        </w:rPr>
        <w:t>元。</w:t>
      </w:r>
    </w:p>
    <w:p w14:paraId="243C9F3F">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bookmarkStart w:id="42" w:name="_Toc15377218"/>
      <w:bookmarkStart w:id="43" w:name="_Toc15396610"/>
      <w:r>
        <w:rPr>
          <w:rFonts w:hint="default" w:ascii="Nimbus Roman No9 L" w:hAnsi="Nimbus Roman No9 L" w:eastAsia="仿宋_GB2312" w:cs="Nimbus Roman No9 L"/>
          <w:color w:val="auto"/>
          <w:kern w:val="2"/>
          <w:sz w:val="32"/>
          <w:szCs w:val="32"/>
          <w:highlight w:val="none"/>
          <w:lang w:val="en-US" w:eastAsia="zh-CN" w:bidi="ar-SA"/>
        </w:rPr>
        <w:t>外事接待支出0万元。外事接待0批次，0人次（不包括陪同人员），共计支出0万元。</w:t>
      </w:r>
    </w:p>
    <w:p w14:paraId="1D9A67A4">
      <w:pPr>
        <w:spacing w:line="600" w:lineRule="exact"/>
        <w:ind w:firstLine="640"/>
        <w:outlineLvl w:val="1"/>
        <w:rPr>
          <w:rStyle w:val="31"/>
          <w:rFonts w:hint="default" w:ascii="Nimbus Roman No9 L" w:hAnsi="Nimbus Roman No9 L" w:eastAsia="黑体" w:cs="Nimbus Roman No9 L"/>
          <w:color w:val="auto"/>
          <w:highlight w:val="none"/>
        </w:rPr>
      </w:pPr>
      <w:r>
        <w:rPr>
          <w:rFonts w:hint="default" w:ascii="Nimbus Roman No9 L" w:hAnsi="Nimbus Roman No9 L" w:eastAsia="黑体" w:cs="Nimbus Roman No9 L"/>
          <w:color w:val="auto"/>
          <w:sz w:val="32"/>
          <w:szCs w:val="32"/>
          <w:highlight w:val="none"/>
        </w:rPr>
        <w:t>八、</w:t>
      </w:r>
      <w:r>
        <w:rPr>
          <w:rStyle w:val="31"/>
          <w:rFonts w:hint="default" w:ascii="Nimbus Roman No9 L" w:hAnsi="Nimbus Roman No9 L" w:eastAsia="黑体" w:cs="Nimbus Roman No9 L"/>
          <w:b w:val="0"/>
          <w:color w:val="auto"/>
          <w:highlight w:val="none"/>
        </w:rPr>
        <w:t>政府性基金预算支出决算情况说明</w:t>
      </w:r>
      <w:bookmarkEnd w:id="42"/>
      <w:bookmarkEnd w:id="43"/>
    </w:p>
    <w:p w14:paraId="32A40137">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bookmarkStart w:id="44" w:name="_Toc15377219"/>
      <w:bookmarkStart w:id="45" w:name="_Toc15396611"/>
      <w:r>
        <w:rPr>
          <w:rFonts w:hint="default" w:ascii="Nimbus Roman No9 L" w:hAnsi="Nimbus Roman No9 L" w:eastAsia="仿宋_GB2312" w:cs="Nimbus Roman No9 L"/>
          <w:color w:val="auto"/>
          <w:kern w:val="2"/>
          <w:sz w:val="32"/>
          <w:szCs w:val="32"/>
          <w:highlight w:val="none"/>
          <w:lang w:val="en-US" w:eastAsia="zh-CN" w:bidi="ar-SA"/>
        </w:rPr>
        <w:t>2025年度政府性基金预算财政拨款支出0万元，占本年支出合计的0%。与上年度持平。</w:t>
      </w:r>
    </w:p>
    <w:p w14:paraId="4D4644D7">
      <w:pPr>
        <w:numPr>
          <w:ilvl w:val="0"/>
          <w:numId w:val="0"/>
        </w:numPr>
        <w:spacing w:line="600" w:lineRule="exact"/>
        <w:ind w:left="630" w:leftChars="0"/>
        <w:outlineLvl w:val="1"/>
        <w:rPr>
          <w:rStyle w:val="31"/>
          <w:rFonts w:hint="default" w:ascii="Nimbus Roman No9 L" w:hAnsi="Nimbus Roman No9 L" w:eastAsia="黑体" w:cs="Nimbus Roman No9 L"/>
          <w:b w:val="0"/>
          <w:color w:val="auto"/>
          <w:highlight w:val="none"/>
        </w:rPr>
      </w:pPr>
      <w:r>
        <w:rPr>
          <w:rStyle w:val="31"/>
          <w:rFonts w:hint="default" w:ascii="Nimbus Roman No9 L" w:hAnsi="Nimbus Roman No9 L" w:eastAsia="黑体" w:cs="Nimbus Roman No9 L"/>
          <w:b w:val="0"/>
          <w:color w:val="auto"/>
          <w:highlight w:val="none"/>
          <w:lang w:eastAsia="zh-CN"/>
        </w:rPr>
        <w:t>九、</w:t>
      </w:r>
      <w:r>
        <w:rPr>
          <w:rStyle w:val="31"/>
          <w:rFonts w:hint="default" w:ascii="Nimbus Roman No9 L" w:hAnsi="Nimbus Roman No9 L" w:eastAsia="黑体" w:cs="Nimbus Roman No9 L"/>
          <w:b w:val="0"/>
          <w:color w:val="auto"/>
          <w:highlight w:val="none"/>
        </w:rPr>
        <w:t>国有资本经营预算支出决算情况说明</w:t>
      </w:r>
      <w:bookmarkEnd w:id="44"/>
      <w:bookmarkEnd w:id="45"/>
    </w:p>
    <w:p w14:paraId="76C78C6F">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bookmarkStart w:id="46" w:name="_Toc15377221"/>
      <w:bookmarkStart w:id="47" w:name="_Toc15396612"/>
      <w:r>
        <w:rPr>
          <w:rFonts w:hint="default" w:ascii="Nimbus Roman No9 L" w:hAnsi="Nimbus Roman No9 L" w:eastAsia="仿宋_GB2312" w:cs="Nimbus Roman No9 L"/>
          <w:color w:val="auto"/>
          <w:kern w:val="2"/>
          <w:sz w:val="32"/>
          <w:szCs w:val="32"/>
          <w:highlight w:val="none"/>
          <w:lang w:val="en-US" w:eastAsia="zh-CN" w:bidi="ar-SA"/>
        </w:rPr>
        <w:t>2025年度国有资本经营预算财政拨款支出0万元，占本年支出合计的0%。与上年度持平。</w:t>
      </w:r>
    </w:p>
    <w:p w14:paraId="4C0B38FC">
      <w:pPr>
        <w:numPr>
          <w:ilvl w:val="0"/>
          <w:numId w:val="0"/>
        </w:numPr>
        <w:spacing w:line="600" w:lineRule="exact"/>
        <w:ind w:left="630" w:leftChars="0"/>
        <w:outlineLvl w:val="1"/>
        <w:rPr>
          <w:rStyle w:val="31"/>
          <w:rFonts w:hint="default" w:ascii="Nimbus Roman No9 L" w:hAnsi="Nimbus Roman No9 L" w:eastAsia="黑体" w:cs="Nimbus Roman No9 L"/>
          <w:b w:val="0"/>
          <w:color w:val="auto"/>
          <w:highlight w:val="none"/>
        </w:rPr>
      </w:pPr>
      <w:r>
        <w:rPr>
          <w:rStyle w:val="31"/>
          <w:rFonts w:hint="default" w:ascii="Nimbus Roman No9 L" w:hAnsi="Nimbus Roman No9 L" w:eastAsia="黑体" w:cs="Nimbus Roman No9 L"/>
          <w:b w:val="0"/>
          <w:color w:val="auto"/>
          <w:highlight w:val="none"/>
          <w:lang w:eastAsia="zh-CN"/>
        </w:rPr>
        <w:t>十、</w:t>
      </w:r>
      <w:r>
        <w:rPr>
          <w:rStyle w:val="31"/>
          <w:rFonts w:hint="default" w:ascii="Nimbus Roman No9 L" w:hAnsi="Nimbus Roman No9 L" w:eastAsia="黑体" w:cs="Nimbus Roman No9 L"/>
          <w:b w:val="0"/>
          <w:color w:val="auto"/>
          <w:highlight w:val="none"/>
        </w:rPr>
        <w:t>其他重要事项的情况说明</w:t>
      </w:r>
      <w:bookmarkEnd w:id="46"/>
      <w:bookmarkEnd w:id="47"/>
    </w:p>
    <w:p w14:paraId="49CFC104">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bookmarkStart w:id="48" w:name="_Toc15377222"/>
      <w:r>
        <w:rPr>
          <w:rFonts w:hint="default" w:ascii="Nimbus Roman No9 L" w:hAnsi="Nimbus Roman No9 L" w:eastAsia="楷体_GB2312" w:cs="Nimbus Roman No9 L"/>
          <w:b/>
          <w:color w:val="auto"/>
          <w:sz w:val="32"/>
          <w:szCs w:val="32"/>
          <w:highlight w:val="none"/>
        </w:rPr>
        <w:t>（一）机关运行经费支出情况</w:t>
      </w:r>
      <w:bookmarkEnd w:id="48"/>
    </w:p>
    <w:p w14:paraId="1204C4EF">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bookmarkStart w:id="49" w:name="_Toc15377223"/>
      <w:r>
        <w:rPr>
          <w:rFonts w:hint="default" w:ascii="Nimbus Roman No9 L" w:hAnsi="Nimbus Roman No9 L" w:eastAsia="仿宋_GB2312" w:cs="Nimbus Roman No9 L"/>
          <w:color w:val="auto"/>
          <w:kern w:val="2"/>
          <w:sz w:val="32"/>
          <w:szCs w:val="32"/>
          <w:highlight w:val="none"/>
          <w:lang w:val="en-US" w:eastAsia="zh-CN" w:bidi="ar-SA"/>
        </w:rPr>
        <w:t>2025年度，攀枝花市科学技术局机关运行经费支出66.85万元，比上年度减少48.97万元，下降42.3%。主要原因是落实过紧日子措施，减少公用支出。</w:t>
      </w:r>
    </w:p>
    <w:p w14:paraId="54E303BA">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r>
        <w:rPr>
          <w:rFonts w:hint="default" w:ascii="Nimbus Roman No9 L" w:hAnsi="Nimbus Roman No9 L" w:eastAsia="楷体_GB2312" w:cs="Nimbus Roman No9 L"/>
          <w:b/>
          <w:color w:val="auto"/>
          <w:sz w:val="32"/>
          <w:szCs w:val="32"/>
          <w:highlight w:val="none"/>
        </w:rPr>
        <w:t>（二）政府采购支出情况</w:t>
      </w:r>
      <w:bookmarkEnd w:id="49"/>
    </w:p>
    <w:p w14:paraId="5DF649EF">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2025年度，</w:t>
      </w:r>
      <w:r>
        <w:rPr>
          <w:rFonts w:hint="default" w:ascii="Nimbus Roman No9 L" w:hAnsi="Nimbus Roman No9 L" w:eastAsia="仿宋_GB2312" w:cs="Nimbus Roman No9 L"/>
          <w:sz w:val="32"/>
          <w:szCs w:val="32"/>
        </w:rPr>
        <w:t>攀枝花市科学技术局（本级）</w:t>
      </w:r>
      <w:r>
        <w:rPr>
          <w:rFonts w:hint="default" w:ascii="Nimbus Roman No9 L" w:hAnsi="Nimbus Roman No9 L" w:eastAsia="仿宋_GB2312" w:cs="Nimbus Roman No9 L"/>
          <w:color w:val="auto"/>
          <w:kern w:val="2"/>
          <w:sz w:val="32"/>
          <w:szCs w:val="32"/>
          <w:highlight w:val="none"/>
          <w:lang w:val="en-US" w:eastAsia="zh-CN" w:bidi="ar-SA"/>
        </w:rPr>
        <w:t>政府采购支出总额</w:t>
      </w:r>
      <w:r>
        <w:rPr>
          <w:rFonts w:hint="default" w:ascii="Nimbus Roman No9 L" w:hAnsi="Nimbus Roman No9 L" w:eastAsia="仿宋_GB2312" w:cs="Nimbus Roman No9 L"/>
          <w:sz w:val="32"/>
          <w:szCs w:val="32"/>
        </w:rPr>
        <w:t>1.9</w:t>
      </w:r>
      <w:r>
        <w:rPr>
          <w:rFonts w:hint="default" w:ascii="Nimbus Roman No9 L" w:hAnsi="Nimbus Roman No9 L" w:eastAsia="仿宋_GB2312" w:cs="Nimbus Roman No9 L"/>
          <w:color w:val="auto"/>
          <w:kern w:val="2"/>
          <w:sz w:val="32"/>
          <w:szCs w:val="32"/>
          <w:highlight w:val="none"/>
          <w:lang w:val="en-US" w:eastAsia="zh-CN" w:bidi="ar-SA"/>
        </w:rPr>
        <w:t>万元，其中：政府采购货物支出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万元、政府采购工程支出</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万元、政府采购服务支出</w:t>
      </w:r>
      <w:r>
        <w:rPr>
          <w:rFonts w:hint="default" w:ascii="Nimbus Roman No9 L" w:hAnsi="Nimbus Roman No9 L" w:eastAsia="仿宋_GB2312" w:cs="Nimbus Roman No9 L"/>
          <w:sz w:val="32"/>
          <w:szCs w:val="32"/>
        </w:rPr>
        <w:t>1.9</w:t>
      </w:r>
      <w:r>
        <w:rPr>
          <w:rFonts w:hint="default" w:ascii="Nimbus Roman No9 L" w:hAnsi="Nimbus Roman No9 L" w:eastAsia="仿宋_GB2312" w:cs="Nimbus Roman No9 L"/>
          <w:color w:val="auto"/>
          <w:kern w:val="2"/>
          <w:sz w:val="32"/>
          <w:szCs w:val="32"/>
          <w:highlight w:val="none"/>
          <w:lang w:val="en-US" w:eastAsia="zh-CN" w:bidi="ar-SA"/>
        </w:rPr>
        <w:t>万元。主要用于公车维修、加油、保险。授予中小企业合同金额</w:t>
      </w:r>
      <w:r>
        <w:rPr>
          <w:rFonts w:hint="default" w:ascii="Nimbus Roman No9 L" w:hAnsi="Nimbus Roman No9 L" w:eastAsia="仿宋_GB2312" w:cs="Nimbus Roman No9 L"/>
          <w:sz w:val="32"/>
          <w:szCs w:val="32"/>
        </w:rPr>
        <w:t>1.9</w:t>
      </w:r>
      <w:r>
        <w:rPr>
          <w:rFonts w:hint="default" w:ascii="Nimbus Roman No9 L" w:hAnsi="Nimbus Roman No9 L" w:eastAsia="仿宋_GB2312" w:cs="Nimbus Roman No9 L"/>
          <w:color w:val="auto"/>
          <w:kern w:val="2"/>
          <w:sz w:val="32"/>
          <w:szCs w:val="32"/>
          <w:highlight w:val="none"/>
          <w:lang w:val="en-US" w:eastAsia="zh-CN" w:bidi="ar-SA"/>
        </w:rPr>
        <w:t>万元，占政府采购支出总额的</w:t>
      </w:r>
      <w:r>
        <w:rPr>
          <w:rFonts w:hint="default" w:ascii="Nimbus Roman No9 L" w:hAnsi="Nimbus Roman No9 L" w:eastAsia="仿宋_GB2312" w:cs="Nimbus Roman No9 L"/>
          <w:sz w:val="32"/>
          <w:szCs w:val="32"/>
        </w:rPr>
        <w:t>100</w:t>
      </w:r>
      <w:r>
        <w:rPr>
          <w:rFonts w:hint="default" w:ascii="Nimbus Roman No9 L" w:hAnsi="Nimbus Roman No9 L" w:eastAsia="仿宋_GB2312" w:cs="Nimbus Roman No9 L"/>
          <w:color w:val="auto"/>
          <w:kern w:val="2"/>
          <w:sz w:val="32"/>
          <w:szCs w:val="32"/>
          <w:highlight w:val="none"/>
          <w:lang w:val="en-US" w:eastAsia="zh-CN" w:bidi="ar-SA"/>
        </w:rPr>
        <w:t>%，其中：授予小微企业合同金额</w:t>
      </w:r>
      <w:r>
        <w:rPr>
          <w:rFonts w:hint="default" w:ascii="Nimbus Roman No9 L" w:hAnsi="Nimbus Roman No9 L" w:eastAsia="仿宋_GB2312" w:cs="Nimbus Roman No9 L"/>
          <w:sz w:val="32"/>
          <w:szCs w:val="32"/>
        </w:rPr>
        <w:t>0.4</w:t>
      </w:r>
      <w:r>
        <w:rPr>
          <w:rFonts w:hint="default" w:ascii="Nimbus Roman No9 L" w:hAnsi="Nimbus Roman No9 L" w:eastAsia="仿宋_GB2312" w:cs="Nimbus Roman No9 L"/>
          <w:color w:val="auto"/>
          <w:kern w:val="2"/>
          <w:sz w:val="32"/>
          <w:szCs w:val="32"/>
          <w:highlight w:val="none"/>
          <w:lang w:val="en-US" w:eastAsia="zh-CN" w:bidi="ar-SA"/>
        </w:rPr>
        <w:t>万元，占政府采购支出总额的</w:t>
      </w:r>
      <w:r>
        <w:rPr>
          <w:rFonts w:hint="default" w:ascii="Nimbus Roman No9 L" w:hAnsi="Nimbus Roman No9 L" w:eastAsia="仿宋_GB2312" w:cs="Nimbus Roman No9 L"/>
          <w:sz w:val="32"/>
          <w:szCs w:val="32"/>
        </w:rPr>
        <w:t>21.</w:t>
      </w:r>
      <w:r>
        <w:rPr>
          <w:rFonts w:hint="eastAsia" w:ascii="Nimbus Roman No9 L" w:hAnsi="Nimbus Roman No9 L" w:eastAsia="仿宋_GB2312" w:cs="Nimbus Roman No9 L"/>
          <w:sz w:val="32"/>
          <w:szCs w:val="32"/>
          <w:lang w:val="en-US" w:eastAsia="zh-CN"/>
        </w:rPr>
        <w:t>1</w:t>
      </w:r>
      <w:r>
        <w:rPr>
          <w:rFonts w:hint="default" w:ascii="Nimbus Roman No9 L" w:hAnsi="Nimbus Roman No9 L" w:eastAsia="仿宋_GB2312" w:cs="Nimbus Roman No9 L"/>
          <w:color w:val="auto"/>
          <w:kern w:val="2"/>
          <w:sz w:val="32"/>
          <w:szCs w:val="32"/>
          <w:highlight w:val="none"/>
          <w:lang w:val="en-US" w:eastAsia="zh-CN" w:bidi="ar-SA"/>
        </w:rPr>
        <w:t>%。</w:t>
      </w:r>
    </w:p>
    <w:p w14:paraId="6718AFC2">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bookmarkStart w:id="50" w:name="_Toc15377224"/>
      <w:r>
        <w:rPr>
          <w:rFonts w:hint="default" w:ascii="Nimbus Roman No9 L" w:hAnsi="Nimbus Roman No9 L" w:eastAsia="楷体_GB2312" w:cs="Nimbus Roman No9 L"/>
          <w:b/>
          <w:color w:val="auto"/>
          <w:sz w:val="32"/>
          <w:szCs w:val="32"/>
          <w:highlight w:val="none"/>
        </w:rPr>
        <w:t>（三）国有资产占有使用情况</w:t>
      </w:r>
      <w:bookmarkEnd w:id="50"/>
    </w:p>
    <w:p w14:paraId="62018CD2">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截至2025年12月31日，</w:t>
      </w:r>
      <w:r>
        <w:rPr>
          <w:rFonts w:hint="default" w:ascii="Nimbus Roman No9 L" w:hAnsi="Nimbus Roman No9 L" w:eastAsia="仿宋_GB2312" w:cs="Nimbus Roman No9 L"/>
          <w:sz w:val="32"/>
          <w:szCs w:val="32"/>
        </w:rPr>
        <w:t>攀枝花市科学技术局</w:t>
      </w:r>
      <w:r>
        <w:rPr>
          <w:rFonts w:hint="default" w:ascii="Nimbus Roman No9 L" w:hAnsi="Nimbus Roman No9 L" w:eastAsia="仿宋_GB2312" w:cs="Nimbus Roman No9 L"/>
          <w:color w:val="auto"/>
          <w:kern w:val="2"/>
          <w:sz w:val="32"/>
          <w:szCs w:val="32"/>
          <w:highlight w:val="none"/>
          <w:lang w:val="en-US" w:eastAsia="zh-CN" w:bidi="ar-SA"/>
        </w:rPr>
        <w:t>共有车辆</w:t>
      </w:r>
      <w:r>
        <w:rPr>
          <w:rFonts w:hint="default" w:ascii="Nimbus Roman No9 L" w:hAnsi="Nimbus Roman No9 L" w:eastAsia="仿宋_GB2312" w:cs="Nimbus Roman No9 L"/>
          <w:sz w:val="32"/>
          <w:szCs w:val="32"/>
        </w:rPr>
        <w:t>4</w:t>
      </w:r>
      <w:r>
        <w:rPr>
          <w:rFonts w:hint="default" w:ascii="Nimbus Roman No9 L" w:hAnsi="Nimbus Roman No9 L" w:eastAsia="仿宋_GB2312" w:cs="Nimbus Roman No9 L"/>
          <w:color w:val="auto"/>
          <w:kern w:val="2"/>
          <w:sz w:val="32"/>
          <w:szCs w:val="32"/>
          <w:highlight w:val="none"/>
          <w:lang w:val="en-US" w:eastAsia="zh-CN" w:bidi="ar-SA"/>
        </w:rPr>
        <w:t>辆，其中：副部（省）级及以上领导用车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辆、主要负责人用车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辆、机要通信用车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辆、应急保障用车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辆、执法执勤用车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辆、特种专业技术用车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辆、离退休干部服务用车</w:t>
      </w:r>
      <w:r>
        <w:rPr>
          <w:rFonts w:hint="default" w:ascii="Nimbus Roman No9 L" w:hAnsi="Nimbus Roman No9 L" w:eastAsia="仿宋_GB2312" w:cs="Nimbus Roman No9 L"/>
          <w:sz w:val="32"/>
          <w:szCs w:val="32"/>
        </w:rPr>
        <w:t>0</w:t>
      </w:r>
      <w:r>
        <w:rPr>
          <w:rFonts w:hint="default" w:ascii="Nimbus Roman No9 L" w:hAnsi="Nimbus Roman No9 L" w:eastAsia="仿宋_GB2312" w:cs="Nimbus Roman No9 L"/>
          <w:color w:val="auto"/>
          <w:kern w:val="2"/>
          <w:sz w:val="32"/>
          <w:szCs w:val="32"/>
          <w:highlight w:val="none"/>
          <w:lang w:val="en-US" w:eastAsia="zh-CN" w:bidi="ar-SA"/>
        </w:rPr>
        <w:t>辆、其他用车1辆，其他用车主要是用于工作调研、科普宣传、紧急（机要）文件取送、到企业等开展工作对接交流等工作。单价100万元（含）以上设备（不含车辆）0台（套）。</w:t>
      </w:r>
    </w:p>
    <w:p w14:paraId="1193A2C0">
      <w:pPr>
        <w:spacing w:line="600" w:lineRule="exact"/>
        <w:ind w:firstLine="643" w:firstLineChars="200"/>
        <w:outlineLvl w:val="2"/>
        <w:rPr>
          <w:rFonts w:hint="default" w:ascii="Nimbus Roman No9 L" w:hAnsi="Nimbus Roman No9 L" w:eastAsia="楷体_GB2312" w:cs="Nimbus Roman No9 L"/>
          <w:b/>
          <w:color w:val="auto"/>
          <w:sz w:val="32"/>
          <w:szCs w:val="32"/>
          <w:highlight w:val="none"/>
        </w:rPr>
      </w:pPr>
      <w:r>
        <w:rPr>
          <w:rFonts w:hint="default" w:ascii="Nimbus Roman No9 L" w:hAnsi="Nimbus Roman No9 L" w:eastAsia="楷体_GB2312" w:cs="Nimbus Roman No9 L"/>
          <w:b/>
          <w:color w:val="auto"/>
          <w:sz w:val="32"/>
          <w:szCs w:val="32"/>
          <w:highlight w:val="none"/>
        </w:rPr>
        <w:t>（四）预算绩效管理情况</w:t>
      </w:r>
    </w:p>
    <w:p w14:paraId="334124CC">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r>
        <w:rPr>
          <w:rFonts w:hint="default" w:ascii="Nimbus Roman No9 L" w:hAnsi="Nimbus Roman No9 L" w:eastAsia="仿宋_GB2312" w:cs="Nimbus Roman No9 L"/>
          <w:color w:val="auto"/>
          <w:kern w:val="2"/>
          <w:sz w:val="32"/>
          <w:szCs w:val="32"/>
          <w:highlight w:val="none"/>
          <w:lang w:val="en-US" w:eastAsia="zh-CN" w:bidi="ar-SA"/>
        </w:rPr>
        <w:t>根据预算绩效管理要求，攀枝花市科学技术局在2025年度，组织对中央引导地方科技发展资金等3个项目涉及金额320万元开展了事前绩效评估，对</w:t>
      </w:r>
      <w:r>
        <w:rPr>
          <w:rFonts w:hint="eastAsia" w:ascii="Nimbus Roman No9 L" w:hAnsi="Nimbus Roman No9 L" w:eastAsia="仿宋_GB2312" w:cs="Nimbus Roman No9 L"/>
          <w:color w:val="auto"/>
          <w:kern w:val="2"/>
          <w:sz w:val="32"/>
          <w:szCs w:val="32"/>
          <w:highlight w:val="none"/>
          <w:lang w:val="en-US" w:eastAsia="zh-CN" w:bidi="ar-SA"/>
        </w:rPr>
        <w:t>10</w:t>
      </w:r>
      <w:r>
        <w:rPr>
          <w:rFonts w:hint="default" w:ascii="Nimbus Roman No9 L" w:hAnsi="Nimbus Roman No9 L" w:eastAsia="仿宋_GB2312" w:cs="Nimbus Roman No9 L"/>
          <w:color w:val="auto"/>
          <w:kern w:val="2"/>
          <w:sz w:val="32"/>
          <w:szCs w:val="32"/>
          <w:highlight w:val="none"/>
          <w:lang w:val="en-US" w:eastAsia="zh-CN" w:bidi="ar-SA"/>
        </w:rPr>
        <w:t>个项目编制了绩效目标，预算执行过程中，选取</w:t>
      </w:r>
      <w:r>
        <w:rPr>
          <w:rFonts w:hint="eastAsia" w:ascii="Nimbus Roman No9 L" w:hAnsi="Nimbus Roman No9 L" w:eastAsia="仿宋_GB2312" w:cs="Nimbus Roman No9 L"/>
          <w:color w:val="auto"/>
          <w:kern w:val="2"/>
          <w:sz w:val="32"/>
          <w:szCs w:val="32"/>
          <w:highlight w:val="none"/>
          <w:lang w:val="en-US" w:eastAsia="zh-CN" w:bidi="ar-SA"/>
        </w:rPr>
        <w:t>10</w:t>
      </w:r>
      <w:r>
        <w:rPr>
          <w:rFonts w:hint="default" w:ascii="Nimbus Roman No9 L" w:hAnsi="Nimbus Roman No9 L" w:eastAsia="仿宋_GB2312" w:cs="Nimbus Roman No9 L"/>
          <w:color w:val="auto"/>
          <w:kern w:val="2"/>
          <w:sz w:val="32"/>
          <w:szCs w:val="32"/>
          <w:highlight w:val="none"/>
          <w:lang w:val="en-US" w:eastAsia="zh-CN" w:bidi="ar-SA"/>
        </w:rPr>
        <w:t>个项目开展绩效监控。</w:t>
      </w:r>
    </w:p>
    <w:p w14:paraId="224DA068">
      <w:pPr>
        <w:spacing w:line="600" w:lineRule="exact"/>
        <w:ind w:firstLine="640"/>
        <w:rPr>
          <w:rFonts w:hint="default" w:ascii="Nimbus Roman No9 L" w:hAnsi="Nimbus Roman No9 L" w:eastAsia="仿宋_GB2312" w:cs="Nimbus Roman No9 L"/>
          <w:color w:val="auto"/>
          <w:kern w:val="2"/>
          <w:sz w:val="32"/>
          <w:szCs w:val="32"/>
          <w:highlight w:val="none"/>
          <w:lang w:val="en-US" w:eastAsia="zh-CN" w:bidi="ar-SA"/>
        </w:rPr>
      </w:pPr>
    </w:p>
    <w:p w14:paraId="02E8000D">
      <w:pPr>
        <w:rPr>
          <w:rFonts w:hint="default" w:ascii="Nimbus Roman No9 L" w:hAnsi="Nimbus Roman No9 L" w:cs="Nimbus Roman No9 L"/>
          <w:lang w:val="en-US" w:eastAsia="zh-CN"/>
        </w:rPr>
      </w:pPr>
      <w:r>
        <w:rPr>
          <w:rFonts w:hint="default" w:ascii="Nimbus Roman No9 L" w:hAnsi="Nimbus Roman No9 L" w:cs="Nimbus Roman No9 L"/>
          <w:lang w:val="en-US" w:eastAsia="zh-CN"/>
        </w:rPr>
        <w:br w:type="page"/>
      </w:r>
    </w:p>
    <w:p w14:paraId="587594D7">
      <w:pPr>
        <w:pStyle w:val="3"/>
        <w:rPr>
          <w:rFonts w:hint="default" w:ascii="Nimbus Roman No9 L" w:hAnsi="Nimbus Roman No9 L" w:cs="Nimbus Roman No9 L"/>
          <w:lang w:val="en-US" w:eastAsia="zh-CN"/>
        </w:rPr>
      </w:pPr>
    </w:p>
    <w:p w14:paraId="79E51F1C">
      <w:pPr>
        <w:numPr>
          <w:ilvl w:val="0"/>
          <w:numId w:val="0"/>
        </w:numPr>
        <w:spacing w:line="600" w:lineRule="exact"/>
        <w:jc w:val="center"/>
        <w:outlineLvl w:val="0"/>
        <w:rPr>
          <w:rFonts w:hint="default" w:ascii="Nimbus Roman No9 L" w:hAnsi="Nimbus Roman No9 L" w:eastAsia="黑体" w:cs="Nimbus Roman No9 L"/>
          <w:color w:val="auto"/>
          <w:sz w:val="44"/>
          <w:szCs w:val="44"/>
          <w:highlight w:val="none"/>
        </w:rPr>
      </w:pPr>
      <w:bookmarkStart w:id="51" w:name="_Toc15377225"/>
      <w:bookmarkStart w:id="52" w:name="_Toc15396613"/>
      <w:r>
        <w:rPr>
          <w:rFonts w:hint="default" w:ascii="Nimbus Roman No9 L" w:hAnsi="Nimbus Roman No9 L" w:eastAsia="黑体" w:cs="Nimbus Roman No9 L"/>
          <w:color w:val="auto"/>
          <w:sz w:val="44"/>
          <w:szCs w:val="44"/>
          <w:highlight w:val="none"/>
        </w:rPr>
        <w:t>第</w:t>
      </w:r>
      <w:r>
        <w:rPr>
          <w:rFonts w:hint="default" w:ascii="Nimbus Roman No9 L" w:hAnsi="Nimbus Roman No9 L" w:eastAsia="黑体" w:cs="Nimbus Roman No9 L"/>
          <w:color w:val="auto"/>
          <w:sz w:val="44"/>
          <w:szCs w:val="44"/>
          <w:highlight w:val="none"/>
          <w:lang w:eastAsia="zh-CN"/>
        </w:rPr>
        <w:t>三</w:t>
      </w:r>
      <w:r>
        <w:rPr>
          <w:rFonts w:hint="default" w:ascii="Nimbus Roman No9 L" w:hAnsi="Nimbus Roman No9 L" w:eastAsia="黑体" w:cs="Nimbus Roman No9 L"/>
          <w:color w:val="auto"/>
          <w:sz w:val="44"/>
          <w:szCs w:val="44"/>
          <w:highlight w:val="none"/>
        </w:rPr>
        <w:t>部分</w:t>
      </w:r>
      <w:r>
        <w:rPr>
          <w:rFonts w:hint="default" w:ascii="Nimbus Roman No9 L" w:hAnsi="Nimbus Roman No9 L" w:eastAsia="黑体" w:cs="Nimbus Roman No9 L"/>
          <w:color w:val="auto"/>
          <w:sz w:val="44"/>
          <w:szCs w:val="44"/>
          <w:highlight w:val="none"/>
          <w:lang w:val="en-US" w:eastAsia="zh-CN"/>
        </w:rPr>
        <w:t xml:space="preserve">  </w:t>
      </w:r>
      <w:r>
        <w:rPr>
          <w:rFonts w:hint="default" w:ascii="Nimbus Roman No9 L" w:hAnsi="Nimbus Roman No9 L" w:eastAsia="黑体" w:cs="Nimbus Roman No9 L"/>
          <w:color w:val="auto"/>
          <w:sz w:val="44"/>
          <w:szCs w:val="44"/>
          <w:highlight w:val="none"/>
        </w:rPr>
        <w:t>名词解释</w:t>
      </w:r>
      <w:bookmarkEnd w:id="51"/>
      <w:bookmarkEnd w:id="52"/>
    </w:p>
    <w:p w14:paraId="035497A0">
      <w:pPr>
        <w:spacing w:line="600" w:lineRule="exact"/>
        <w:jc w:val="left"/>
        <w:rPr>
          <w:rFonts w:hint="default" w:ascii="Nimbus Roman No9 L" w:hAnsi="Nimbus Roman No9 L" w:cs="Nimbus Roman No9 L"/>
          <w:b/>
          <w:color w:val="auto"/>
          <w:sz w:val="44"/>
          <w:szCs w:val="44"/>
          <w:highlight w:val="none"/>
        </w:rPr>
      </w:pPr>
    </w:p>
    <w:p w14:paraId="0A459FAE">
      <w:pPr>
        <w:pStyle w:val="28"/>
        <w:spacing w:line="560" w:lineRule="exact"/>
        <w:ind w:firstLine="640" w:firstLineChars="200"/>
        <w:rPr>
          <w:rFonts w:hint="default" w:ascii="Nimbus Roman No9 L" w:hAnsi="Nimbus Roman No9 L" w:eastAsia="仿宋_GB2312" w:cs="Nimbus Roman No9 L"/>
          <w:color w:val="auto"/>
          <w:sz w:val="32"/>
          <w:szCs w:val="32"/>
        </w:rPr>
      </w:pPr>
      <w:bookmarkStart w:id="53" w:name="_Toc15377226"/>
      <w:r>
        <w:rPr>
          <w:rFonts w:hint="default" w:ascii="Nimbus Roman No9 L" w:hAnsi="Nimbus Roman No9 L" w:eastAsia="仿宋_GB2312" w:cs="Nimbus Roman No9 L"/>
          <w:color w:val="auto"/>
          <w:sz w:val="32"/>
          <w:szCs w:val="32"/>
        </w:rPr>
        <w:t>1.财政拨款收入：指单位从同级财政部门取得的财政预算资金。</w:t>
      </w:r>
    </w:p>
    <w:p w14:paraId="001BD2D9">
      <w:pPr>
        <w:pStyle w:val="28"/>
        <w:spacing w:line="560" w:lineRule="exact"/>
        <w:ind w:firstLine="640" w:firstLineChars="200"/>
        <w:rPr>
          <w:rFonts w:hint="default" w:ascii="Nimbus Roman No9 L" w:hAnsi="Nimbus Roman No9 L" w:eastAsia="仿宋_GB2312" w:cs="Nimbus Roman No9 L"/>
          <w:color w:val="auto"/>
          <w:sz w:val="32"/>
          <w:szCs w:val="32"/>
        </w:rPr>
      </w:pPr>
      <w:r>
        <w:rPr>
          <w:rFonts w:hint="default" w:ascii="Nimbus Roman No9 L" w:hAnsi="Nimbus Roman No9 L" w:eastAsia="仿宋_GB2312" w:cs="Nimbus Roman No9 L"/>
          <w:color w:val="auto"/>
          <w:sz w:val="32"/>
          <w:szCs w:val="32"/>
        </w:rPr>
        <w:t xml:space="preserve">2年初结转和结余：指以前年度尚未完成、结转到本年按有关规定继续使用的资金。 </w:t>
      </w:r>
    </w:p>
    <w:p w14:paraId="408CAAB0">
      <w:pPr>
        <w:pStyle w:val="28"/>
        <w:spacing w:line="560" w:lineRule="exact"/>
        <w:ind w:firstLine="640" w:firstLineChars="200"/>
        <w:rPr>
          <w:rFonts w:hint="default" w:ascii="Nimbus Roman No9 L" w:hAnsi="Nimbus Roman No9 L" w:eastAsia="仿宋_GB2312" w:cs="Nimbus Roman No9 L"/>
          <w:color w:val="auto"/>
          <w:sz w:val="32"/>
          <w:szCs w:val="32"/>
        </w:rPr>
      </w:pPr>
      <w:r>
        <w:rPr>
          <w:rFonts w:hint="default" w:ascii="Nimbus Roman No9 L" w:hAnsi="Nimbus Roman No9 L" w:eastAsia="仿宋_GB2312" w:cs="Nimbus Roman No9 L"/>
          <w:color w:val="auto"/>
          <w:sz w:val="32"/>
          <w:szCs w:val="32"/>
          <w:lang w:val="en-US" w:eastAsia="zh-CN"/>
        </w:rPr>
        <w:t>3</w:t>
      </w:r>
      <w:r>
        <w:rPr>
          <w:rFonts w:hint="default" w:ascii="Nimbus Roman No9 L" w:hAnsi="Nimbus Roman No9 L" w:eastAsia="仿宋_GB2312" w:cs="Nimbus Roman No9 L"/>
          <w:color w:val="auto"/>
          <w:sz w:val="32"/>
          <w:szCs w:val="32"/>
        </w:rPr>
        <w:t>.年末结转和结余：指单位按有关规定结转到下年或以后年度继续使用的资金。</w:t>
      </w:r>
    </w:p>
    <w:p w14:paraId="42F8957D">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4.一般公共服务（类）组织事务（款）其他组织事务支出（项）:指用于援藏、驻村干部补助支出。</w:t>
      </w:r>
    </w:p>
    <w:p w14:paraId="1F046727">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5.科学技术（类）科学技术管理事务（款）行政运行（项）:</w:t>
      </w:r>
      <w:r>
        <w:rPr>
          <w:rFonts w:hint="default" w:ascii="Nimbus Roman No9 L" w:hAnsi="Nimbus Roman No9 L" w:eastAsia="仿宋_GB2312" w:cs="Nimbus Roman No9 L"/>
          <w:color w:val="000000"/>
          <w:kern w:val="0"/>
          <w:sz w:val="32"/>
          <w:szCs w:val="32"/>
        </w:rPr>
        <w:t>指</w:t>
      </w:r>
      <w:r>
        <w:rPr>
          <w:rFonts w:hint="default" w:ascii="Nimbus Roman No9 L" w:hAnsi="Nimbus Roman No9 L" w:eastAsia="仿宋_GB2312" w:cs="Nimbus Roman No9 L"/>
          <w:color w:val="000000"/>
          <w:kern w:val="0"/>
          <w:sz w:val="32"/>
          <w:szCs w:val="32"/>
          <w:lang w:val="en-US" w:eastAsia="zh-CN"/>
        </w:rPr>
        <w:t>用于保障机关正常运行、开展日常工作</w:t>
      </w:r>
      <w:r>
        <w:rPr>
          <w:rFonts w:hint="default" w:ascii="Nimbus Roman No9 L" w:hAnsi="Nimbus Roman No9 L" w:eastAsia="仿宋_GB2312" w:cs="Nimbus Roman No9 L"/>
          <w:color w:val="000000"/>
          <w:kern w:val="0"/>
          <w:sz w:val="32"/>
          <w:szCs w:val="32"/>
          <w:lang w:eastAsia="zh-CN"/>
        </w:rPr>
        <w:t>等</w:t>
      </w:r>
      <w:r>
        <w:rPr>
          <w:rFonts w:hint="default" w:ascii="Nimbus Roman No9 L" w:hAnsi="Nimbus Roman No9 L" w:eastAsia="仿宋_GB2312" w:cs="Nimbus Roman No9 L"/>
          <w:color w:val="000000"/>
          <w:kern w:val="0"/>
          <w:sz w:val="32"/>
          <w:szCs w:val="32"/>
        </w:rPr>
        <w:t>基本支出</w:t>
      </w:r>
      <w:r>
        <w:rPr>
          <w:rFonts w:hint="default" w:ascii="Nimbus Roman No9 L" w:hAnsi="Nimbus Roman No9 L" w:eastAsia="仿宋_GB2312" w:cs="Nimbus Roman No9 L"/>
          <w:color w:val="auto"/>
          <w:kern w:val="0"/>
          <w:sz w:val="32"/>
          <w:szCs w:val="32"/>
          <w:lang w:val="en-US" w:eastAsia="zh-CN" w:bidi="ar-SA"/>
        </w:rPr>
        <w:t>。</w:t>
      </w:r>
    </w:p>
    <w:p w14:paraId="5911B7EA">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6.科学技术（类）科学技术管理事务（款）其他科学技术管理事务支出（项）：</w:t>
      </w:r>
      <w:r>
        <w:rPr>
          <w:rFonts w:hint="default" w:ascii="Nimbus Roman No9 L" w:hAnsi="Nimbus Roman No9 L" w:eastAsia="仿宋_GB2312" w:cs="Nimbus Roman No9 L"/>
          <w:color w:val="000000"/>
          <w:kern w:val="0"/>
          <w:sz w:val="32"/>
          <w:szCs w:val="32"/>
        </w:rPr>
        <w:t>指反映</w:t>
      </w:r>
      <w:r>
        <w:rPr>
          <w:rFonts w:hint="default" w:ascii="Nimbus Roman No9 L" w:hAnsi="Nimbus Roman No9 L" w:eastAsia="仿宋_GB2312" w:cs="Nimbus Roman No9 L"/>
          <w:color w:val="000000"/>
          <w:kern w:val="0"/>
          <w:sz w:val="32"/>
          <w:szCs w:val="32"/>
          <w:lang w:eastAsia="zh-CN"/>
        </w:rPr>
        <w:t>向上争取项目资金等</w:t>
      </w:r>
      <w:r>
        <w:rPr>
          <w:rFonts w:hint="default" w:ascii="Nimbus Roman No9 L" w:hAnsi="Nimbus Roman No9 L" w:eastAsia="仿宋_GB2312" w:cs="Nimbus Roman No9 L"/>
          <w:color w:val="000000"/>
          <w:kern w:val="0"/>
          <w:sz w:val="32"/>
          <w:szCs w:val="32"/>
        </w:rPr>
        <w:t>科学技术管理事务方面的支出</w:t>
      </w:r>
      <w:r>
        <w:rPr>
          <w:rFonts w:hint="default" w:ascii="Nimbus Roman No9 L" w:hAnsi="Nimbus Roman No9 L" w:eastAsia="仿宋_GB2312" w:cs="Nimbus Roman No9 L"/>
          <w:color w:val="auto"/>
          <w:kern w:val="0"/>
          <w:sz w:val="32"/>
          <w:szCs w:val="32"/>
          <w:lang w:val="en-US" w:eastAsia="zh-CN" w:bidi="ar-SA"/>
        </w:rPr>
        <w:t>。</w:t>
      </w:r>
    </w:p>
    <w:p w14:paraId="7E6D8CAD">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Nimbus Roman No9 L" w:hAnsi="Nimbus Roman No9 L" w:cs="Nimbus Roman No9 L"/>
          <w:color w:val="auto"/>
          <w:kern w:val="0"/>
          <w:sz w:val="32"/>
          <w:szCs w:val="32"/>
          <w:lang w:val="en-US" w:eastAsia="zh-CN" w:bidi="ar-SA"/>
        </w:rPr>
      </w:pPr>
      <w:r>
        <w:rPr>
          <w:rFonts w:hint="default" w:ascii="Nimbus Roman No9 L" w:hAnsi="Nimbus Roman No9 L" w:cs="Nimbus Roman No9 L"/>
          <w:color w:val="auto"/>
          <w:kern w:val="0"/>
          <w:sz w:val="32"/>
          <w:szCs w:val="32"/>
          <w:lang w:val="en-US" w:eastAsia="zh-CN" w:bidi="ar-SA"/>
        </w:rPr>
        <w:t>7</w:t>
      </w:r>
      <w:r>
        <w:rPr>
          <w:rFonts w:hint="default" w:ascii="Nimbus Roman No9 L" w:hAnsi="Nimbus Roman No9 L" w:eastAsia="仿宋_GB2312" w:cs="Nimbus Roman No9 L"/>
          <w:color w:val="auto"/>
          <w:kern w:val="0"/>
          <w:sz w:val="32"/>
          <w:szCs w:val="32"/>
          <w:lang w:val="en-US" w:eastAsia="zh-CN" w:bidi="ar-SA"/>
        </w:rPr>
        <w:t>.科学技术（类）其他科学技术支出（款）其他科学技术支出（项）</w:t>
      </w:r>
      <w:r>
        <w:rPr>
          <w:rFonts w:hint="default" w:ascii="Nimbus Roman No9 L" w:hAnsi="Nimbus Roman No9 L" w:cs="Nimbus Roman No9 L"/>
          <w:color w:val="auto"/>
          <w:kern w:val="0"/>
          <w:sz w:val="32"/>
          <w:szCs w:val="32"/>
          <w:lang w:val="en-US" w:eastAsia="zh-CN" w:bidi="ar-SA"/>
        </w:rPr>
        <w:t>：指用于拨付科研经费、召开科技与人才大会等科技方面的支出。</w:t>
      </w:r>
    </w:p>
    <w:p w14:paraId="33FF128F">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 xml:space="preserve">8.社会保障和就业（类）行政事业单位养老支出（款）行政单位离退休（项）: </w:t>
      </w:r>
      <w:r>
        <w:rPr>
          <w:rFonts w:hint="default" w:ascii="Nimbus Roman No9 L" w:hAnsi="Nimbus Roman No9 L" w:eastAsia="仿宋_GB2312" w:cs="Nimbus Roman No9 L"/>
          <w:color w:val="000000"/>
          <w:kern w:val="0"/>
          <w:sz w:val="32"/>
          <w:szCs w:val="32"/>
        </w:rPr>
        <w:t>指</w:t>
      </w:r>
      <w:r>
        <w:rPr>
          <w:rFonts w:hint="default" w:ascii="Nimbus Roman No9 L" w:hAnsi="Nimbus Roman No9 L" w:eastAsia="仿宋_GB2312" w:cs="Nimbus Roman No9 L"/>
          <w:color w:val="000000"/>
          <w:kern w:val="0"/>
          <w:sz w:val="32"/>
          <w:szCs w:val="32"/>
          <w:lang w:val="en-US" w:eastAsia="zh-CN"/>
        </w:rPr>
        <w:t>财政统一供养的行政单位离退休人员的支出</w:t>
      </w:r>
      <w:r>
        <w:rPr>
          <w:rFonts w:hint="default" w:ascii="Nimbus Roman No9 L" w:hAnsi="Nimbus Roman No9 L" w:eastAsia="仿宋_GB2312" w:cs="Nimbus Roman No9 L"/>
          <w:color w:val="auto"/>
          <w:kern w:val="0"/>
          <w:sz w:val="32"/>
          <w:szCs w:val="32"/>
          <w:lang w:val="en-US" w:eastAsia="zh-CN" w:bidi="ar-SA"/>
        </w:rPr>
        <w:t>。</w:t>
      </w:r>
    </w:p>
    <w:p w14:paraId="006351F9">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9.社会保障和就业（类）行政事业单位养老支出（款）机关事业单位基本养老保险缴费支出（项）:指机关事业单位实施养老保险制度由单位缴纳的基本养老保险费支出。</w:t>
      </w:r>
    </w:p>
    <w:p w14:paraId="0282C517">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cs="Nimbus Roman No9 L"/>
          <w:color w:val="auto"/>
          <w:kern w:val="0"/>
          <w:sz w:val="32"/>
          <w:szCs w:val="32"/>
          <w:lang w:val="en-US" w:eastAsia="zh-CN" w:bidi="ar-SA"/>
        </w:rPr>
        <w:t>10.</w:t>
      </w:r>
      <w:r>
        <w:rPr>
          <w:rFonts w:hint="default" w:ascii="Nimbus Roman No9 L" w:hAnsi="Nimbus Roman No9 L" w:eastAsia="仿宋_GB2312" w:cs="Nimbus Roman No9 L"/>
          <w:color w:val="auto"/>
          <w:kern w:val="0"/>
          <w:sz w:val="32"/>
          <w:szCs w:val="32"/>
          <w:lang w:val="en-US" w:eastAsia="zh-CN" w:bidi="ar-SA"/>
        </w:rPr>
        <w:t>社会保障和就业（类）行政事业单位养老支出（款）机关事业单位职业年金缴费支出（项）</w:t>
      </w:r>
      <w:r>
        <w:rPr>
          <w:rFonts w:hint="default" w:ascii="Nimbus Roman No9 L" w:hAnsi="Nimbus Roman No9 L" w:cs="Nimbus Roman No9 L"/>
          <w:color w:val="auto"/>
          <w:kern w:val="0"/>
          <w:sz w:val="32"/>
          <w:szCs w:val="32"/>
          <w:lang w:val="en-US" w:eastAsia="zh-CN" w:bidi="ar-SA"/>
        </w:rPr>
        <w:t>：指机关事业单位实施养老保险制度由单位实际缴纳的职业年金支出。</w:t>
      </w:r>
    </w:p>
    <w:p w14:paraId="0A3634B5">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11.社会保障和就业（类）社会福利（款）儿童福利（项目）：指对儿童提供福利服务方面的支出。</w:t>
      </w:r>
    </w:p>
    <w:p w14:paraId="70A792F1">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12.卫生健康（类）行政事业单位医疗（款）行政事业单位医疗（项）：指财政部门安排的行政单位基本医疗保险缴费经费</w:t>
      </w:r>
      <w:r>
        <w:rPr>
          <w:rFonts w:hint="eastAsia" w:ascii="Nimbus Roman No9 L" w:hAnsi="Nimbus Roman No9 L" w:eastAsia="仿宋_GB2312" w:cs="Nimbus Roman No9 L"/>
          <w:color w:val="auto"/>
          <w:kern w:val="0"/>
          <w:sz w:val="32"/>
          <w:szCs w:val="32"/>
          <w:lang w:val="en-US" w:eastAsia="zh-CN" w:bidi="ar-SA"/>
        </w:rPr>
        <w:t>。</w:t>
      </w:r>
    </w:p>
    <w:p w14:paraId="3EEE9191">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13.卫生健康（类）行政事业单位医疗（款）公务员医疗补助（项）：指用于行政事业单位公务员医疗补助方面的支出。</w:t>
      </w:r>
    </w:p>
    <w:p w14:paraId="7D965C2B">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14.卫生健康（类）其他卫生健康支出（款）其他行政事业单位医疗（项）：指用于行政事业单位在职职工补充医保支出。</w:t>
      </w:r>
    </w:p>
    <w:p w14:paraId="0D40C241">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15.卫生健康（类）其他卫生健康支出（款）其他卫生健康支出（项）:指退休人员异地体检支出。</w:t>
      </w:r>
    </w:p>
    <w:p w14:paraId="3C06705F">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w:t>
      </w:r>
      <w:r>
        <w:rPr>
          <w:rFonts w:hint="default" w:ascii="Nimbus Roman No9 L" w:hAnsi="Nimbus Roman No9 L" w:cs="Nimbus Roman No9 L"/>
          <w:color w:val="auto"/>
          <w:kern w:val="0"/>
          <w:sz w:val="32"/>
          <w:szCs w:val="32"/>
          <w:lang w:val="en-US" w:eastAsia="zh-CN" w:bidi="ar-SA"/>
        </w:rPr>
        <w:t>6</w:t>
      </w:r>
      <w:r>
        <w:rPr>
          <w:rFonts w:hint="default" w:ascii="Nimbus Roman No9 L" w:hAnsi="Nimbus Roman No9 L" w:eastAsia="仿宋_GB2312" w:cs="Nimbus Roman No9 L"/>
          <w:color w:val="auto"/>
          <w:kern w:val="0"/>
          <w:sz w:val="32"/>
          <w:szCs w:val="32"/>
          <w:lang w:val="en-US" w:eastAsia="zh-CN" w:bidi="ar-SA"/>
        </w:rPr>
        <w:t>.资源勘探工业信息等支出（类）制造业（款）其他制造业支出（项）</w:t>
      </w:r>
      <w:r>
        <w:rPr>
          <w:rFonts w:hint="default" w:ascii="Nimbus Roman No9 L" w:hAnsi="Nimbus Roman No9 L" w:cs="Nimbus Roman No9 L"/>
          <w:color w:val="auto"/>
          <w:kern w:val="0"/>
          <w:sz w:val="32"/>
          <w:szCs w:val="32"/>
          <w:lang w:val="en-US" w:eastAsia="zh-CN" w:bidi="ar-SA"/>
        </w:rPr>
        <w:t>：指用于天府金江实验室建造等其他制造业方面的支出。</w:t>
      </w:r>
    </w:p>
    <w:p w14:paraId="50A7E705">
      <w:pPr>
        <w:spacing w:line="600" w:lineRule="exact"/>
        <w:ind w:firstLine="640" w:firstLineChars="200"/>
        <w:rPr>
          <w:rFonts w:hint="default" w:ascii="Nimbus Roman No9 L" w:hAnsi="Nimbus Roman No9 L" w:eastAsia="仿宋_GB2312" w:cs="Nimbus Roman No9 L"/>
          <w:color w:val="auto"/>
          <w:kern w:val="0"/>
          <w:sz w:val="32"/>
          <w:szCs w:val="32"/>
          <w:lang w:val="en-US" w:eastAsia="zh-CN" w:bidi="ar-SA"/>
        </w:rPr>
      </w:pPr>
      <w:r>
        <w:rPr>
          <w:rFonts w:hint="default" w:ascii="Nimbus Roman No9 L" w:hAnsi="Nimbus Roman No9 L" w:eastAsia="仿宋_GB2312" w:cs="Nimbus Roman No9 L"/>
          <w:color w:val="auto"/>
          <w:kern w:val="0"/>
          <w:sz w:val="32"/>
          <w:szCs w:val="32"/>
          <w:lang w:val="en-US" w:eastAsia="zh-CN" w:bidi="ar-SA"/>
        </w:rPr>
        <w:t>17.住房保障支出（类）住房改革支出（款）住房公积金（项）:</w:t>
      </w:r>
      <w:r>
        <w:rPr>
          <w:rFonts w:hint="default" w:ascii="Nimbus Roman No9 L" w:hAnsi="Nimbus Roman No9 L" w:eastAsia="仿宋_GB2312" w:cs="Nimbus Roman No9 L"/>
          <w:sz w:val="32"/>
          <w:szCs w:val="32"/>
        </w:rPr>
        <w:t>指反映行政事业单位按人力资源和社会保障部、财政部门规定的基本工资和津贴补贴以及规定比例为职工缴纳的住房公积金。</w:t>
      </w:r>
    </w:p>
    <w:p w14:paraId="6DC2A673">
      <w:pPr>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lang w:val="en-US" w:eastAsia="zh-CN"/>
        </w:rPr>
        <w:t>18</w:t>
      </w:r>
      <w:r>
        <w:rPr>
          <w:rFonts w:hint="default" w:ascii="Nimbus Roman No9 L" w:hAnsi="Nimbus Roman No9 L" w:eastAsia="仿宋_GB2312" w:cs="Nimbus Roman No9 L"/>
          <w:sz w:val="32"/>
          <w:szCs w:val="32"/>
        </w:rPr>
        <w:t>.基本支出：指为保障机构正常运转、完成日常工作任务而发生的人员支出和公用支出。</w:t>
      </w:r>
    </w:p>
    <w:p w14:paraId="7F35F4CF">
      <w:pPr>
        <w:ind w:firstLine="640" w:firstLineChars="200"/>
        <w:rPr>
          <w:rFonts w:hint="default" w:ascii="Nimbus Roman No9 L" w:hAnsi="Nimbus Roman No9 L" w:eastAsia="仿宋_GB2312" w:cs="Nimbus Roman No9 L"/>
          <w:sz w:val="32"/>
          <w:szCs w:val="32"/>
        </w:rPr>
      </w:pPr>
      <w:r>
        <w:rPr>
          <w:rFonts w:hint="default" w:ascii="Nimbus Roman No9 L" w:hAnsi="Nimbus Roman No9 L" w:eastAsia="仿宋_GB2312" w:cs="Nimbus Roman No9 L"/>
          <w:sz w:val="32"/>
          <w:szCs w:val="32"/>
          <w:lang w:val="en-US" w:eastAsia="zh-CN"/>
        </w:rPr>
        <w:t>19</w:t>
      </w:r>
      <w:r>
        <w:rPr>
          <w:rFonts w:hint="default" w:ascii="Nimbus Roman No9 L" w:hAnsi="Nimbus Roman No9 L" w:eastAsia="仿宋_GB2312" w:cs="Nimbus Roman No9 L"/>
          <w:sz w:val="32"/>
          <w:szCs w:val="32"/>
        </w:rPr>
        <w:t xml:space="preserve">.项目支出：指在基本支出之外为完成特定行政任务和事业发展目标所发生的支出。 </w:t>
      </w:r>
    </w:p>
    <w:p w14:paraId="691A3495">
      <w:pPr>
        <w:pStyle w:val="28"/>
        <w:spacing w:line="560" w:lineRule="exact"/>
        <w:ind w:firstLine="640" w:firstLineChars="200"/>
        <w:rPr>
          <w:rFonts w:hint="default" w:ascii="Nimbus Roman No9 L" w:hAnsi="Nimbus Roman No9 L" w:eastAsia="仿宋_GB2312" w:cs="Nimbus Roman No9 L"/>
          <w:color w:val="auto"/>
          <w:sz w:val="32"/>
          <w:szCs w:val="32"/>
        </w:rPr>
      </w:pPr>
      <w:r>
        <w:rPr>
          <w:rFonts w:hint="default" w:ascii="Nimbus Roman No9 L" w:hAnsi="Nimbus Roman No9 L" w:eastAsia="仿宋_GB2312" w:cs="Nimbus Roman No9 L"/>
          <w:sz w:val="32"/>
          <w:szCs w:val="32"/>
          <w:lang w:val="en-US" w:eastAsia="zh-CN"/>
        </w:rPr>
        <w:t>20</w:t>
      </w:r>
      <w:r>
        <w:rPr>
          <w:rFonts w:hint="default" w:ascii="Nimbus Roman No9 L" w:hAnsi="Nimbus Roman No9 L" w:eastAsia="仿宋_GB2312" w:cs="Nimbus Roman No9 L"/>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BF1E131">
      <w:pPr>
        <w:pStyle w:val="28"/>
        <w:spacing w:line="560" w:lineRule="exact"/>
        <w:ind w:firstLine="640" w:firstLineChars="200"/>
        <w:rPr>
          <w:rFonts w:hint="default" w:ascii="Nimbus Roman No9 L" w:hAnsi="Nimbus Roman No9 L" w:eastAsia="仿宋_GB2312" w:cs="Nimbus Roman No9 L"/>
          <w:color w:val="auto"/>
          <w:sz w:val="32"/>
          <w:szCs w:val="32"/>
        </w:rPr>
      </w:pPr>
      <w:r>
        <w:rPr>
          <w:rFonts w:hint="default" w:ascii="Nimbus Roman No9 L" w:hAnsi="Nimbus Roman No9 L" w:eastAsia="仿宋_GB2312" w:cs="Nimbus Roman No9 L"/>
          <w:color w:val="auto"/>
          <w:sz w:val="32"/>
          <w:szCs w:val="32"/>
          <w:lang w:val="en-US" w:eastAsia="zh-CN"/>
        </w:rPr>
        <w:t>21</w:t>
      </w:r>
      <w:r>
        <w:rPr>
          <w:rFonts w:hint="default" w:ascii="Nimbus Roman No9 L" w:hAnsi="Nimbus Roman No9 L" w:eastAsia="仿宋_GB2312" w:cs="Nimbus Roman No9 L"/>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0C4856F">
      <w:pPr>
        <w:spacing w:line="600" w:lineRule="exact"/>
        <w:jc w:val="center"/>
        <w:rPr>
          <w:rStyle w:val="30"/>
          <w:rFonts w:hint="default" w:ascii="Nimbus Roman No9 L" w:hAnsi="Nimbus Roman No9 L" w:eastAsia="黑体" w:cs="Nimbus Roman No9 L"/>
          <w:b w:val="0"/>
          <w:color w:val="auto"/>
          <w:highlight w:val="none"/>
          <w:lang w:eastAsia="zh-CN"/>
        </w:rPr>
      </w:pPr>
      <w:r>
        <w:rPr>
          <w:rFonts w:hint="default" w:ascii="Nimbus Roman No9 L" w:hAnsi="Nimbus Roman No9 L" w:eastAsia="仿宋_GB2312" w:cs="Nimbus Roman No9 L"/>
          <w:color w:val="auto"/>
          <w:kern w:val="2"/>
          <w:sz w:val="32"/>
          <w:szCs w:val="32"/>
          <w:highlight w:val="none"/>
          <w:lang w:val="en-US" w:eastAsia="zh-CN" w:bidi="ar-SA"/>
        </w:rPr>
        <w:br w:type="page"/>
      </w:r>
      <w:bookmarkStart w:id="54" w:name="_Toc15396614"/>
      <w:r>
        <w:rPr>
          <w:rFonts w:hint="default" w:ascii="Nimbus Roman No9 L" w:hAnsi="Nimbus Roman No9 L" w:eastAsia="黑体" w:cs="Nimbus Roman No9 L"/>
          <w:color w:val="auto"/>
          <w:sz w:val="44"/>
          <w:szCs w:val="44"/>
          <w:highlight w:val="none"/>
        </w:rPr>
        <w:t>第四部分</w:t>
      </w:r>
      <w:r>
        <w:rPr>
          <w:rFonts w:hint="default" w:ascii="Nimbus Roman No9 L" w:hAnsi="Nimbus Roman No9 L" w:eastAsia="黑体" w:cs="Nimbus Roman No9 L"/>
          <w:color w:val="auto"/>
          <w:sz w:val="44"/>
          <w:szCs w:val="44"/>
          <w:highlight w:val="none"/>
          <w:lang w:val="en-US" w:eastAsia="zh-CN"/>
        </w:rPr>
        <w:t xml:space="preserve"> </w:t>
      </w:r>
      <w:r>
        <w:rPr>
          <w:rFonts w:hint="default" w:ascii="Nimbus Roman No9 L" w:hAnsi="Nimbus Roman No9 L" w:eastAsia="黑体" w:cs="Nimbus Roman No9 L"/>
          <w:color w:val="auto"/>
          <w:sz w:val="44"/>
          <w:szCs w:val="44"/>
          <w:highlight w:val="none"/>
        </w:rPr>
        <w:t xml:space="preserve"> 附件</w:t>
      </w:r>
      <w:bookmarkEnd w:id="54"/>
    </w:p>
    <w:p w14:paraId="090088D8">
      <w:pPr>
        <w:keepNext w:val="0"/>
        <w:keepLines w:val="0"/>
        <w:pageBreakBefore w:val="0"/>
        <w:kinsoku/>
        <w:wordWrap/>
        <w:overflowPunct/>
        <w:topLinePunct w:val="0"/>
        <w:autoSpaceDE/>
        <w:autoSpaceDN/>
        <w:bidi w:val="0"/>
        <w:spacing w:line="572" w:lineRule="exact"/>
        <w:jc w:val="left"/>
        <w:textAlignment w:val="auto"/>
        <w:outlineLvl w:val="0"/>
        <w:rPr>
          <w:rFonts w:hint="default" w:ascii="Nimbus Roman No9 L" w:hAnsi="Nimbus Roman No9 L" w:eastAsia="黑体" w:cs="Nimbus Roman No9 L"/>
          <w:color w:val="FF0000"/>
          <w:sz w:val="32"/>
          <w:szCs w:val="32"/>
          <w:highlight w:val="none"/>
        </w:rPr>
      </w:pPr>
    </w:p>
    <w:p w14:paraId="7D4E93EB">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Nimbus Roman No9 L" w:hAnsi="Nimbus Roman No9 L" w:eastAsia="仿宋_GB2312" w:cs="Nimbus Roman No9 L"/>
          <w:kern w:val="2"/>
          <w:sz w:val="32"/>
          <w:szCs w:val="32"/>
          <w:u w:val="none"/>
          <w:lang w:val="zh-CN" w:eastAsia="zh-CN" w:bidi="ar"/>
        </w:rPr>
      </w:pPr>
    </w:p>
    <w:p w14:paraId="1F4533E8">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Nimbus Roman No9 L" w:hAnsi="Nimbus Roman No9 L" w:eastAsia="仿宋_GB2312" w:cs="Nimbus Roman No9 L"/>
          <w:kern w:val="2"/>
          <w:sz w:val="32"/>
          <w:szCs w:val="32"/>
          <w:u w:val="none"/>
          <w:lang w:val="zh-CN" w:eastAsia="zh-CN" w:bidi="ar"/>
        </w:rPr>
      </w:pPr>
      <w:r>
        <w:rPr>
          <w:rFonts w:hint="default" w:ascii="Nimbus Roman No9 L" w:hAnsi="Nimbus Roman No9 L" w:eastAsia="仿宋_GB2312" w:cs="Nimbus Roman No9 L"/>
          <w:kern w:val="2"/>
          <w:sz w:val="32"/>
          <w:szCs w:val="32"/>
          <w:u w:val="none"/>
          <w:lang w:val="zh-CN" w:eastAsia="zh-CN" w:bidi="ar"/>
        </w:rPr>
        <w:t>附表：</w:t>
      </w:r>
      <w:r>
        <w:rPr>
          <w:rFonts w:hint="default" w:ascii="Nimbus Roman No9 L" w:hAnsi="Nimbus Roman No9 L" w:eastAsia="仿宋_GB2312" w:cs="Nimbus Roman No9 L"/>
          <w:kern w:val="2"/>
          <w:sz w:val="32"/>
          <w:szCs w:val="32"/>
          <w:u w:val="none"/>
          <w:lang w:val="en-US" w:eastAsia="zh-CN" w:bidi="ar"/>
        </w:rPr>
        <w:t>部门预算项目支出绩效自评表（2025年度）</w:t>
      </w:r>
    </w:p>
    <w:p w14:paraId="20DF39F4">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default" w:ascii="Nimbus Roman No9 L" w:hAnsi="Nimbus Roman No9 L" w:cs="Nimbus Roman No9 L"/>
          <w:sz w:val="32"/>
          <w:szCs w:val="32"/>
          <w:highlight w:val="yellow"/>
          <w:lang w:val="zh-CN" w:eastAsia="zh-CN"/>
        </w:rPr>
      </w:pPr>
    </w:p>
    <w:p w14:paraId="5A3C922C">
      <w:pPr>
        <w:pStyle w:val="2"/>
        <w:rPr>
          <w:rFonts w:hint="default" w:ascii="Nimbus Roman No9 L" w:hAnsi="Nimbus Roman No9 L" w:cs="Nimbus Roman No9 L"/>
          <w:color w:val="FF0000"/>
          <w:kern w:val="0"/>
          <w:sz w:val="32"/>
          <w:szCs w:val="32"/>
          <w:highlight w:val="yellow"/>
          <w:shd w:val="clear" w:color="auto" w:fill="FFFFFF"/>
          <w:lang w:val="zh-CN"/>
        </w:rPr>
      </w:pPr>
    </w:p>
    <w:p w14:paraId="7D0E4BBD">
      <w:pPr>
        <w:rPr>
          <w:rFonts w:hint="default" w:ascii="Nimbus Roman No9 L" w:hAnsi="Nimbus Roman No9 L" w:eastAsia="黑体" w:cs="Nimbus Roman No9 L"/>
          <w:color w:val="auto"/>
          <w:kern w:val="0"/>
          <w:sz w:val="32"/>
          <w:szCs w:val="32"/>
          <w:highlight w:val="none"/>
          <w:shd w:val="clear" w:color="auto" w:fill="FFFFFF"/>
          <w:lang w:val="zh-CN"/>
        </w:rPr>
      </w:pPr>
      <w:r>
        <w:rPr>
          <w:rFonts w:hint="default" w:ascii="Nimbus Roman No9 L" w:hAnsi="Nimbus Roman No9 L" w:eastAsia="黑体" w:cs="Nimbus Roman No9 L"/>
          <w:color w:val="auto"/>
          <w:kern w:val="0"/>
          <w:sz w:val="32"/>
          <w:szCs w:val="32"/>
          <w:highlight w:val="none"/>
          <w:shd w:val="clear" w:color="auto" w:fill="FFFFFF"/>
          <w:lang w:val="zh-CN"/>
        </w:rPr>
        <w:br w:type="page"/>
      </w:r>
    </w:p>
    <w:p w14:paraId="2AF3F1C7">
      <w:pPr>
        <w:widowControl/>
        <w:jc w:val="center"/>
        <w:rPr>
          <w:rFonts w:hint="default" w:ascii="Nimbus Roman No9 L" w:hAnsi="Nimbus Roman No9 L" w:eastAsia="仿宋" w:cs="Nimbus Roman No9 L"/>
          <w:b w:val="0"/>
          <w:color w:val="auto"/>
          <w:highlight w:val="none"/>
        </w:rPr>
      </w:pPr>
      <w:bookmarkStart w:id="55" w:name="_Toc15396618"/>
      <w:r>
        <w:rPr>
          <w:rFonts w:hint="default" w:ascii="Nimbus Roman No9 L" w:hAnsi="Nimbus Roman No9 L" w:eastAsia="黑体" w:cs="Nimbus Roman No9 L"/>
          <w:color w:val="auto"/>
          <w:sz w:val="44"/>
          <w:szCs w:val="44"/>
          <w:highlight w:val="none"/>
        </w:rPr>
        <w:t>第</w:t>
      </w:r>
      <w:r>
        <w:rPr>
          <w:rStyle w:val="30"/>
          <w:rFonts w:hint="default" w:ascii="Nimbus Roman No9 L" w:hAnsi="Nimbus Roman No9 L" w:eastAsia="黑体" w:cs="Nimbus Roman No9 L"/>
          <w:b w:val="0"/>
          <w:color w:val="auto"/>
          <w:highlight w:val="none"/>
        </w:rPr>
        <w:t>五部分 附表</w:t>
      </w:r>
      <w:bookmarkEnd w:id="53"/>
      <w:bookmarkEnd w:id="55"/>
      <w:bookmarkStart w:id="56" w:name="_Toc15396619"/>
    </w:p>
    <w:p w14:paraId="25C920D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p>
    <w:p w14:paraId="3C9E043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rPr>
        <w:t>一、收入支出决算总表</w:t>
      </w:r>
      <w:bookmarkEnd w:id="56"/>
    </w:p>
    <w:p w14:paraId="0610A25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57" w:name="_Toc15396620"/>
      <w:r>
        <w:rPr>
          <w:rFonts w:hint="default" w:ascii="Nimbus Roman No9 L" w:hAnsi="Nimbus Roman No9 L" w:eastAsia="仿宋_GB2312" w:cs="Nimbus Roman No9 L"/>
          <w:color w:val="auto"/>
          <w:sz w:val="32"/>
          <w:szCs w:val="32"/>
          <w:highlight w:val="none"/>
        </w:rPr>
        <w:t>二、收入决算表</w:t>
      </w:r>
      <w:bookmarkEnd w:id="57"/>
    </w:p>
    <w:p w14:paraId="5A592E8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58" w:name="_Toc15396621"/>
      <w:r>
        <w:rPr>
          <w:rFonts w:hint="default" w:ascii="Nimbus Roman No9 L" w:hAnsi="Nimbus Roman No9 L" w:eastAsia="仿宋_GB2312" w:cs="Nimbus Roman No9 L"/>
          <w:color w:val="auto"/>
          <w:sz w:val="32"/>
          <w:szCs w:val="32"/>
          <w:highlight w:val="none"/>
        </w:rPr>
        <w:t>三、支出决算表</w:t>
      </w:r>
      <w:bookmarkEnd w:id="58"/>
    </w:p>
    <w:p w14:paraId="3AD6879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59" w:name="_Toc15396622"/>
      <w:r>
        <w:rPr>
          <w:rFonts w:hint="default" w:ascii="Nimbus Roman No9 L" w:hAnsi="Nimbus Roman No9 L" w:eastAsia="仿宋_GB2312" w:cs="Nimbus Roman No9 L"/>
          <w:color w:val="auto"/>
          <w:sz w:val="32"/>
          <w:szCs w:val="32"/>
          <w:highlight w:val="none"/>
        </w:rPr>
        <w:t>四、财政拨款收入支出决算总表</w:t>
      </w:r>
      <w:bookmarkEnd w:id="59"/>
    </w:p>
    <w:p w14:paraId="79094B8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60" w:name="_Toc15396623"/>
      <w:r>
        <w:rPr>
          <w:rFonts w:hint="default" w:ascii="Nimbus Roman No9 L" w:hAnsi="Nimbus Roman No9 L" w:eastAsia="仿宋_GB2312" w:cs="Nimbus Roman No9 L"/>
          <w:color w:val="auto"/>
          <w:sz w:val="32"/>
          <w:szCs w:val="32"/>
          <w:highlight w:val="none"/>
        </w:rPr>
        <w:t>五、财政拨款支出决算明细表</w:t>
      </w:r>
      <w:bookmarkEnd w:id="60"/>
      <w:bookmarkStart w:id="61" w:name="_Toc15396624"/>
    </w:p>
    <w:p w14:paraId="6992FA5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r>
        <w:rPr>
          <w:rFonts w:hint="default" w:ascii="Nimbus Roman No9 L" w:hAnsi="Nimbus Roman No9 L" w:eastAsia="仿宋_GB2312" w:cs="Nimbus Roman No9 L"/>
          <w:color w:val="auto"/>
          <w:sz w:val="32"/>
          <w:szCs w:val="32"/>
          <w:highlight w:val="none"/>
        </w:rPr>
        <w:t>六、一般公共预算财政拨款支出决算表</w:t>
      </w:r>
      <w:bookmarkEnd w:id="61"/>
    </w:p>
    <w:p w14:paraId="1AB29B2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62" w:name="_Toc15396625"/>
      <w:r>
        <w:rPr>
          <w:rFonts w:hint="default" w:ascii="Nimbus Roman No9 L" w:hAnsi="Nimbus Roman No9 L" w:eastAsia="仿宋_GB2312" w:cs="Nimbus Roman No9 L"/>
          <w:color w:val="auto"/>
          <w:sz w:val="32"/>
          <w:szCs w:val="32"/>
          <w:highlight w:val="none"/>
        </w:rPr>
        <w:t>七、一般公共预算财政拨款支出决算明细表</w:t>
      </w:r>
      <w:bookmarkEnd w:id="62"/>
    </w:p>
    <w:p w14:paraId="2F7C2ED7">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63" w:name="_Toc15396626"/>
      <w:r>
        <w:rPr>
          <w:rFonts w:hint="default" w:ascii="Nimbus Roman No9 L" w:hAnsi="Nimbus Roman No9 L" w:eastAsia="仿宋_GB2312" w:cs="Nimbus Roman No9 L"/>
          <w:color w:val="auto"/>
          <w:sz w:val="32"/>
          <w:szCs w:val="32"/>
          <w:highlight w:val="none"/>
        </w:rPr>
        <w:t>八、一般公共预算财政拨款基本支出决算表</w:t>
      </w:r>
      <w:bookmarkEnd w:id="63"/>
    </w:p>
    <w:p w14:paraId="3DAB7CF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64" w:name="_Toc15396627"/>
      <w:r>
        <w:rPr>
          <w:rFonts w:hint="default" w:ascii="Nimbus Roman No9 L" w:hAnsi="Nimbus Roman No9 L" w:eastAsia="仿宋_GB2312" w:cs="Nimbus Roman No9 L"/>
          <w:color w:val="auto"/>
          <w:sz w:val="32"/>
          <w:szCs w:val="32"/>
          <w:highlight w:val="none"/>
        </w:rPr>
        <w:t>九、一般公共预算财政拨款项目支出决算表</w:t>
      </w:r>
      <w:bookmarkEnd w:id="64"/>
    </w:p>
    <w:p w14:paraId="2C7F4B3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65" w:name="_Toc15396628"/>
      <w:r>
        <w:rPr>
          <w:rFonts w:hint="default" w:ascii="Nimbus Roman No9 L" w:hAnsi="Nimbus Roman No9 L" w:eastAsia="仿宋_GB2312" w:cs="Nimbus Roman No9 L"/>
          <w:color w:val="auto"/>
          <w:sz w:val="32"/>
          <w:szCs w:val="32"/>
          <w:highlight w:val="none"/>
        </w:rPr>
        <w:t>十、</w:t>
      </w:r>
      <w:bookmarkEnd w:id="65"/>
      <w:r>
        <w:rPr>
          <w:rFonts w:hint="default" w:ascii="Nimbus Roman No9 L" w:hAnsi="Nimbus Roman No9 L" w:eastAsia="仿宋_GB2312" w:cs="Nimbus Roman No9 L"/>
          <w:color w:val="auto"/>
          <w:sz w:val="32"/>
          <w:szCs w:val="32"/>
          <w:highlight w:val="none"/>
        </w:rPr>
        <w:t>政府性基金预算财政拨款收入支出决算表</w:t>
      </w:r>
    </w:p>
    <w:p w14:paraId="77EFFDE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66" w:name="_Toc15396629"/>
      <w:r>
        <w:rPr>
          <w:rFonts w:hint="default" w:ascii="Nimbus Roman No9 L" w:hAnsi="Nimbus Roman No9 L" w:eastAsia="仿宋_GB2312" w:cs="Nimbus Roman No9 L"/>
          <w:color w:val="auto"/>
          <w:sz w:val="32"/>
          <w:szCs w:val="32"/>
          <w:highlight w:val="none"/>
        </w:rPr>
        <w:t>十一、</w:t>
      </w:r>
      <w:bookmarkEnd w:id="66"/>
      <w:r>
        <w:rPr>
          <w:rFonts w:hint="default" w:ascii="Nimbus Roman No9 L" w:hAnsi="Nimbus Roman No9 L" w:eastAsia="仿宋_GB2312" w:cs="Nimbus Roman No9 L"/>
          <w:color w:val="auto"/>
          <w:sz w:val="32"/>
          <w:szCs w:val="32"/>
          <w:highlight w:val="none"/>
        </w:rPr>
        <w:t>国有资本经营预算</w:t>
      </w:r>
      <w:r>
        <w:rPr>
          <w:rFonts w:hint="default" w:ascii="Nimbus Roman No9 L" w:hAnsi="Nimbus Roman No9 L" w:eastAsia="仿宋_GB2312" w:cs="Nimbus Roman No9 L"/>
          <w:color w:val="auto"/>
          <w:sz w:val="32"/>
          <w:szCs w:val="32"/>
          <w:highlight w:val="none"/>
          <w:lang w:eastAsia="zh-CN"/>
        </w:rPr>
        <w:t>财政拨款收入</w:t>
      </w:r>
      <w:r>
        <w:rPr>
          <w:rFonts w:hint="default" w:ascii="Nimbus Roman No9 L" w:hAnsi="Nimbus Roman No9 L" w:eastAsia="仿宋_GB2312" w:cs="Nimbus Roman No9 L"/>
          <w:color w:val="auto"/>
          <w:sz w:val="32"/>
          <w:szCs w:val="32"/>
          <w:highlight w:val="none"/>
        </w:rPr>
        <w:t>支出决算表</w:t>
      </w:r>
    </w:p>
    <w:p w14:paraId="2114744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rPr>
      </w:pPr>
      <w:bookmarkStart w:id="67" w:name="_Toc15396630"/>
      <w:r>
        <w:rPr>
          <w:rFonts w:hint="default" w:ascii="Nimbus Roman No9 L" w:hAnsi="Nimbus Roman No9 L" w:eastAsia="仿宋_GB2312" w:cs="Nimbus Roman No9 L"/>
          <w:color w:val="auto"/>
          <w:sz w:val="32"/>
          <w:szCs w:val="32"/>
          <w:highlight w:val="none"/>
        </w:rPr>
        <w:t>十二、</w:t>
      </w:r>
      <w:bookmarkEnd w:id="67"/>
      <w:r>
        <w:rPr>
          <w:rFonts w:hint="default" w:ascii="Nimbus Roman No9 L" w:hAnsi="Nimbus Roman No9 L" w:eastAsia="仿宋_GB2312" w:cs="Nimbus Roman No9 L"/>
          <w:color w:val="auto"/>
          <w:sz w:val="32"/>
          <w:szCs w:val="32"/>
          <w:highlight w:val="none"/>
          <w:lang w:eastAsia="zh-CN"/>
        </w:rPr>
        <w:t>国有资本经营预算财政拨款支出决算表</w:t>
      </w:r>
    </w:p>
    <w:p w14:paraId="7D1D13E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default" w:ascii="Nimbus Roman No9 L" w:hAnsi="Nimbus Roman No9 L" w:eastAsia="仿宋_GB2312" w:cs="Nimbus Roman No9 L"/>
          <w:color w:val="auto"/>
          <w:sz w:val="32"/>
          <w:szCs w:val="32"/>
          <w:highlight w:val="none"/>
          <w:lang w:eastAsia="zh-CN"/>
        </w:rPr>
      </w:pPr>
      <w:bookmarkStart w:id="68" w:name="_Toc15396631"/>
      <w:r>
        <w:rPr>
          <w:rFonts w:hint="default" w:ascii="Nimbus Roman No9 L" w:hAnsi="Nimbus Roman No9 L" w:eastAsia="仿宋_GB2312" w:cs="Nimbus Roman No9 L"/>
          <w:color w:val="auto"/>
          <w:sz w:val="32"/>
          <w:szCs w:val="32"/>
          <w:highlight w:val="none"/>
        </w:rPr>
        <w:t>十三、</w:t>
      </w:r>
      <w:bookmarkEnd w:id="68"/>
      <w:r>
        <w:rPr>
          <w:rFonts w:hint="default" w:ascii="Nimbus Roman No9 L" w:hAnsi="Nimbus Roman No9 L" w:eastAsia="仿宋_GB2312" w:cs="Nimbus Roman No9 L"/>
          <w:color w:val="auto"/>
          <w:sz w:val="32"/>
          <w:szCs w:val="32"/>
          <w:highlight w:val="none"/>
          <w:lang w:eastAsia="zh-CN"/>
        </w:rPr>
        <w:t>财政拨款“三公”经费支出决算表</w:t>
      </w:r>
    </w:p>
    <w:p w14:paraId="3E8B56F7">
      <w:pPr>
        <w:rPr>
          <w:rFonts w:hint="default" w:ascii="Nimbus Roman No9 L" w:hAnsi="Nimbus Roman No9 L" w:cs="Nimbus Roman No9 L"/>
          <w:lang w:eastAsia="zh-CN"/>
        </w:rPr>
      </w:pPr>
    </w:p>
    <w:sectPr>
      <w:footerReference r:id="rId9" w:type="firs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穝灿砰">
    <w:altName w:val="黑体"/>
    <w:panose1 w:val="00000000000000000000"/>
    <w:charset w:val="00"/>
    <w:family w:val="auto"/>
    <w:pitch w:val="default"/>
    <w:sig w:usb0="00000000" w:usb1="00000000" w:usb2="00000000"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AD961">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2AC901">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32AC901">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56D7268A">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5183F">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9D99D6">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29D99D6">
                    <w:pPr>
                      <w:pStyle w:val="11"/>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EE3B6">
    <w:pPr>
      <w:pStyle w:val="1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90A315">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890A315">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1F1ADD89">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DF3DD">
    <w:pPr>
      <w:pStyle w:val="1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D30A96">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D30A96">
                    <w:pPr>
                      <w:pStyle w:val="11"/>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56670">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EE9F57">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DEE9F57">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29A09">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FB4ABC">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BFB4ABC">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97CA0">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A23516"/>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957196"/>
    <w:rsid w:val="13D50BC4"/>
    <w:rsid w:val="14022904"/>
    <w:rsid w:val="152F2A07"/>
    <w:rsid w:val="165E0673"/>
    <w:rsid w:val="16BB723D"/>
    <w:rsid w:val="16F13FCB"/>
    <w:rsid w:val="186504BB"/>
    <w:rsid w:val="1938089F"/>
    <w:rsid w:val="19A445FC"/>
    <w:rsid w:val="1B7D550C"/>
    <w:rsid w:val="1BE8440E"/>
    <w:rsid w:val="1CC817F2"/>
    <w:rsid w:val="1D155CEE"/>
    <w:rsid w:val="1D6CFE87"/>
    <w:rsid w:val="1DE178F3"/>
    <w:rsid w:val="1E740ACF"/>
    <w:rsid w:val="1F67EF18"/>
    <w:rsid w:val="1FF35744"/>
    <w:rsid w:val="1FF6BC77"/>
    <w:rsid w:val="21962A9E"/>
    <w:rsid w:val="21AE7C77"/>
    <w:rsid w:val="22BC3C41"/>
    <w:rsid w:val="23860B96"/>
    <w:rsid w:val="240371BF"/>
    <w:rsid w:val="260F557C"/>
    <w:rsid w:val="281408E2"/>
    <w:rsid w:val="29FD04D3"/>
    <w:rsid w:val="2BFF7BC6"/>
    <w:rsid w:val="2C8A61B5"/>
    <w:rsid w:val="2D2E01CF"/>
    <w:rsid w:val="2DF04E50"/>
    <w:rsid w:val="2DF7A336"/>
    <w:rsid w:val="2E9545B0"/>
    <w:rsid w:val="2EEF288D"/>
    <w:rsid w:val="2EF911C6"/>
    <w:rsid w:val="2F040D46"/>
    <w:rsid w:val="2FAE5751"/>
    <w:rsid w:val="2FB1A395"/>
    <w:rsid w:val="2FD9A7D8"/>
    <w:rsid w:val="317EA41D"/>
    <w:rsid w:val="319F7F4E"/>
    <w:rsid w:val="321B2544"/>
    <w:rsid w:val="3304709D"/>
    <w:rsid w:val="33FF1A3D"/>
    <w:rsid w:val="34281836"/>
    <w:rsid w:val="349D6851"/>
    <w:rsid w:val="35BA6CAF"/>
    <w:rsid w:val="35D37231"/>
    <w:rsid w:val="364D14C1"/>
    <w:rsid w:val="367D2560"/>
    <w:rsid w:val="36AA5135"/>
    <w:rsid w:val="36BE0DA7"/>
    <w:rsid w:val="36BF9D99"/>
    <w:rsid w:val="36ED6951"/>
    <w:rsid w:val="36EF1DF1"/>
    <w:rsid w:val="376B6AA6"/>
    <w:rsid w:val="376D39B2"/>
    <w:rsid w:val="3777B40B"/>
    <w:rsid w:val="37E16F03"/>
    <w:rsid w:val="37EADB31"/>
    <w:rsid w:val="37EB23E8"/>
    <w:rsid w:val="37EFA422"/>
    <w:rsid w:val="37F53A3B"/>
    <w:rsid w:val="389B6C89"/>
    <w:rsid w:val="38D469F0"/>
    <w:rsid w:val="38F5DF0B"/>
    <w:rsid w:val="39627CCD"/>
    <w:rsid w:val="397BAF1F"/>
    <w:rsid w:val="39FB2B32"/>
    <w:rsid w:val="3AB79AF3"/>
    <w:rsid w:val="3B7EF35A"/>
    <w:rsid w:val="3B84CE1D"/>
    <w:rsid w:val="3B9FDB6C"/>
    <w:rsid w:val="3BF5BC2F"/>
    <w:rsid w:val="3CEBA265"/>
    <w:rsid w:val="3D5B69B5"/>
    <w:rsid w:val="3D98207C"/>
    <w:rsid w:val="3D9B0D99"/>
    <w:rsid w:val="3DEE7CF3"/>
    <w:rsid w:val="3DF02244"/>
    <w:rsid w:val="3DFE3611"/>
    <w:rsid w:val="3E78745D"/>
    <w:rsid w:val="3F535609"/>
    <w:rsid w:val="3F6E7B05"/>
    <w:rsid w:val="3F6FE53F"/>
    <w:rsid w:val="3F92E138"/>
    <w:rsid w:val="3FAED430"/>
    <w:rsid w:val="3FBB02FB"/>
    <w:rsid w:val="3FF4CAE0"/>
    <w:rsid w:val="3FF7B227"/>
    <w:rsid w:val="3FF9475A"/>
    <w:rsid w:val="3FF9AF24"/>
    <w:rsid w:val="40E54C45"/>
    <w:rsid w:val="41313393"/>
    <w:rsid w:val="43A407DF"/>
    <w:rsid w:val="44515BEA"/>
    <w:rsid w:val="44E268DA"/>
    <w:rsid w:val="453F7E5B"/>
    <w:rsid w:val="473E27F7"/>
    <w:rsid w:val="47F94D2C"/>
    <w:rsid w:val="486A6C7A"/>
    <w:rsid w:val="49176D9B"/>
    <w:rsid w:val="494006BD"/>
    <w:rsid w:val="4A627F82"/>
    <w:rsid w:val="4B0E749A"/>
    <w:rsid w:val="4B4F25DA"/>
    <w:rsid w:val="4BDA0CFB"/>
    <w:rsid w:val="4BE068DB"/>
    <w:rsid w:val="4D3C0CCC"/>
    <w:rsid w:val="4D577224"/>
    <w:rsid w:val="4DBF1CEB"/>
    <w:rsid w:val="4EAB630A"/>
    <w:rsid w:val="4ECE2238"/>
    <w:rsid w:val="4F833267"/>
    <w:rsid w:val="4FE9BD67"/>
    <w:rsid w:val="4FFB052F"/>
    <w:rsid w:val="4FFCD979"/>
    <w:rsid w:val="53083A92"/>
    <w:rsid w:val="536EBA8D"/>
    <w:rsid w:val="537E6D0A"/>
    <w:rsid w:val="53AF27A2"/>
    <w:rsid w:val="53BDFD28"/>
    <w:rsid w:val="53F74C96"/>
    <w:rsid w:val="55ED9535"/>
    <w:rsid w:val="56AE5D1B"/>
    <w:rsid w:val="56E47B74"/>
    <w:rsid w:val="57B7ADD1"/>
    <w:rsid w:val="57BD3DD4"/>
    <w:rsid w:val="57FA4C86"/>
    <w:rsid w:val="57FDE236"/>
    <w:rsid w:val="5AF92295"/>
    <w:rsid w:val="5BDD79E6"/>
    <w:rsid w:val="5BF561CA"/>
    <w:rsid w:val="5BFF5DFC"/>
    <w:rsid w:val="5CD71FC4"/>
    <w:rsid w:val="5CFDD962"/>
    <w:rsid w:val="5D1F11B5"/>
    <w:rsid w:val="5D77AEFE"/>
    <w:rsid w:val="5DAE1B18"/>
    <w:rsid w:val="5DE7D9E5"/>
    <w:rsid w:val="5EBF6050"/>
    <w:rsid w:val="5ECEC941"/>
    <w:rsid w:val="5EF6E842"/>
    <w:rsid w:val="5F493CB7"/>
    <w:rsid w:val="5F9EFDDE"/>
    <w:rsid w:val="5FBF9FF3"/>
    <w:rsid w:val="5FCD4E2C"/>
    <w:rsid w:val="5FD15F49"/>
    <w:rsid w:val="5FDF2949"/>
    <w:rsid w:val="5FE7310A"/>
    <w:rsid w:val="5FEF394A"/>
    <w:rsid w:val="5FF67715"/>
    <w:rsid w:val="5FFB3EB2"/>
    <w:rsid w:val="62BF3928"/>
    <w:rsid w:val="63A7BA6C"/>
    <w:rsid w:val="647F5392"/>
    <w:rsid w:val="664B1D71"/>
    <w:rsid w:val="671F9F0D"/>
    <w:rsid w:val="67AA3209"/>
    <w:rsid w:val="67EE7FD6"/>
    <w:rsid w:val="67FFB6ED"/>
    <w:rsid w:val="681C4F0D"/>
    <w:rsid w:val="69046D0F"/>
    <w:rsid w:val="698D0931"/>
    <w:rsid w:val="6A993CED"/>
    <w:rsid w:val="6B053271"/>
    <w:rsid w:val="6BBF44D1"/>
    <w:rsid w:val="6BCE6674"/>
    <w:rsid w:val="6BD12551"/>
    <w:rsid w:val="6BFEBE2E"/>
    <w:rsid w:val="6C3A9B0A"/>
    <w:rsid w:val="6C4A05C8"/>
    <w:rsid w:val="6C8742B8"/>
    <w:rsid w:val="6C8A170F"/>
    <w:rsid w:val="6CB54609"/>
    <w:rsid w:val="6CF5171D"/>
    <w:rsid w:val="6D1775CF"/>
    <w:rsid w:val="6DBF5E93"/>
    <w:rsid w:val="6DFF077E"/>
    <w:rsid w:val="6E7E3605"/>
    <w:rsid w:val="6E7FDCC7"/>
    <w:rsid w:val="6ED6A62E"/>
    <w:rsid w:val="6EDFD00B"/>
    <w:rsid w:val="6EE00B15"/>
    <w:rsid w:val="6F544B20"/>
    <w:rsid w:val="6F6FB3EB"/>
    <w:rsid w:val="6F784160"/>
    <w:rsid w:val="6F78A6B9"/>
    <w:rsid w:val="6F8731EA"/>
    <w:rsid w:val="6FBF475E"/>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EFE187"/>
    <w:rsid w:val="74FC2395"/>
    <w:rsid w:val="75DEEEC2"/>
    <w:rsid w:val="76DDF1F7"/>
    <w:rsid w:val="76E3355F"/>
    <w:rsid w:val="76ED11EE"/>
    <w:rsid w:val="76FF5125"/>
    <w:rsid w:val="775FA820"/>
    <w:rsid w:val="776F6FFA"/>
    <w:rsid w:val="777A971A"/>
    <w:rsid w:val="777F48B3"/>
    <w:rsid w:val="778769C8"/>
    <w:rsid w:val="77DC22F5"/>
    <w:rsid w:val="77F85D1F"/>
    <w:rsid w:val="78F3794D"/>
    <w:rsid w:val="79086DAD"/>
    <w:rsid w:val="79974F09"/>
    <w:rsid w:val="79D7FD79"/>
    <w:rsid w:val="79EE5BA4"/>
    <w:rsid w:val="7A894339"/>
    <w:rsid w:val="7AF3E3FC"/>
    <w:rsid w:val="7AFF7572"/>
    <w:rsid w:val="7B1AC6F2"/>
    <w:rsid w:val="7B5E88AE"/>
    <w:rsid w:val="7B6C7DFB"/>
    <w:rsid w:val="7BBFBED0"/>
    <w:rsid w:val="7BC3E394"/>
    <w:rsid w:val="7BFD03C8"/>
    <w:rsid w:val="7BFFD1F7"/>
    <w:rsid w:val="7C1F3737"/>
    <w:rsid w:val="7CAF0443"/>
    <w:rsid w:val="7CBFC87B"/>
    <w:rsid w:val="7CFE0F48"/>
    <w:rsid w:val="7D7EC23E"/>
    <w:rsid w:val="7D916348"/>
    <w:rsid w:val="7DFF2706"/>
    <w:rsid w:val="7E8ADEBF"/>
    <w:rsid w:val="7EEF11D3"/>
    <w:rsid w:val="7EF42A71"/>
    <w:rsid w:val="7EFB12B8"/>
    <w:rsid w:val="7EFD7656"/>
    <w:rsid w:val="7F0971A6"/>
    <w:rsid w:val="7F3F679B"/>
    <w:rsid w:val="7F4FC4EF"/>
    <w:rsid w:val="7F5E4D54"/>
    <w:rsid w:val="7F6E0135"/>
    <w:rsid w:val="7F6F12E8"/>
    <w:rsid w:val="7F7DC9CC"/>
    <w:rsid w:val="7FA30C79"/>
    <w:rsid w:val="7FAF8ABF"/>
    <w:rsid w:val="7FB361A8"/>
    <w:rsid w:val="7FB7269E"/>
    <w:rsid w:val="7FBF4181"/>
    <w:rsid w:val="7FC96657"/>
    <w:rsid w:val="7FD2B332"/>
    <w:rsid w:val="7FDA9588"/>
    <w:rsid w:val="7FDF01F3"/>
    <w:rsid w:val="7FDF220F"/>
    <w:rsid w:val="7FEDC5F7"/>
    <w:rsid w:val="7FEDD9DE"/>
    <w:rsid w:val="7FF3C774"/>
    <w:rsid w:val="7FF5890D"/>
    <w:rsid w:val="7FF7196B"/>
    <w:rsid w:val="7FF93490"/>
    <w:rsid w:val="7FFBB858"/>
    <w:rsid w:val="7FFE776C"/>
    <w:rsid w:val="7FFEA8F4"/>
    <w:rsid w:val="7FFF8BCA"/>
    <w:rsid w:val="7FFFDF53"/>
    <w:rsid w:val="97BF80F9"/>
    <w:rsid w:val="99FF2014"/>
    <w:rsid w:val="9D9FFFB8"/>
    <w:rsid w:val="9EDD1CCA"/>
    <w:rsid w:val="9EFFF8F1"/>
    <w:rsid w:val="9F438541"/>
    <w:rsid w:val="A6A7D668"/>
    <w:rsid w:val="A6DD0D7F"/>
    <w:rsid w:val="ADC6F725"/>
    <w:rsid w:val="ADDF4DDC"/>
    <w:rsid w:val="AECE647C"/>
    <w:rsid w:val="AF2FC623"/>
    <w:rsid w:val="AFB76A44"/>
    <w:rsid w:val="AFCD3938"/>
    <w:rsid w:val="AFE10E3A"/>
    <w:rsid w:val="B3FF1B71"/>
    <w:rsid w:val="B5FE5590"/>
    <w:rsid w:val="B7CF06AB"/>
    <w:rsid w:val="B7CFA926"/>
    <w:rsid w:val="B7F8786B"/>
    <w:rsid w:val="B93FE570"/>
    <w:rsid w:val="BABB6AA1"/>
    <w:rsid w:val="BB2F4199"/>
    <w:rsid w:val="BB7FFE28"/>
    <w:rsid w:val="BD079C78"/>
    <w:rsid w:val="BD1BE4DD"/>
    <w:rsid w:val="BD55D42B"/>
    <w:rsid w:val="BD6BD077"/>
    <w:rsid w:val="BD733540"/>
    <w:rsid w:val="BE973308"/>
    <w:rsid w:val="BEB79E97"/>
    <w:rsid w:val="BEE7ED9C"/>
    <w:rsid w:val="BF3735D5"/>
    <w:rsid w:val="BF7F09AC"/>
    <w:rsid w:val="BF97D59C"/>
    <w:rsid w:val="BFD475C3"/>
    <w:rsid w:val="BFDE5EA6"/>
    <w:rsid w:val="C7EFF7C8"/>
    <w:rsid w:val="C7FD02C5"/>
    <w:rsid w:val="CF6FC6F3"/>
    <w:rsid w:val="CF9FBBE4"/>
    <w:rsid w:val="CFD3D3D7"/>
    <w:rsid w:val="CFDF1009"/>
    <w:rsid w:val="CFDFB8C1"/>
    <w:rsid w:val="CFFD54AF"/>
    <w:rsid w:val="D7D7B16A"/>
    <w:rsid w:val="D7F52768"/>
    <w:rsid w:val="D8D6DB89"/>
    <w:rsid w:val="D95B2D3C"/>
    <w:rsid w:val="DAEEF2AD"/>
    <w:rsid w:val="DB6F4CAB"/>
    <w:rsid w:val="DB777682"/>
    <w:rsid w:val="DCEB5D14"/>
    <w:rsid w:val="DD1FB521"/>
    <w:rsid w:val="DEF6A1B5"/>
    <w:rsid w:val="DEFBFEAE"/>
    <w:rsid w:val="DF1F3B80"/>
    <w:rsid w:val="DF6F9789"/>
    <w:rsid w:val="DF7F2897"/>
    <w:rsid w:val="DFFFA9E8"/>
    <w:rsid w:val="E4FF24EF"/>
    <w:rsid w:val="E5F4E9DC"/>
    <w:rsid w:val="E5FF431E"/>
    <w:rsid w:val="E70FE695"/>
    <w:rsid w:val="E9CF9AF8"/>
    <w:rsid w:val="EB7FC49F"/>
    <w:rsid w:val="EBFF96A2"/>
    <w:rsid w:val="EC60C34A"/>
    <w:rsid w:val="ECFED1BC"/>
    <w:rsid w:val="ED1D69BB"/>
    <w:rsid w:val="ED7FD312"/>
    <w:rsid w:val="EDEDDA36"/>
    <w:rsid w:val="EE0E7260"/>
    <w:rsid w:val="EF53993F"/>
    <w:rsid w:val="EF5B8C96"/>
    <w:rsid w:val="EF6FD633"/>
    <w:rsid w:val="EFBFB2F4"/>
    <w:rsid w:val="EFBFFA21"/>
    <w:rsid w:val="EFFFB996"/>
    <w:rsid w:val="F16E7F11"/>
    <w:rsid w:val="F2BEBCB8"/>
    <w:rsid w:val="F3492BAC"/>
    <w:rsid w:val="F36FB518"/>
    <w:rsid w:val="F3DE1A04"/>
    <w:rsid w:val="F3EA8B32"/>
    <w:rsid w:val="F3F722E5"/>
    <w:rsid w:val="F57E3C58"/>
    <w:rsid w:val="F59F3100"/>
    <w:rsid w:val="F5FEB2B1"/>
    <w:rsid w:val="F6FE3186"/>
    <w:rsid w:val="F7BFA359"/>
    <w:rsid w:val="F7FDD290"/>
    <w:rsid w:val="F89F4635"/>
    <w:rsid w:val="F97FCFD3"/>
    <w:rsid w:val="F9EF77FA"/>
    <w:rsid w:val="FA4D11B4"/>
    <w:rsid w:val="FA5F1E70"/>
    <w:rsid w:val="FA5FDB97"/>
    <w:rsid w:val="FABFD9B6"/>
    <w:rsid w:val="FB3E72EB"/>
    <w:rsid w:val="FB5E0E23"/>
    <w:rsid w:val="FB7F486A"/>
    <w:rsid w:val="FBDF092F"/>
    <w:rsid w:val="FBEBEF62"/>
    <w:rsid w:val="FBFD9A13"/>
    <w:rsid w:val="FBFF5B2E"/>
    <w:rsid w:val="FD6B5B7E"/>
    <w:rsid w:val="FD7FFE2B"/>
    <w:rsid w:val="FD9F923E"/>
    <w:rsid w:val="FDBD8396"/>
    <w:rsid w:val="FDDC88BE"/>
    <w:rsid w:val="FDEE196B"/>
    <w:rsid w:val="FDFB4E22"/>
    <w:rsid w:val="FDFE6575"/>
    <w:rsid w:val="FE8AF6DD"/>
    <w:rsid w:val="FEBD0AFB"/>
    <w:rsid w:val="FEDFC047"/>
    <w:rsid w:val="FEDFDDC2"/>
    <w:rsid w:val="FEED32F6"/>
    <w:rsid w:val="FEF781DD"/>
    <w:rsid w:val="FEFF6332"/>
    <w:rsid w:val="FF3F7E3F"/>
    <w:rsid w:val="FF5F7CF7"/>
    <w:rsid w:val="FF7FF053"/>
    <w:rsid w:val="FF9F7A34"/>
    <w:rsid w:val="FFAF05F9"/>
    <w:rsid w:val="FFBA12D7"/>
    <w:rsid w:val="FFBE056A"/>
    <w:rsid w:val="FFBE6A93"/>
    <w:rsid w:val="FFDFFAEE"/>
    <w:rsid w:val="FFEFC24B"/>
    <w:rsid w:val="FFF9B57B"/>
    <w:rsid w:val="FFFD61D9"/>
    <w:rsid w:val="FFFD8F59"/>
    <w:rsid w:val="FFFF2BB1"/>
    <w:rsid w:val="FFFF926D"/>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7"/>
    <w:qFormat/>
    <w:uiPriority w:val="99"/>
    <w:pPr>
      <w:spacing w:beforeLines="30"/>
    </w:pPr>
    <w:rPr>
      <w:rFonts w:ascii="仿宋_GB2312" w:eastAsia="仿宋_GB2312"/>
      <w:kern w:val="0"/>
      <w:sz w:val="30"/>
    </w:rPr>
  </w:style>
  <w:style w:type="paragraph" w:styleId="3">
    <w:name w:val="Normal Indent"/>
    <w:basedOn w:val="1"/>
    <w:qFormat/>
    <w:uiPriority w:val="0"/>
    <w:pPr>
      <w:suppressAutoHyphens/>
    </w:pPr>
    <w:rPr>
      <w:rFonts w:ascii="Calibri" w:hAnsi="Calibri"/>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Title"/>
    <w:basedOn w:val="1"/>
    <w:next w:val="1"/>
    <w:qFormat/>
    <w:uiPriority w:val="0"/>
    <w:pPr>
      <w:spacing w:before="209" w:after="209" w:line="0" w:lineRule="atLeast"/>
      <w:jc w:val="center"/>
    </w:pPr>
    <w:rPr>
      <w:rFonts w:ascii="Arial" w:hAnsi="Arial" w:eastAsia="穝灿砰"/>
      <w:sz w:val="52"/>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2"/>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4"/>
    <w:qFormat/>
    <w:uiPriority w:val="9"/>
    <w:rPr>
      <w:rFonts w:ascii="Times New Roman" w:hAnsi="Times New Roman"/>
      <w:b/>
      <w:bCs/>
      <w:kern w:val="44"/>
      <w:sz w:val="44"/>
      <w:szCs w:val="44"/>
    </w:rPr>
  </w:style>
  <w:style w:type="character" w:customStyle="1" w:styleId="31">
    <w:name w:val="标题 2 Char"/>
    <w:basedOn w:val="18"/>
    <w:link w:val="5"/>
    <w:qFormat/>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6"/>
    <w:qFormat/>
    <w:uiPriority w:val="9"/>
    <w:rPr>
      <w:rFonts w:ascii="Times New Roman" w:hAnsi="Times New Roman"/>
      <w:b/>
      <w:bCs/>
      <w:kern w:val="2"/>
      <w:sz w:val="32"/>
      <w:szCs w:val="32"/>
    </w:rPr>
  </w:style>
  <w:style w:type="paragraph" w:customStyle="1" w:styleId="35">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home/user/&#26700;&#38754;/2025&#24180;&#24230;&#20915;&#31639;&#20844;&#24320;/&#26426;&#20851;/&#26609;&#29366;&#22270;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ome/user/&#26700;&#38754;/2025&#24180;&#24230;&#20915;&#31639;&#20844;&#24320;/&#26426;&#20851;/&#26609;&#29366;&#22270;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ome/user/&#26700;&#38754;/2025&#24180;&#24230;&#20915;&#31639;&#20844;&#24320;/&#26426;&#20851;/&#26609;&#29366;&#22270;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ome/user/&#26700;&#38754;/2025&#24180;&#24230;&#20915;&#31639;&#20844;&#24320;/&#26426;&#20851;/&#26609;&#29366;&#22270;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ome/user/&#26700;&#38754;/2025&#24180;&#24230;&#20915;&#31639;&#20844;&#24320;/&#26426;&#20851;/&#26609;&#29366;&#22270;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ome/user/&#26700;&#38754;/2025&#24180;&#24230;&#20915;&#31639;&#20844;&#24320;/&#26426;&#20851;/&#26609;&#29366;&#22270;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ome/user/&#26700;&#38754;/2025&#24180;&#24230;&#20915;&#31639;&#20844;&#24320;/&#26426;&#20851;/&#26609;&#29366;&#22270;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rPr sz="1400" b="0" i="0" u="none" strike="noStrike" baseline="0">
                <a:solidFill>
                  <a:srgbClr val="000000">
                    <a:alpha val="100000"/>
                  </a:srgbClr>
                </a:solidFill>
                <a:latin typeface="宋体" charset="-122"/>
                <a:ea typeface="宋体" charset="-122"/>
                <a:cs typeface="宋体" charset="-122"/>
              </a:rPr>
              <a:t>收入、支出决算总计变动情况图</a:t>
            </a:r>
            <a:endParaRPr sz="1400" b="0" i="0" u="none" strike="noStrike" baseline="0">
              <a:solidFill>
                <a:srgbClr val="000000">
                  <a:alpha val="100000"/>
                </a:srgbClr>
              </a:solidFill>
              <a:latin typeface="宋体" charset="-122"/>
              <a:ea typeface="宋体" charset="-122"/>
              <a:cs typeface="宋体" charset="-122"/>
            </a:endParaRPr>
          </a:p>
        </c:rich>
      </c:tx>
      <c:layout>
        <c:manualLayout>
          <c:xMode val="edge"/>
          <c:yMode val="edge"/>
          <c:x val="0.296987410071942"/>
          <c:y val="0.883190883190883"/>
        </c:manualLayout>
      </c:layout>
      <c:overlay val="0"/>
    </c:title>
    <c:autoTitleDeleted val="0"/>
    <c:plotArea>
      <c:layout>
        <c:manualLayout>
          <c:layoutTarget val="inner"/>
          <c:xMode val="edge"/>
          <c:yMode val="edge"/>
          <c:x val="0.0890987362866269"/>
          <c:y val="0.0508788159111933"/>
          <c:w val="0.88201638661297"/>
          <c:h val="0.732516188714154"/>
        </c:manualLayout>
      </c:layout>
      <c:barChart>
        <c:barDir val="col"/>
        <c:grouping val="clustered"/>
        <c:varyColors val="0"/>
        <c:ser>
          <c:idx val="0"/>
          <c:order val="0"/>
          <c:tx>
            <c:strRef>
              <c:f>[柱状图0.xls]图1!$B$1</c:f>
              <c:strCache>
                <c:ptCount val="1"/>
                <c:pt idx="0">
                  <c:v>2025年</c:v>
                </c:pt>
              </c:strCache>
            </c:strRef>
          </c:tx>
          <c:spPr>
            <a:solidFill>
              <a:schemeClr val="accent1">
                <a:lumMod val="60000"/>
                <a:lumOff val="40000"/>
              </a:schemeClr>
            </a:solidFill>
            <a:ln>
              <a:noFill/>
            </a:ln>
            <a:effectLst/>
          </c:spPr>
          <c:invertIfNegative val="0"/>
          <c:dPt>
            <c:idx val="0"/>
            <c:invertIfNegative val="0"/>
            <c:bubble3D val="0"/>
            <c:explosion val="0"/>
            <c:spPr>
              <a:solidFill>
                <a:schemeClr val="accent1">
                  <a:lumMod val="60000"/>
                  <a:lumOff val="40000"/>
                </a:schemeClr>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[柱状图0.xls]图1!$A$2:$A$3</c:f>
              <c:strCache>
                <c:ptCount val="2"/>
                <c:pt idx="0">
                  <c:v>收入总计</c:v>
                </c:pt>
                <c:pt idx="1">
                  <c:v>支出总计</c:v>
                </c:pt>
              </c:strCache>
            </c:strRef>
          </c:cat>
          <c:val>
            <c:numRef>
              <c:f>[柱状图0.xls]图1!$B$2:$B$3</c:f>
              <c:numCache>
                <c:formatCode>General</c:formatCode>
                <c:ptCount val="2"/>
                <c:pt idx="0">
                  <c:v>1096.97</c:v>
                </c:pt>
                <c:pt idx="1">
                  <c:v>1096.97</c:v>
                </c:pt>
              </c:numCache>
            </c:numRef>
          </c:val>
        </c:ser>
        <c:ser>
          <c:idx val="1"/>
          <c:order val="1"/>
          <c:tx>
            <c:strRef>
              <c:f>[柱状图0.xls]图1!$C$1</c:f>
              <c:strCache>
                <c:ptCount val="1"/>
                <c:pt idx="0">
                  <c:v>2024年</c:v>
                </c:pt>
              </c:strCache>
            </c:strRef>
          </c:tx>
          <c:spPr>
            <a:solidFill>
              <a:schemeClr val="accent2">
                <a:lumMod val="60000"/>
                <a:lumOff val="40000"/>
              </a:schemeClr>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[柱状图0.xls]图1!$A$2:$A$3</c:f>
              <c:strCache>
                <c:ptCount val="2"/>
                <c:pt idx="0">
                  <c:v>收入总计</c:v>
                </c:pt>
                <c:pt idx="1">
                  <c:v>支出总计</c:v>
                </c:pt>
              </c:strCache>
            </c:strRef>
          </c:cat>
          <c:val>
            <c:numRef>
              <c:f>[柱状图0.xls]图1!$C$2:$C$3</c:f>
              <c:numCache>
                <c:formatCode>General</c:formatCode>
                <c:ptCount val="2"/>
                <c:pt idx="0">
                  <c:v>1388.27</c:v>
                </c:pt>
                <c:pt idx="1">
                  <c:v>1388.27</c:v>
                </c:pt>
              </c:numCache>
            </c:numRef>
          </c:val>
        </c:ser>
        <c:dLbls>
          <c:showLegendKey val="0"/>
          <c:showVal val="0"/>
          <c:showCatName val="0"/>
          <c:showSerName val="0"/>
          <c:showPercent val="0"/>
          <c:showBubbleSize val="0"/>
        </c:dLbls>
        <c:gapWidth val="150"/>
        <c:overlap val="0"/>
        <c:axId val="107430423"/>
        <c:axId val="857354203"/>
      </c:barChart>
      <c:catAx>
        <c:axId val="10743042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7354203"/>
        <c:crosses val="autoZero"/>
        <c:auto val="1"/>
        <c:lblAlgn val="ctr"/>
        <c:lblOffset val="100"/>
        <c:noMultiLvlLbl val="0"/>
      </c:catAx>
      <c:valAx>
        <c:axId val="857354203"/>
        <c:scaling>
          <c:orientation val="minMax"/>
          <c:max val="1800"/>
          <c:min val="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7430423"/>
        <c:crosses val="autoZero"/>
        <c:crossBetween val="between"/>
        <c:majorUnit val="200"/>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f7cb7c5-24d8-4996-86ee-ad1cf9922239}"/>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charset="-122"/>
                <a:ea typeface="宋体" charset="-122"/>
                <a:cs typeface="宋体" charset="-122"/>
              </a:rPr>
              <a:t>收入决算结构图</a:t>
            </a:r>
            <a:endParaRPr sz="1400" b="0" i="0" u="none" strike="noStrike" baseline="0">
              <a:solidFill>
                <a:srgbClr val="595959">
                  <a:alpha val="100000"/>
                </a:srgbClr>
              </a:solidFill>
              <a:latin typeface="宋体" charset="-122"/>
              <a:ea typeface="宋体" charset="-122"/>
              <a:cs typeface="宋体"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[柱状图0.xls]图2!$A$1:$B$1</c:f>
              <c:strCache>
                <c:ptCount val="2"/>
                <c:pt idx="0">
                  <c:v>一般公共预算财政拨款收入</c:v>
                </c:pt>
              </c:strCache>
            </c:strRef>
          </c:cat>
          <c:val>
            <c:numRef>
              <c:f>[柱状图0.xls]图2!$A$2:$B$2</c:f>
              <c:numCache>
                <c:formatCode>0.00%</c:formatCode>
                <c:ptCount val="2"/>
                <c:pt idx="0">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1"/>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e79465a-d124-4e01-9d96-30c829d86d97}"/>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charset="-122"/>
                <a:ea typeface="宋体" charset="-122"/>
                <a:cs typeface="宋体" charset="-122"/>
              </a:rPr>
              <a:t>支出决算结构图</a:t>
            </a:r>
            <a:endParaRPr sz="1400" b="0" i="0" u="none" strike="noStrike" baseline="0">
              <a:solidFill>
                <a:srgbClr val="595959">
                  <a:alpha val="100000"/>
                </a:srgbClr>
              </a:solidFill>
              <a:latin typeface="宋体" charset="-122"/>
              <a:ea typeface="宋体" charset="-122"/>
              <a:cs typeface="宋体"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[柱状图0.xls]图3!$A$1:$B$1</c:f>
              <c:strCache>
                <c:ptCount val="2"/>
                <c:pt idx="0">
                  <c:v>基本支出</c:v>
                </c:pt>
                <c:pt idx="1">
                  <c:v>项目支出</c:v>
                </c:pt>
              </c:strCache>
            </c:strRef>
          </c:cat>
          <c:val>
            <c:numRef>
              <c:f>[柱状图0.xls]图3!$A$2:$B$2</c:f>
              <c:numCache>
                <c:formatCode>0.0%</c:formatCode>
                <c:ptCount val="2"/>
                <c:pt idx="0">
                  <c:v>0.673</c:v>
                </c:pt>
                <c:pt idx="1">
                  <c:v>0.327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b54044f-a0b6-45c1-8321-f725c0de43c3}"/>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rPr lang="en-US" altLang="zh-CN" sz="1400" b="0" i="0" u="none" strike="noStrike" baseline="0">
                <a:solidFill>
                  <a:srgbClr val="000000">
                    <a:alpha val="100000"/>
                  </a:srgbClr>
                </a:solidFill>
                <a:latin typeface="宋体" charset="-122"/>
                <a:ea typeface="宋体" charset="-122"/>
                <a:cs typeface="宋体" charset="-122"/>
              </a:rPr>
              <a:t>财政拨款收、支决算总计变动情况</a:t>
            </a:r>
            <a:endParaRPr lang="en-US" altLang="zh-CN" sz="1400" b="0" i="0" u="none" strike="noStrike" baseline="0">
              <a:solidFill>
                <a:srgbClr val="000000">
                  <a:alpha val="100000"/>
                </a:srgbClr>
              </a:solidFill>
              <a:latin typeface="宋体" charset="-122"/>
              <a:ea typeface="宋体" charset="-122"/>
              <a:cs typeface="宋体" charset="-122"/>
            </a:endParaRPr>
          </a:p>
        </c:rich>
      </c:tx>
      <c:layout>
        <c:manualLayout>
          <c:xMode val="edge"/>
          <c:yMode val="edge"/>
          <c:x val="0.268391764051196"/>
          <c:y val="0.0286624203821656"/>
        </c:manualLayout>
      </c:layout>
      <c:overlay val="0"/>
    </c:title>
    <c:autoTitleDeleted val="0"/>
    <c:plotArea>
      <c:layout>
        <c:manualLayout>
          <c:layoutTarget val="inner"/>
          <c:xMode val="edge"/>
          <c:yMode val="edge"/>
          <c:x val="0.0890987362866269"/>
          <c:y val="0.0508788159111933"/>
          <c:w val="0.88201638661297"/>
          <c:h val="0.732516188714154"/>
        </c:manualLayout>
      </c:layout>
      <c:barChart>
        <c:barDir val="col"/>
        <c:grouping val="clustered"/>
        <c:varyColors val="0"/>
        <c:ser>
          <c:idx val="0"/>
          <c:order val="0"/>
          <c:tx>
            <c:strRef>
              <c:f>[柱状图0.xls]图4!$B$1</c:f>
              <c:strCache>
                <c:ptCount val="1"/>
                <c:pt idx="0">
                  <c:v>2025年</c:v>
                </c:pt>
              </c:strCache>
            </c:strRef>
          </c:tx>
          <c:spPr>
            <a:gradFill>
              <a:gsLst>
                <a:gs pos="0">
                  <a:srgbClr val="FECF40"/>
                </a:gs>
                <a:gs pos="100000">
                  <a:srgbClr val="846C21"/>
                </a:gs>
              </a:gsLst>
              <a:lin ang="5400000" scaled="0"/>
            </a:gra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[柱状图0.xls]图4!$A$2:$A$3</c:f>
              <c:strCache>
                <c:ptCount val="2"/>
                <c:pt idx="0">
                  <c:v>财政拨款收入</c:v>
                </c:pt>
                <c:pt idx="1">
                  <c:v>财政拨款支出</c:v>
                </c:pt>
              </c:strCache>
            </c:strRef>
          </c:cat>
          <c:val>
            <c:numRef>
              <c:f>[柱状图0.xls]图4!$B$2:$B$3</c:f>
              <c:numCache>
                <c:formatCode>General</c:formatCode>
                <c:ptCount val="2"/>
                <c:pt idx="0">
                  <c:v>1096.97</c:v>
                </c:pt>
                <c:pt idx="1">
                  <c:v>1096.97</c:v>
                </c:pt>
              </c:numCache>
            </c:numRef>
          </c:val>
        </c:ser>
        <c:ser>
          <c:idx val="1"/>
          <c:order val="1"/>
          <c:tx>
            <c:strRef>
              <c:f>[柱状图0.xls]图4!$C$1</c:f>
              <c:strCache>
                <c:ptCount val="1"/>
                <c:pt idx="0">
                  <c:v>2024年</c:v>
                </c:pt>
              </c:strCache>
            </c:strRef>
          </c:tx>
          <c:spPr>
            <a:solidFill>
              <a:schemeClr val="accent5">
                <a:lumMod val="60000"/>
                <a:lumOff val="40000"/>
              </a:schemeClr>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[柱状图0.xls]图4!$A$2:$A$3</c:f>
              <c:strCache>
                <c:ptCount val="2"/>
                <c:pt idx="0">
                  <c:v>财政拨款收入</c:v>
                </c:pt>
                <c:pt idx="1">
                  <c:v>财政拨款支出</c:v>
                </c:pt>
              </c:strCache>
            </c:strRef>
          </c:cat>
          <c:val>
            <c:numRef>
              <c:f>[柱状图0.xls]图4!$C$2:$C$3</c:f>
              <c:numCache>
                <c:formatCode>General</c:formatCode>
                <c:ptCount val="2"/>
                <c:pt idx="0">
                  <c:v>1388.27</c:v>
                </c:pt>
                <c:pt idx="1">
                  <c:v>1388.27</c:v>
                </c:pt>
              </c:numCache>
            </c:numRef>
          </c:val>
        </c:ser>
        <c:dLbls>
          <c:showLegendKey val="0"/>
          <c:showVal val="0"/>
          <c:showCatName val="0"/>
          <c:showSerName val="0"/>
          <c:showPercent val="0"/>
          <c:showBubbleSize val="0"/>
        </c:dLbls>
        <c:gapWidth val="150"/>
        <c:overlap val="0"/>
        <c:axId val="642232526"/>
        <c:axId val="625494407"/>
      </c:barChart>
      <c:catAx>
        <c:axId val="642232526"/>
        <c:scaling>
          <c:orientation val="minMax"/>
        </c:scaling>
        <c:delete val="0"/>
        <c:axPos val="b"/>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5494407"/>
        <c:crosses val="autoZero"/>
        <c:auto val="1"/>
        <c:lblAlgn val="ctr"/>
        <c:lblOffset val="100"/>
        <c:noMultiLvlLbl val="0"/>
      </c:catAx>
      <c:valAx>
        <c:axId val="625494407"/>
        <c:scaling>
          <c:orientation val="minMax"/>
          <c:max val="1800"/>
          <c:min val="0"/>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out"/>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2232526"/>
        <c:crosses val="autoZero"/>
        <c:crossBetween val="between"/>
        <c:minorUnit val="200"/>
      </c:valAx>
      <c:spPr>
        <a:noFill/>
        <a:ln>
          <a:noFill/>
        </a:ln>
        <a:effectLst/>
      </c:spPr>
    </c:plotArea>
    <c:legend>
      <c:legendPos val="r"/>
      <c:layout/>
      <c:overlay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946eb24-83d7-4f03-968d-65f9403740b5}"/>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tx1"/>
                </a:solidFill>
                <a:latin typeface="+mn-lt"/>
                <a:ea typeface="+mn-ea"/>
                <a:cs typeface="+mn-cs"/>
              </a:defRPr>
            </a:pPr>
            <a:r>
              <a:rPr sz="1400" b="0" i="0" u="none" strike="noStrike" baseline="0">
                <a:solidFill>
                  <a:srgbClr val="000000">
                    <a:alpha val="100000"/>
                  </a:srgbClr>
                </a:solidFill>
                <a:latin typeface="宋体" charset="-122"/>
                <a:ea typeface="宋体" charset="-122"/>
                <a:cs typeface="宋体" charset="-122"/>
              </a:rPr>
              <a:t>一般公共预算财政拨款支出决算变动情况</a:t>
            </a:r>
            <a:endParaRPr sz="1400" b="0" i="0" u="none" strike="noStrike" baseline="0">
              <a:solidFill>
                <a:srgbClr val="000000">
                  <a:alpha val="100000"/>
                </a:srgbClr>
              </a:solidFill>
              <a:latin typeface="宋体" charset="-122"/>
              <a:ea typeface="宋体" charset="-122"/>
              <a:cs typeface="宋体" charset="-122"/>
            </a:endParaRPr>
          </a:p>
        </c:rich>
      </c:tx>
      <c:layout/>
      <c:overlay val="0"/>
    </c:title>
    <c:autoTitleDeleted val="0"/>
    <c:plotArea>
      <c:layout/>
      <c:barChart>
        <c:barDir val="col"/>
        <c:grouping val="stacked"/>
        <c:varyColors val="0"/>
        <c:ser>
          <c:idx val="0"/>
          <c:order val="0"/>
          <c:tx>
            <c:strRef>
              <c:f>[柱状图0.xls]图5!#REF!</c:f>
              <c:strCache>
                <c:ptCount val="1"/>
                <c:pt idx="0">
                  <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[柱状图0.xls]图5!$B$1:$C$1</c:f>
              <c:strCache>
                <c:ptCount val="2"/>
                <c:pt idx="0">
                  <c:v>2025年</c:v>
                </c:pt>
                <c:pt idx="1">
                  <c:v>2024年</c:v>
                </c:pt>
              </c:strCache>
            </c:strRef>
          </c:cat>
          <c:val>
            <c:numRef>
              <c:f>[柱状图0.xls]图5!#REF!</c:f>
              <c:numCache>
                <c:formatCode>General</c:formatCode>
                <c:ptCount val="1"/>
              </c:numCache>
            </c:numRef>
          </c:val>
        </c:ser>
        <c:ser>
          <c:idx val="1"/>
          <c:order val="1"/>
          <c:tx>
            <c:strRef>
              <c:f>[柱状图0.xls]图5!$A$2</c:f>
              <c:strCache>
                <c:ptCount val="1"/>
                <c:pt idx="0">
                  <c:v>一般公共预算财政拨款支出</c:v>
                </c:pt>
              </c:strCache>
            </c:strRef>
          </c:tx>
          <c:spPr>
            <a:solidFill>
              <a:schemeClr val="accent6">
                <a:lumMod val="60000"/>
                <a:lumOff val="40000"/>
              </a:schemeClr>
            </a:solidFill>
            <a:ln>
              <a:noFill/>
            </a:ln>
            <a:effectLst/>
          </c:spPr>
          <c:invertIfNegative val="0"/>
          <c:dPt>
            <c:idx val="1"/>
            <c:invertIfNegative val="0"/>
            <c:bubble3D val="0"/>
            <c:explosion val="0"/>
            <c:spPr>
              <a:solidFill>
                <a:schemeClr val="accent6">
                  <a:lumMod val="60000"/>
                  <a:lumOff val="40000"/>
                </a:schemeClr>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[柱状图0.xls]图5!$B$1:$C$1</c:f>
              <c:strCache>
                <c:ptCount val="2"/>
                <c:pt idx="0">
                  <c:v>2025年</c:v>
                </c:pt>
                <c:pt idx="1">
                  <c:v>2024年</c:v>
                </c:pt>
              </c:strCache>
            </c:strRef>
          </c:cat>
          <c:val>
            <c:numRef>
              <c:f>[柱状图0.xls]图5!$B$2:$C$2</c:f>
              <c:numCache>
                <c:formatCode>General</c:formatCode>
                <c:ptCount val="2"/>
                <c:pt idx="0">
                  <c:v>1096.97</c:v>
                </c:pt>
                <c:pt idx="1">
                  <c:v>1388.27</c:v>
                </c:pt>
              </c:numCache>
            </c:numRef>
          </c:val>
        </c:ser>
        <c:dLbls>
          <c:showLegendKey val="0"/>
          <c:showVal val="0"/>
          <c:showCatName val="0"/>
          <c:showSerName val="0"/>
          <c:showPercent val="0"/>
          <c:showBubbleSize val="0"/>
        </c:dLbls>
        <c:gapWidth val="150"/>
        <c:overlap val="100"/>
        <c:axId val="696035749"/>
        <c:axId val="200238700"/>
      </c:barChart>
      <c:catAx>
        <c:axId val="696035749"/>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0238700"/>
        <c:crosses val="autoZero"/>
        <c:auto val="1"/>
        <c:lblAlgn val="ctr"/>
        <c:lblOffset val="100"/>
        <c:noMultiLvlLbl val="0"/>
      </c:catAx>
      <c:valAx>
        <c:axId val="20023870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6035749"/>
        <c:crosses val="autoZero"/>
        <c:crossBetween val="between"/>
      </c:valAx>
      <c:spPr>
        <a:noFill/>
        <a:ln>
          <a:noFill/>
        </a:ln>
        <a:effectLst/>
      </c:spPr>
    </c:plotArea>
    <c:legend>
      <c:legendPos val="b"/>
      <c:legendEntry>
        <c:idx val="0"/>
        <c:delete val="1"/>
      </c:legendEntry>
      <c:layout>
        <c:manualLayout>
          <c:xMode val="edge"/>
          <c:yMode val="edge"/>
          <c:x val="0.27575"/>
          <c:y val="0.895"/>
          <c:w val="0.44825"/>
          <c:h val="0.07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a84a6a2-fc1c-4458-93a4-4d0dfe19500b}"/>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charset="-122"/>
                <a:ea typeface="宋体" charset="-122"/>
                <a:cs typeface="宋体" charset="-122"/>
              </a:rPr>
              <a:t>一般公共预算财政拨款支出决算结构</a:t>
            </a:r>
            <a:endParaRPr sz="1400" b="0" i="0" u="none" strike="noStrike" baseline="0">
              <a:solidFill>
                <a:srgbClr val="595959">
                  <a:alpha val="100000"/>
                </a:srgbClr>
              </a:solidFill>
              <a:latin typeface="宋体" charset="-122"/>
              <a:ea typeface="宋体" charset="-122"/>
              <a:cs typeface="宋体"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dPt>
          <c:dPt>
            <c:idx val="4"/>
            <c:bubble3D val="0"/>
            <c:explosion val="0"/>
          </c:dPt>
          <c:dPt>
            <c:idx val="5"/>
            <c:bubble3D val="0"/>
            <c:explosion val="0"/>
          </c:dPt>
          <c:dLbls>
            <c:dLbl>
              <c:idx val="0"/>
              <c:layout>
                <c:manualLayout>
                  <c:x val="0.0689059206954346"/>
                  <c:y val="0.0015424470705107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[柱状图0.xls]图6!$A$1:$F$1</c:f>
              <c:strCache>
                <c:ptCount val="6"/>
                <c:pt idx="0">
                  <c:v>一般公共服务支出</c:v>
                </c:pt>
                <c:pt idx="1">
                  <c:v>科学技术支出</c:v>
                </c:pt>
                <c:pt idx="2">
                  <c:v>社会保障和就业支出</c:v>
                </c:pt>
                <c:pt idx="3">
                  <c:v>卫生健康支出</c:v>
                </c:pt>
                <c:pt idx="4">
                  <c:v>资源勘探工业信息等支出</c:v>
                </c:pt>
                <c:pt idx="5">
                  <c:v>住房保障支出</c:v>
                </c:pt>
              </c:strCache>
            </c:strRef>
          </c:cat>
          <c:val>
            <c:numRef>
              <c:f>[柱状图0.xls]图6!$A$2:$F$2</c:f>
              <c:numCache>
                <c:formatCode>0.0%</c:formatCode>
                <c:ptCount val="6"/>
                <c:pt idx="0">
                  <c:v>0.002</c:v>
                </c:pt>
                <c:pt idx="1">
                  <c:v>0.561</c:v>
                </c:pt>
                <c:pt idx="2">
                  <c:v>0.184</c:v>
                </c:pt>
                <c:pt idx="3">
                  <c:v>0.032</c:v>
                </c:pt>
                <c:pt idx="4">
                  <c:v>0.182</c:v>
                </c:pt>
                <c:pt idx="5">
                  <c:v>0.039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5123b1b-bc37-422f-b348-7fb8c97e333a}"/>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400" b="0" i="0" u="none" strike="noStrike" baseline="0">
                <a:solidFill>
                  <a:srgbClr val="595959">
                    <a:alpha val="100000"/>
                  </a:srgbClr>
                </a:solidFill>
                <a:latin typeface="宋体" charset="-122"/>
                <a:ea typeface="宋体" charset="-122"/>
                <a:cs typeface="宋体" charset="-122"/>
              </a:rPr>
              <a:t>财政拨款“三公”经费支出结构</a:t>
            </a:r>
            <a:endParaRPr sz="1400" b="0" i="0" u="none" strike="noStrike" baseline="0">
              <a:solidFill>
                <a:srgbClr val="595959">
                  <a:alpha val="100000"/>
                </a:srgbClr>
              </a:solidFill>
              <a:latin typeface="宋体" charset="-122"/>
              <a:ea typeface="宋体" charset="-122"/>
              <a:cs typeface="宋体"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bg1">
                  <a:lumMod val="65000"/>
                </a:schemeClr>
              </a:solidFill>
              <a:ln w="19050">
                <a:solidFill>
                  <a:schemeClr val="lt1"/>
                </a:solidFill>
              </a:ln>
              <a:effectLst/>
            </c:spPr>
          </c:dPt>
          <c:dPt>
            <c:idx val="1"/>
            <c:bubble3D val="0"/>
            <c:explosion val="0"/>
          </c:dPt>
          <c:dPt>
            <c:idx val="2"/>
            <c:bubble3D val="0"/>
            <c:spPr>
              <a:solidFill>
                <a:schemeClr val="accent1"/>
              </a:solidFill>
            </c:spPr>
          </c:dPt>
          <c:dLbls>
            <c:dLbl>
              <c:idx val="0"/>
              <c:layout>
                <c:manualLayout>
                  <c:x val="-0.0011423884833094"/>
                  <c:y val="0.0053009035976969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[柱状图0.xls]图7!$A$1:$C$1</c:f>
              <c:strCache>
                <c:ptCount val="3"/>
                <c:pt idx="0">
                  <c:v>因公出国（境）费支出</c:v>
                </c:pt>
                <c:pt idx="1">
                  <c:v>公务用车购置及运行维护费</c:v>
                </c:pt>
                <c:pt idx="2">
                  <c:v>公务接待费</c:v>
                </c:pt>
              </c:strCache>
            </c:strRef>
          </c:cat>
          <c:val>
            <c:numRef>
              <c:f>[柱状图0.xls]图7!$A$2:$C$2</c:f>
              <c:numCache>
                <c:formatCode>0%</c:formatCode>
                <c:ptCount val="3"/>
                <c:pt idx="0">
                  <c:v>0</c:v>
                </c:pt>
                <c:pt idx="1" c:formatCode="0.0%">
                  <c:v>0.638</c:v>
                </c:pt>
                <c:pt idx="2" c:formatCode="0.0%">
                  <c:v>0.362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e4ae925-7198-4e5e-9f6e-23e7ac1dcab6}"/>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1299</Words>
  <Characters>7410</Characters>
  <Lines>61</Lines>
  <Paragraphs>17</Paragraphs>
  <TotalTime>0</TotalTime>
  <ScaleCrop>false</ScaleCrop>
  <LinksUpToDate>false</LinksUpToDate>
  <CharactersWithSpaces>8692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2020-08-12T09:49:00Z</dcterms:created>
  <dc:creator>曹颖</dc:creator>
  <cp:lastModifiedBy>user</cp:lastModifiedBy>
  <cp:lastPrinted>2026-08-07T01:27:00Z</cp:lastPrinted>
  <dcterms:modified xsi:type="dcterms:W3CDTF">2026-09-14T08:01:00Z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400D301575C74348A5277D00A7902E06</vt:lpwstr>
  </property>
</Properties>
</file>