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rPr>
          <w:rFonts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  <w:t>攀枝花市支持人工智能产业高质量发展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rPr>
          <w:rFonts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  <w:t>十条措施（试行）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（征求意见稿）</w:t>
      </w:r>
    </w:p>
    <w:p>
      <w:pPr>
        <w:pStyle w:val="7"/>
        <w:rPr>
          <w:rFonts w:hint="eastAsia"/>
          <w:lang w:eastAsia="zh-CN"/>
        </w:rPr>
      </w:pPr>
    </w:p>
    <w:p>
      <w:pPr>
        <w:pStyle w:val="2"/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为大力推进人工智能产业建圈强链，加快构建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-SA"/>
        </w:rPr>
        <w:t>我市人工智能产业生态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体系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-SA"/>
        </w:rPr>
        <w:t>，推动人工智能产业高质量发展，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结合我市实际，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-SA"/>
        </w:rPr>
        <w:t>制定如下政策。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2" w:firstLineChars="200"/>
        <w:jc w:val="both"/>
        <w:textAlignment w:val="auto"/>
        <w:rPr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支持招大引强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育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优。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对实际投资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亿元（含）以上且在签约一年内开工建设的人工智能产业项目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（包括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智能芯片、核心算法、核心部件、基础软件和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具身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机器人、智能无人机、智能网联汽车、数据标注等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，按不超过实际完成固定资产投资额（不含土地购置费）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%的比例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给予最高不超过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的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一次性后补助。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（责任单位：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市发展改革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委（市数据局），市经济和信息化局、市科技局、市财政局、各县（区）人民政府、国家钒钛高新区管委会）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2.给予绿电供给支持。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采用绿电直连等方式，推动算力项目提升绿色电力消费占比，促进算电融合高效协同。根据算力项目建设规模和时序进度，分批分期配置新能源资源，原则上单个项目配置规模不超过30万千瓦。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责任单位：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市发展改革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委，市经济和信息化局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各县（区）人民政府、国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家钒钛高新区管委会）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3.提升算力</w:t>
      </w: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公共服务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效能</w:t>
      </w: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鼓励企业、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科研机构和行业协会等建设运营算力中心、智算中心等算力公共服务平台。对已产生实际服务收入的平台，经评审择优，按不超过平台年度服务性收入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%的比例，给予最高不超过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00万元的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一次性后补助。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降低算力使用成本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对符合条件的算力购买企业，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以发放“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创新券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”的方式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给予补助。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责任单位：市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发展改革委、市科技局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，市财政局、各县（区）人民政府、国家钒钛高新区管委会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4.支持数据资源开发利用。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鼓励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企事业单位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牵头建设符合国家相关标准要求的高质量数据集，对获得国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家级或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资金支持的高质量数据集、人工智能语料库、数据标注公共服务平台、数据集管理服务平台、数据训练场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5类项目，单个项目按照不超过核定总投资的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-SA"/>
        </w:rPr>
        <w:t>15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%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给予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地方配套支持，最高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-SA"/>
        </w:rPr>
        <w:t>不超过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-SA"/>
        </w:rPr>
        <w:t>50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-SA"/>
        </w:rPr>
        <w:t>万元。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-SA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责任单位：市发展改革委（市数据局）、市经济和信息化局、市科技局，市财政局、各县（区）人民政府、国家钒钛高新区管委会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="Microsoft YaHei" w:hAnsi="Microsoft YaHei" w:eastAsia="Microsoft YaHei" w:cs="Microsoft YaHei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5.支持人工智能赋能新型工业化行动。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对被列为省级智改数转覆盖目标的规上工业企业，验收通过后给予3万元一次性补贴；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鼓励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搭建中小企业智能化改造数字化转型赋能平台，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根据其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服务成效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，经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评审择优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给予不高于100万元的一次性补贴；对首次认定为先进级、卓越级和领航级智能工厂的企业分别给予10万元、20万元、30万元一次性奖补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对入选国家5G工厂、万兆工厂的企业给予20万元一次性奖补。（责任单位：市经济和信息化局，市财政局、各县（区）人民政府、国家钒钛高新区管委会）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6.支持科技创新和示范应用。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以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“揭榜挂帅”、竞争性立项、定向委托等方式组织开展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人工智能领域科技创新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，单个项目最高支持100万元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。对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资源利用、工业制造、医疗康养、特色农业、文化旅游、政务服务、防灾减灾等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重点领域被评选为省级及以上典型应用示范标杆场景的，每个给予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10万元一次性奖励。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-SA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责任单位：市科技局，市财政局、各县（区）人民政府、国家钒钛高新区管委会</w:t>
      </w:r>
      <w:r>
        <w:rPr>
          <w:rFonts w:ascii="Times New Roman" w:hAnsi="Times New Roman" w:eastAsia="方正仿宋_GBK" w:cs="Times New Roman"/>
          <w:sz w:val="32"/>
          <w:szCs w:val="32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highlight w:val="yellow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7.降低大模型应用成本。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对通过国、省人工智能登记备案的大模型，依据该模型技术评测（或相应评估）情况以及模型评测相关费用等情况，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以发放“模型券”的方式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给予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牵头单位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最高50万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支持。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（责任单位：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市发展改革委（市数据局）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lang w:bidi="ar-SA"/>
        </w:rPr>
        <w:t>市经济和信息化局、市科技局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bidi="ar-SA"/>
        </w:rPr>
        <w:t>市财政局、各县（区）人民政府、国家钒钛高新区管委会）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ind w:firstLine="642" w:firstLineChars="200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8.</w:t>
      </w: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支持数据流通开发利用。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深化国家数据基础设施先行先试，鼓励企事业单位开展数据流通利用技术研发、基础设施建设及跨主体、跨地域、跨行业场景落地。对落地建设的市级及以上数据流通利用基础设施示范项目，按不超过实际完成固定资产投资额（不含土地购置费）3%的比例给予一次性后补助，最高不超过100万元；对打造的跨域跨行业数据流通利用示范场景，经评审认定为省级、国家级标杆的，分别给予50万元、100万元一次性奖补；优先推荐符合条件的项目申报中央、省预算内投资、超长期特别国债、地方政府专项债券，对成功获中央、省预算内资金、超长期国债的项目，按上级补助资金的5%给予地方配套奖励（最高不超过50万元）；对开展数据流通利用技术探索的企事业单位，在算力支撑、数据资源对接、政策申报辅导等方面提供支持。（责任单位：市发展改革委（市数据局），市经济和信息化局、市财政局、各县（区）人民政府、国家钒钛高新区管委会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9.支持建设人工智能学院。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建设人工智能学院和人工智能产教融合平台，支持建设省级以上高技能人才培训基地、技能大师工作室等技能人才培养平台，加强技能人才培养。制定促进产教融合的政策措施，统筹用好各类政策资金，对参与产教融合的企业、院校和有关单位按国家规定给予通报表扬或政策激励。积极搭建平台，建立政府、企业、院校常态化对接工作机制，统筹各方资源、服务各方需求，实现多方共赢。（责任单位：市教育和体育局，市发展改革委、市经济和信息化局、市财政局、市人力资源社会保障局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yellow"/>
          <w:lang w:val="e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.营造高质量发展氛围。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对制造业数智化转型、“人工智能+制造”等领域行业级、市级及以上相关赛事、生态大会等活动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承办地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，按照不超过活动实际费用的30%，依法依规给予最高50万元奖补。（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责任单位：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市经济和信息化局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市科技局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，市财政局、各县（区）人民政府、国家钒钛高新区管委会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</w:p>
    <w:p>
      <w:p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本措施自印发之日起施行，有效期2年，牵头单位</w:t>
      </w: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会同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市</w:t>
      </w: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财政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局等</w:t>
      </w:r>
      <w:r>
        <w:rPr>
          <w:rFonts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制定具体实施细则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，在政策实施期间如可同时享受本地区其他同类奖补时，遵循“就高不重复”原则。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1F91D13"/>
    <w:rsid w:val="0EFD1335"/>
    <w:rsid w:val="17974695"/>
    <w:rsid w:val="1C5D5A83"/>
    <w:rsid w:val="1F6B6915"/>
    <w:rsid w:val="2D115651"/>
    <w:rsid w:val="2D96AB4F"/>
    <w:rsid w:val="2FE93B36"/>
    <w:rsid w:val="36DDAE03"/>
    <w:rsid w:val="3F5B24DA"/>
    <w:rsid w:val="3FBCA41F"/>
    <w:rsid w:val="4B5C8B7F"/>
    <w:rsid w:val="4EA8CB7F"/>
    <w:rsid w:val="4FB5C56A"/>
    <w:rsid w:val="5BFBAC12"/>
    <w:rsid w:val="5D25BB8F"/>
    <w:rsid w:val="5FDFC3B1"/>
    <w:rsid w:val="61BD9467"/>
    <w:rsid w:val="637B4171"/>
    <w:rsid w:val="650065D0"/>
    <w:rsid w:val="66EFAB33"/>
    <w:rsid w:val="67D98DE0"/>
    <w:rsid w:val="67FFBBB4"/>
    <w:rsid w:val="6FFE040F"/>
    <w:rsid w:val="733FA76E"/>
    <w:rsid w:val="73BF467B"/>
    <w:rsid w:val="75DD3495"/>
    <w:rsid w:val="76D14979"/>
    <w:rsid w:val="777398EF"/>
    <w:rsid w:val="77FF7571"/>
    <w:rsid w:val="7BBA8CCD"/>
    <w:rsid w:val="7BBF7EAA"/>
    <w:rsid w:val="7BE9A841"/>
    <w:rsid w:val="7CE6664D"/>
    <w:rsid w:val="7D3E06CE"/>
    <w:rsid w:val="7DFBBA4B"/>
    <w:rsid w:val="7DFFE868"/>
    <w:rsid w:val="7E3B65D9"/>
    <w:rsid w:val="7EF27039"/>
    <w:rsid w:val="7EF782E2"/>
    <w:rsid w:val="7F6DBC10"/>
    <w:rsid w:val="7FCF7C66"/>
    <w:rsid w:val="7FDF6B66"/>
    <w:rsid w:val="7FFC3FA8"/>
    <w:rsid w:val="8FBFB2FC"/>
    <w:rsid w:val="8FFEE705"/>
    <w:rsid w:val="976D748F"/>
    <w:rsid w:val="9A0F768A"/>
    <w:rsid w:val="9CF34C4B"/>
    <w:rsid w:val="9E23DB06"/>
    <w:rsid w:val="9E8F9400"/>
    <w:rsid w:val="9F7F7189"/>
    <w:rsid w:val="A4FF6405"/>
    <w:rsid w:val="B5A96291"/>
    <w:rsid w:val="BDBFD1AE"/>
    <w:rsid w:val="BFD772B9"/>
    <w:rsid w:val="BFF2D7CF"/>
    <w:rsid w:val="CFDF6EC2"/>
    <w:rsid w:val="D7CD623B"/>
    <w:rsid w:val="D7ED6352"/>
    <w:rsid w:val="D7EF617A"/>
    <w:rsid w:val="DBFF81DC"/>
    <w:rsid w:val="DDEDF617"/>
    <w:rsid w:val="DEED0356"/>
    <w:rsid w:val="DF75975F"/>
    <w:rsid w:val="DFDF7A2A"/>
    <w:rsid w:val="DFEFCA3E"/>
    <w:rsid w:val="DFF2C2FB"/>
    <w:rsid w:val="E36ACCFB"/>
    <w:rsid w:val="EB7B38B5"/>
    <w:rsid w:val="EBFF2C2B"/>
    <w:rsid w:val="EF7FBB22"/>
    <w:rsid w:val="EFDF5512"/>
    <w:rsid w:val="F0DEE685"/>
    <w:rsid w:val="F3BDFC93"/>
    <w:rsid w:val="F3EFF629"/>
    <w:rsid w:val="F5FF3758"/>
    <w:rsid w:val="F7EFCE0B"/>
    <w:rsid w:val="F7FC6554"/>
    <w:rsid w:val="FB3A0A2B"/>
    <w:rsid w:val="FCA2A11A"/>
    <w:rsid w:val="FDFFF1C1"/>
    <w:rsid w:val="FEDF5245"/>
    <w:rsid w:val="FF4B7358"/>
    <w:rsid w:val="FF7F7A51"/>
    <w:rsid w:val="FFBF628A"/>
    <w:rsid w:val="FFD71AF2"/>
    <w:rsid w:val="FFDF1513"/>
    <w:rsid w:val="FFDF8EAA"/>
    <w:rsid w:val="FFFF4023"/>
    <w:rsid w:val="FFFFE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70"/>
      <w:jc w:val="both"/>
    </w:pPr>
    <w:rPr>
      <w:rFonts w:ascii="宋体"/>
      <w:kern w:val="2"/>
      <w:sz w:val="28"/>
      <w:lang w:val="en-US" w:eastAsia="zh-CN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方正兰亭黑_GBK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table of authorities"/>
    <w:basedOn w:val="1"/>
    <w:next w:val="1"/>
    <w:qFormat/>
    <w:uiPriority w:val="0"/>
    <w:pPr>
      <w:ind w:left="200" w:leftChars="200"/>
    </w:pPr>
  </w:style>
  <w:style w:type="paragraph" w:styleId="8">
    <w:name w:val="annotation text"/>
    <w:basedOn w:val="1"/>
    <w:qFormat/>
    <w:uiPriority w:val="0"/>
    <w:pPr>
      <w:widowControl w:val="0"/>
      <w:jc w:val="left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0</Words>
  <Characters>1536</Characters>
  <Lines>0</Lines>
  <Paragraphs>25</Paragraphs>
  <TotalTime>1</TotalTime>
  <ScaleCrop>false</ScaleCrop>
  <LinksUpToDate>false</LinksUpToDate>
  <CharactersWithSpaces>2049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2025-10-07T01:09:00Z</dcterms:created>
  <dc:creator>asus</dc:creator>
  <cp:lastModifiedBy>user</cp:lastModifiedBy>
  <cp:lastPrinted>2026-03-17T00:22:00Z</cp:lastPrinted>
  <dcterms:modified xsi:type="dcterms:W3CDTF">2026-03-17T15:59:51Z</dcterms:modified>
  <dc:title>攀枝花市支持人工智能产业高质量发展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235BF65765B84CD9847A5FD1C03616B9</vt:lpwstr>
  </property>
</Properties>
</file>