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2C157">
      <w:pPr>
        <w:spacing w:line="600" w:lineRule="exact"/>
        <w:jc w:val="center"/>
        <w:outlineLvl w:val="0"/>
        <w:rPr>
          <w:rFonts w:ascii="方正小标宋简体" w:hAnsi="宋体" w:eastAsia="方正小标宋简体"/>
          <w:sz w:val="72"/>
          <w:szCs w:val="72"/>
        </w:rPr>
      </w:pPr>
      <w:bookmarkStart w:id="0" w:name="_Toc15378441"/>
      <w:bookmarkStart w:id="1" w:name="_Toc15396597"/>
      <w:bookmarkStart w:id="2" w:name="_Toc15396475"/>
      <w:bookmarkStart w:id="3" w:name="_Toc15377193"/>
      <w:bookmarkStart w:id="4" w:name="_Toc15377425"/>
      <w:bookmarkStart w:id="5" w:name="_Toc15306267"/>
    </w:p>
    <w:p w14:paraId="782762EE">
      <w:pPr>
        <w:spacing w:line="600" w:lineRule="exact"/>
        <w:jc w:val="center"/>
        <w:outlineLvl w:val="0"/>
        <w:rPr>
          <w:rFonts w:ascii="方正小标宋简体" w:hAnsi="宋体" w:eastAsia="方正小标宋简体"/>
          <w:sz w:val="72"/>
          <w:szCs w:val="72"/>
        </w:rPr>
      </w:pPr>
    </w:p>
    <w:p w14:paraId="69A0D1AB">
      <w:pPr>
        <w:spacing w:line="600" w:lineRule="exact"/>
        <w:jc w:val="center"/>
        <w:outlineLvl w:val="0"/>
        <w:rPr>
          <w:rFonts w:ascii="方正小标宋简体" w:hAnsi="宋体" w:eastAsia="方正小标宋简体"/>
          <w:sz w:val="72"/>
          <w:szCs w:val="72"/>
        </w:rPr>
      </w:pPr>
    </w:p>
    <w:p w14:paraId="0623179B">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bookmarkEnd w:id="5"/>
    <w:p w14:paraId="26530DE6">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06268"/>
      <w:bookmarkStart w:id="8" w:name="_Toc15377194"/>
      <w:bookmarkStart w:id="9" w:name="_Toc15396598"/>
      <w:bookmarkStart w:id="10" w:name="_Toc15377426"/>
      <w:bookmarkStart w:id="11" w:name="_Toc15378442"/>
      <w:r>
        <w:rPr>
          <w:rFonts w:hint="eastAsia" w:ascii="方正小标宋简体" w:hAnsi="方正小标宋简体" w:eastAsia="方正小标宋简体" w:cs="方正小标宋简体"/>
          <w:sz w:val="72"/>
          <w:szCs w:val="72"/>
          <w:lang w:eastAsia="zh-CN"/>
        </w:rPr>
        <w:t>攀枝花市科学技术局</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14:paraId="0DBC6662">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5ACC5F97">
      <w:pPr>
        <w:widowControl/>
        <w:jc w:val="center"/>
        <w:rPr>
          <w:rFonts w:ascii="黑体" w:hAnsi="黑体" w:eastAsia="黑体" w:cstheme="minorBidi"/>
          <w:sz w:val="28"/>
          <w:szCs w:val="28"/>
        </w:rPr>
      </w:pPr>
    </w:p>
    <w:p w14:paraId="5A434A71">
      <w:pPr>
        <w:pStyle w:val="14"/>
      </w:pPr>
      <w:r>
        <w:rPr>
          <w:rFonts w:hint="eastAsia"/>
        </w:rPr>
        <w:t>公开时间：2023年9月</w:t>
      </w:r>
      <w:r>
        <w:rPr>
          <w:rFonts w:hint="default"/>
          <w:lang w:val="en"/>
        </w:rPr>
        <w:t>14</w:t>
      </w:r>
      <w:r>
        <w:rPr>
          <w:rFonts w:hint="eastAsia"/>
        </w:rPr>
        <w:t>日</w:t>
      </w:r>
    </w:p>
    <w:p w14:paraId="420738B6"/>
    <w:p w14:paraId="31CABB8C">
      <w:pPr>
        <w:pStyle w:val="14"/>
        <w:adjustRightInd w:val="0"/>
        <w:snapToGrid w:val="0"/>
        <w:spacing w:before="0" w:line="440" w:lineRule="exact"/>
        <w:jc w:val="left"/>
        <w:rPr>
          <w:rFonts w:hint="default" w:cstheme="minorBidi"/>
          <w:sz w:val="24"/>
          <w:szCs w:val="24"/>
          <w:lang w:val="en"/>
        </w:rPr>
      </w:pPr>
      <w:r>
        <w:rPr>
          <w:rFonts w:hint="eastAsia"/>
          <w:sz w:val="24"/>
        </w:rPr>
        <w:t>第一部分</w:t>
      </w:r>
      <w:r>
        <w:rPr>
          <w:sz w:val="24"/>
        </w:rPr>
        <w:t xml:space="preserve"> </w:t>
      </w:r>
      <w:r>
        <w:rPr>
          <w:rFonts w:hint="eastAsia"/>
          <w:sz w:val="24"/>
        </w:rPr>
        <w:t>部门概况</w:t>
      </w:r>
      <w:r>
        <w:rPr>
          <w:rFonts w:cstheme="minorBidi"/>
          <w:sz w:val="24"/>
          <w:szCs w:val="24"/>
        </w:rPr>
        <w:tab/>
      </w:r>
      <w:r>
        <w:rPr>
          <w:rFonts w:hint="default" w:cstheme="minorBidi"/>
          <w:sz w:val="24"/>
          <w:szCs w:val="24"/>
          <w:lang w:val="en"/>
        </w:rPr>
        <w:t>4</w:t>
      </w:r>
    </w:p>
    <w:p w14:paraId="66F9D1CA">
      <w:pPr>
        <w:pStyle w:val="15"/>
        <w:adjustRightInd w:val="0"/>
        <w:snapToGrid w:val="0"/>
        <w:spacing w:line="440" w:lineRule="exact"/>
        <w:jc w:val="left"/>
        <w:rPr>
          <w:rFonts w:hint="default" w:ascii="仿宋" w:hAnsi="仿宋" w:eastAsia="仿宋"/>
          <w:sz w:val="24"/>
          <w:lang w:val="en"/>
        </w:rPr>
      </w:pPr>
      <w:r>
        <w:rPr>
          <w:rFonts w:hint="eastAsia"/>
          <w:sz w:val="24"/>
        </w:rPr>
        <w:t>一、部门职责</w:t>
      </w:r>
      <w:r>
        <w:rPr>
          <w:rFonts w:cstheme="minorBidi"/>
          <w:sz w:val="24"/>
        </w:rPr>
        <w:tab/>
      </w:r>
      <w:r>
        <w:rPr>
          <w:rFonts w:hint="default" w:cstheme="minorBidi"/>
          <w:sz w:val="24"/>
          <w:lang w:val="en"/>
        </w:rPr>
        <w:t>4</w:t>
      </w:r>
    </w:p>
    <w:p w14:paraId="3973E833">
      <w:pPr>
        <w:pStyle w:val="15"/>
        <w:adjustRightInd w:val="0"/>
        <w:snapToGrid w:val="0"/>
        <w:spacing w:line="440" w:lineRule="exact"/>
        <w:jc w:val="left"/>
        <w:rPr>
          <w:rFonts w:hint="default" w:ascii="仿宋" w:hAnsi="仿宋" w:eastAsia="仿宋" w:cstheme="minorBidi"/>
          <w:sz w:val="24"/>
          <w:lang w:val="en"/>
        </w:rPr>
      </w:pPr>
      <w:r>
        <w:rPr>
          <w:rFonts w:hint="eastAsia"/>
          <w:sz w:val="24"/>
        </w:rPr>
        <w:t>二、机构设置</w:t>
      </w:r>
      <w:r>
        <w:rPr>
          <w:rFonts w:cstheme="minorBidi"/>
          <w:sz w:val="24"/>
        </w:rPr>
        <w:tab/>
      </w:r>
      <w:r>
        <w:rPr>
          <w:rFonts w:hint="default" w:cstheme="minorBidi"/>
          <w:sz w:val="24"/>
          <w:lang w:val="en"/>
        </w:rPr>
        <w:t>6</w:t>
      </w:r>
    </w:p>
    <w:p w14:paraId="3789EEC4">
      <w:pPr>
        <w:pStyle w:val="15"/>
        <w:adjustRightInd w:val="0"/>
        <w:snapToGrid w:val="0"/>
        <w:spacing w:line="440" w:lineRule="exact"/>
        <w:jc w:val="left"/>
        <w:rPr>
          <w:rFonts w:hint="default"/>
          <w:sz w:val="24"/>
          <w:szCs w:val="24"/>
          <w:lang w:val="en"/>
        </w:rPr>
      </w:pPr>
      <w:r>
        <w:rPr>
          <w:rFonts w:hint="eastAsia"/>
          <w:sz w:val="24"/>
        </w:rPr>
        <w:t>第二部分 2022年度部门决算情况说明</w:t>
      </w:r>
      <w:r>
        <w:rPr>
          <w:rFonts w:cstheme="minorBidi"/>
          <w:sz w:val="24"/>
        </w:rPr>
        <w:tab/>
      </w:r>
      <w:r>
        <w:rPr>
          <w:rFonts w:hint="default" w:cstheme="minorBidi"/>
          <w:sz w:val="24"/>
          <w:lang w:val="en"/>
        </w:rPr>
        <w:t>8</w:t>
      </w:r>
    </w:p>
    <w:p w14:paraId="13FDC7F1">
      <w:pPr>
        <w:pStyle w:val="15"/>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rFonts w:cstheme="minorBidi"/>
          <w:sz w:val="24"/>
        </w:rPr>
        <w:tab/>
      </w:r>
      <w:r>
        <w:rPr>
          <w:rFonts w:hint="default" w:cstheme="minorBidi"/>
          <w:sz w:val="24"/>
          <w:lang w:val="en"/>
        </w:rPr>
        <w:t>8</w:t>
      </w:r>
    </w:p>
    <w:p w14:paraId="72825E40">
      <w:pPr>
        <w:pStyle w:val="15"/>
        <w:adjustRightInd w:val="0"/>
        <w:snapToGrid w:val="0"/>
        <w:spacing w:line="440" w:lineRule="exact"/>
        <w:jc w:val="left"/>
        <w:rPr>
          <w:rFonts w:ascii="仿宋" w:hAnsi="仿宋" w:eastAsia="仿宋" w:cstheme="minorBidi"/>
          <w:sz w:val="24"/>
        </w:rPr>
      </w:pPr>
      <w:r>
        <w:rPr>
          <w:rFonts w:hint="eastAsia"/>
          <w:sz w:val="24"/>
        </w:rPr>
        <w:t>二、收入决算情况说明</w:t>
      </w:r>
      <w:r>
        <w:rPr>
          <w:rFonts w:cstheme="minorBidi"/>
          <w:sz w:val="24"/>
        </w:rPr>
        <w:tab/>
      </w:r>
      <w:r>
        <w:rPr>
          <w:rFonts w:hint="default" w:cstheme="minorBidi"/>
          <w:sz w:val="24"/>
          <w:lang w:val="en"/>
        </w:rPr>
        <w:t>8</w:t>
      </w:r>
    </w:p>
    <w:p w14:paraId="5496E5D3">
      <w:pPr>
        <w:pStyle w:val="15"/>
        <w:adjustRightInd w:val="0"/>
        <w:snapToGrid w:val="0"/>
        <w:spacing w:line="440" w:lineRule="exact"/>
        <w:jc w:val="left"/>
        <w:rPr>
          <w:rFonts w:hint="default" w:ascii="仿宋" w:hAnsi="仿宋" w:eastAsia="仿宋" w:cstheme="minorBidi"/>
          <w:sz w:val="24"/>
          <w:lang w:val="en"/>
        </w:rPr>
      </w:pPr>
      <w:r>
        <w:rPr>
          <w:rFonts w:hint="eastAsia"/>
          <w:sz w:val="24"/>
        </w:rPr>
        <w:t>三、支出决算情况说明</w:t>
      </w:r>
      <w:r>
        <w:rPr>
          <w:rFonts w:cstheme="minorBidi"/>
          <w:sz w:val="24"/>
        </w:rPr>
        <w:tab/>
      </w:r>
      <w:r>
        <w:rPr>
          <w:rFonts w:hint="default" w:cstheme="minorBidi"/>
          <w:sz w:val="24"/>
          <w:lang w:val="en"/>
        </w:rPr>
        <w:t>9</w:t>
      </w:r>
    </w:p>
    <w:p w14:paraId="450A9393">
      <w:pPr>
        <w:pStyle w:val="15"/>
        <w:adjustRightInd w:val="0"/>
        <w:snapToGrid w:val="0"/>
        <w:spacing w:line="440" w:lineRule="exact"/>
        <w:jc w:val="left"/>
        <w:rPr>
          <w:rFonts w:hint="default" w:ascii="仿宋" w:hAnsi="仿宋" w:eastAsia="仿宋" w:cstheme="minorBidi"/>
          <w:sz w:val="24"/>
          <w:lang w:val="en"/>
        </w:rPr>
      </w:pPr>
      <w:r>
        <w:rPr>
          <w:rFonts w:hint="eastAsia"/>
          <w:sz w:val="24"/>
        </w:rPr>
        <w:t>四、财政拨款收入支出决算总体情况说明</w:t>
      </w:r>
      <w:r>
        <w:rPr>
          <w:rFonts w:cstheme="minorBidi"/>
          <w:sz w:val="24"/>
        </w:rPr>
        <w:tab/>
      </w:r>
      <w:r>
        <w:rPr>
          <w:rFonts w:hint="default" w:cstheme="minorBidi"/>
          <w:sz w:val="24"/>
          <w:lang w:val="en"/>
        </w:rPr>
        <w:t>10</w:t>
      </w:r>
    </w:p>
    <w:p w14:paraId="2A6594FA">
      <w:pPr>
        <w:pStyle w:val="15"/>
        <w:adjustRightInd w:val="0"/>
        <w:snapToGrid w:val="0"/>
        <w:spacing w:line="440" w:lineRule="exact"/>
        <w:jc w:val="left"/>
        <w:rPr>
          <w:rFonts w:hint="default" w:ascii="仿宋" w:hAnsi="仿宋" w:eastAsia="仿宋" w:cstheme="minorBidi"/>
          <w:sz w:val="24"/>
          <w:lang w:val="en"/>
        </w:rPr>
      </w:pPr>
      <w:r>
        <w:rPr>
          <w:rFonts w:hint="eastAsia"/>
          <w:sz w:val="24"/>
        </w:rPr>
        <w:t>五、一般公共预算财政拨款支出决算情况说明</w:t>
      </w:r>
      <w:r>
        <w:rPr>
          <w:rFonts w:cstheme="minorBidi"/>
          <w:sz w:val="24"/>
        </w:rPr>
        <w:tab/>
      </w:r>
      <w:r>
        <w:rPr>
          <w:rFonts w:hint="default" w:cstheme="minorBidi"/>
          <w:sz w:val="24"/>
          <w:lang w:val="en"/>
        </w:rPr>
        <w:t>10</w:t>
      </w:r>
    </w:p>
    <w:p w14:paraId="5D34FBFA">
      <w:pPr>
        <w:pStyle w:val="15"/>
        <w:adjustRightInd w:val="0"/>
        <w:snapToGrid w:val="0"/>
        <w:spacing w:line="440" w:lineRule="exact"/>
        <w:jc w:val="left"/>
        <w:rPr>
          <w:rFonts w:hint="default" w:ascii="仿宋" w:hAnsi="仿宋" w:eastAsia="仿宋" w:cstheme="minorBidi"/>
          <w:sz w:val="24"/>
          <w:lang w:val="en"/>
        </w:rPr>
      </w:pPr>
      <w:r>
        <w:rPr>
          <w:rFonts w:hint="eastAsia"/>
          <w:sz w:val="24"/>
        </w:rPr>
        <w:t>六、一般公共预算财政拨款基本支出决算情况说明</w:t>
      </w:r>
      <w:r>
        <w:rPr>
          <w:rFonts w:cstheme="minorBidi"/>
          <w:sz w:val="24"/>
        </w:rPr>
        <w:tab/>
      </w:r>
      <w:r>
        <w:rPr>
          <w:rFonts w:hint="default" w:cstheme="minorBidi"/>
          <w:sz w:val="24"/>
          <w:lang w:val="en"/>
        </w:rPr>
        <w:t>13</w:t>
      </w:r>
    </w:p>
    <w:p w14:paraId="1C53C024">
      <w:pPr>
        <w:pStyle w:val="15"/>
        <w:adjustRightInd w:val="0"/>
        <w:snapToGrid w:val="0"/>
        <w:spacing w:line="440" w:lineRule="exact"/>
        <w:jc w:val="left"/>
        <w:rPr>
          <w:rFonts w:hint="default" w:ascii="仿宋" w:hAnsi="仿宋" w:eastAsia="仿宋" w:cstheme="minorBidi"/>
          <w:sz w:val="24"/>
          <w:lang w:val="en"/>
        </w:rPr>
      </w:pPr>
      <w:r>
        <w:rPr>
          <w:rFonts w:hint="eastAsia"/>
          <w:sz w:val="24"/>
        </w:rPr>
        <w:t>七、财政拨款“三公”经费支出决算情况说明</w:t>
      </w:r>
      <w:r>
        <w:rPr>
          <w:rFonts w:cstheme="minorBidi"/>
          <w:sz w:val="24"/>
        </w:rPr>
        <w:tab/>
      </w:r>
      <w:r>
        <w:rPr>
          <w:rFonts w:hint="default" w:cstheme="minorBidi"/>
          <w:sz w:val="24"/>
          <w:lang w:val="en"/>
        </w:rPr>
        <w:t>14</w:t>
      </w:r>
    </w:p>
    <w:p w14:paraId="5A623D02">
      <w:pPr>
        <w:pStyle w:val="15"/>
        <w:adjustRightInd w:val="0"/>
        <w:snapToGrid w:val="0"/>
        <w:spacing w:line="440" w:lineRule="exact"/>
        <w:jc w:val="left"/>
        <w:rPr>
          <w:rFonts w:hint="default" w:ascii="仿宋" w:hAnsi="仿宋" w:eastAsia="仿宋" w:cstheme="minorBidi"/>
          <w:sz w:val="24"/>
          <w:lang w:val="en"/>
        </w:rPr>
      </w:pPr>
      <w:r>
        <w:rPr>
          <w:rFonts w:hint="eastAsia"/>
          <w:sz w:val="24"/>
        </w:rPr>
        <w:t>八、政府性基金预算支出决算情况说明</w:t>
      </w:r>
      <w:r>
        <w:rPr>
          <w:rFonts w:cstheme="minorBidi"/>
          <w:sz w:val="24"/>
        </w:rPr>
        <w:tab/>
      </w:r>
      <w:r>
        <w:rPr>
          <w:rFonts w:hint="default" w:cstheme="minorBidi"/>
          <w:sz w:val="24"/>
          <w:lang w:val="en"/>
        </w:rPr>
        <w:t>16</w:t>
      </w:r>
    </w:p>
    <w:p w14:paraId="23E92C94">
      <w:pPr>
        <w:pStyle w:val="15"/>
        <w:adjustRightInd w:val="0"/>
        <w:snapToGrid w:val="0"/>
        <w:spacing w:line="440" w:lineRule="exact"/>
        <w:ind w:leftChars="0"/>
        <w:jc w:val="left"/>
        <w:rPr>
          <w:rFonts w:hint="default" w:asciiTheme="minorEastAsia" w:hAnsiTheme="minorEastAsia" w:eastAsiaTheme="minorEastAsia" w:cstheme="minorEastAsia"/>
          <w:sz w:val="24"/>
          <w:lang w:val="en"/>
        </w:rPr>
      </w:pPr>
      <w:r>
        <w:rPr>
          <w:rFonts w:hint="eastAsia" w:asciiTheme="minorEastAsia" w:hAnsiTheme="minorEastAsia" w:eastAsiaTheme="minorEastAsia" w:cstheme="minorEastAsia"/>
          <w:sz w:val="24"/>
        </w:rPr>
        <w:t>九、国有资本经营预算支出决算情况说明</w:t>
      </w:r>
      <w:r>
        <w:rPr>
          <w:rFonts w:cstheme="minorBidi"/>
          <w:sz w:val="24"/>
        </w:rPr>
        <w:tab/>
      </w:r>
      <w:r>
        <w:rPr>
          <w:rFonts w:hint="default" w:cstheme="minorBidi"/>
          <w:sz w:val="24"/>
          <w:lang w:val="en"/>
        </w:rPr>
        <w:t>16</w:t>
      </w:r>
    </w:p>
    <w:p w14:paraId="41863838">
      <w:pPr>
        <w:pStyle w:val="14"/>
        <w:adjustRightInd w:val="0"/>
        <w:snapToGrid w:val="0"/>
        <w:spacing w:before="0" w:line="440" w:lineRule="exact"/>
        <w:ind w:left="0" w:leftChars="0" w:firstLine="420" w:firstLineChars="175"/>
        <w:jc w:val="left"/>
        <w:rPr>
          <w:rFonts w:hint="default" w:cstheme="minorBidi"/>
          <w:sz w:val="24"/>
          <w:szCs w:val="24"/>
          <w:lang w:val="en"/>
        </w:rPr>
      </w:pPr>
      <w:r>
        <w:rPr>
          <w:rStyle w:val="23"/>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cstheme="minorBidi"/>
          <w:sz w:val="24"/>
          <w:szCs w:val="24"/>
        </w:rPr>
        <w:tab/>
      </w:r>
      <w:r>
        <w:rPr>
          <w:rFonts w:hint="default" w:cstheme="minorBidi"/>
          <w:sz w:val="24"/>
          <w:szCs w:val="24"/>
          <w:lang w:val="en"/>
        </w:rPr>
        <w:t>16</w:t>
      </w:r>
    </w:p>
    <w:p w14:paraId="5C496DDB">
      <w:pPr>
        <w:pStyle w:val="14"/>
        <w:adjustRightInd w:val="0"/>
        <w:snapToGrid w:val="0"/>
        <w:spacing w:before="0" w:line="440" w:lineRule="exact"/>
        <w:jc w:val="left"/>
        <w:rPr>
          <w:rFonts w:hint="default" w:cstheme="minorBidi"/>
          <w:sz w:val="24"/>
          <w:szCs w:val="24"/>
          <w:lang w:val="en"/>
        </w:rPr>
      </w:pPr>
      <w:r>
        <w:rPr>
          <w:rFonts w:hint="eastAsia"/>
          <w:sz w:val="24"/>
        </w:rPr>
        <w:t>第三部分</w:t>
      </w:r>
      <w:r>
        <w:rPr>
          <w:sz w:val="24"/>
        </w:rPr>
        <w:t xml:space="preserve"> </w:t>
      </w:r>
      <w:r>
        <w:rPr>
          <w:rFonts w:hint="eastAsia"/>
          <w:sz w:val="24"/>
        </w:rPr>
        <w:t>名词解释</w:t>
      </w:r>
      <w:r>
        <w:rPr>
          <w:rFonts w:cstheme="minorBidi"/>
          <w:sz w:val="24"/>
          <w:szCs w:val="24"/>
        </w:rPr>
        <w:tab/>
      </w:r>
      <w:r>
        <w:rPr>
          <w:rFonts w:hint="default" w:cstheme="minorBidi"/>
          <w:sz w:val="24"/>
          <w:szCs w:val="24"/>
          <w:lang w:val="en"/>
        </w:rPr>
        <w:t>19</w:t>
      </w:r>
    </w:p>
    <w:p w14:paraId="15EEF6CF">
      <w:pPr>
        <w:pStyle w:val="14"/>
        <w:adjustRightInd w:val="0"/>
        <w:snapToGrid w:val="0"/>
        <w:spacing w:before="0" w:line="440" w:lineRule="exact"/>
        <w:jc w:val="left"/>
        <w:rPr>
          <w:rFonts w:hint="default" w:cstheme="minorBidi"/>
          <w:sz w:val="24"/>
          <w:szCs w:val="24"/>
          <w:lang w:val="en"/>
        </w:rPr>
      </w:pPr>
      <w:r>
        <w:rPr>
          <w:rFonts w:hint="eastAsia"/>
          <w:sz w:val="24"/>
        </w:rPr>
        <w:t>第四部分</w:t>
      </w:r>
      <w:r>
        <w:rPr>
          <w:sz w:val="24"/>
        </w:rPr>
        <w:t xml:space="preserve"> </w:t>
      </w:r>
      <w:r>
        <w:rPr>
          <w:rFonts w:hint="eastAsia"/>
          <w:sz w:val="24"/>
        </w:rPr>
        <w:t>附件</w:t>
      </w:r>
      <w:r>
        <w:rPr>
          <w:rFonts w:cstheme="minorBidi"/>
          <w:sz w:val="24"/>
          <w:szCs w:val="24"/>
        </w:rPr>
        <w:tab/>
      </w:r>
      <w:r>
        <w:rPr>
          <w:rFonts w:hint="default" w:cstheme="minorBidi"/>
          <w:sz w:val="24"/>
          <w:szCs w:val="24"/>
          <w:lang w:val="en"/>
        </w:rPr>
        <w:t>22</w:t>
      </w:r>
    </w:p>
    <w:p w14:paraId="4185554B">
      <w:pPr>
        <w:pStyle w:val="14"/>
        <w:adjustRightInd w:val="0"/>
        <w:snapToGrid w:val="0"/>
        <w:spacing w:before="0" w:line="440" w:lineRule="exact"/>
        <w:jc w:val="left"/>
        <w:rPr>
          <w:rFonts w:hint="default" w:cstheme="minorBidi"/>
          <w:sz w:val="24"/>
          <w:szCs w:val="24"/>
          <w:lang w:val="en"/>
        </w:rPr>
      </w:pPr>
      <w:r>
        <w:rPr>
          <w:rFonts w:hint="eastAsia"/>
          <w:sz w:val="24"/>
        </w:rPr>
        <w:t>第五部分</w:t>
      </w:r>
      <w:r>
        <w:rPr>
          <w:sz w:val="24"/>
        </w:rPr>
        <w:t xml:space="preserve"> </w:t>
      </w:r>
      <w:r>
        <w:rPr>
          <w:rFonts w:hint="eastAsia"/>
          <w:sz w:val="24"/>
        </w:rPr>
        <w:t>附表</w:t>
      </w:r>
      <w:r>
        <w:rPr>
          <w:rFonts w:cstheme="minorBidi"/>
          <w:sz w:val="24"/>
          <w:szCs w:val="24"/>
        </w:rPr>
        <w:tab/>
      </w:r>
      <w:r>
        <w:rPr>
          <w:rFonts w:hint="default" w:cstheme="minorBidi"/>
          <w:sz w:val="24"/>
          <w:szCs w:val="24"/>
          <w:lang w:val="en"/>
        </w:rPr>
        <w:t>73</w:t>
      </w:r>
    </w:p>
    <w:p w14:paraId="2083FDE9">
      <w:pPr>
        <w:pStyle w:val="15"/>
        <w:adjustRightInd w:val="0"/>
        <w:snapToGrid w:val="0"/>
        <w:spacing w:line="440" w:lineRule="exact"/>
        <w:jc w:val="left"/>
        <w:rPr>
          <w:sz w:val="24"/>
        </w:rPr>
      </w:pPr>
      <w:r>
        <w:rPr>
          <w:rFonts w:hint="eastAsia"/>
          <w:sz w:val="24"/>
        </w:rPr>
        <w:t>一、收入支出决算总表</w:t>
      </w:r>
      <w:r>
        <w:rPr>
          <w:rFonts w:cstheme="minorBidi"/>
          <w:sz w:val="24"/>
          <w:szCs w:val="24"/>
        </w:rPr>
        <w:tab/>
      </w:r>
      <w:r>
        <w:rPr>
          <w:rFonts w:hint="default" w:cstheme="minorBidi"/>
          <w:sz w:val="24"/>
          <w:szCs w:val="24"/>
          <w:lang w:val="en"/>
        </w:rPr>
        <w:t>73</w:t>
      </w:r>
    </w:p>
    <w:p w14:paraId="7F0C8DF8">
      <w:pPr>
        <w:pStyle w:val="15"/>
        <w:adjustRightInd w:val="0"/>
        <w:snapToGrid w:val="0"/>
        <w:spacing w:line="440" w:lineRule="exact"/>
        <w:jc w:val="left"/>
        <w:rPr>
          <w:sz w:val="24"/>
        </w:rPr>
      </w:pPr>
      <w:r>
        <w:rPr>
          <w:rFonts w:hint="eastAsia"/>
          <w:sz w:val="24"/>
        </w:rPr>
        <w:t>二、收入决算表</w:t>
      </w:r>
      <w:r>
        <w:rPr>
          <w:rFonts w:cstheme="minorBidi"/>
          <w:sz w:val="24"/>
          <w:szCs w:val="24"/>
        </w:rPr>
        <w:tab/>
      </w:r>
      <w:r>
        <w:rPr>
          <w:rFonts w:hint="default" w:cstheme="minorBidi"/>
          <w:sz w:val="24"/>
          <w:szCs w:val="24"/>
          <w:lang w:val="en"/>
        </w:rPr>
        <w:t>73</w:t>
      </w:r>
    </w:p>
    <w:p w14:paraId="03605AAE">
      <w:pPr>
        <w:pStyle w:val="15"/>
        <w:adjustRightInd w:val="0"/>
        <w:snapToGrid w:val="0"/>
        <w:spacing w:line="440" w:lineRule="exact"/>
        <w:jc w:val="left"/>
        <w:rPr>
          <w:sz w:val="24"/>
        </w:rPr>
      </w:pPr>
      <w:r>
        <w:rPr>
          <w:rFonts w:hint="eastAsia"/>
          <w:sz w:val="24"/>
        </w:rPr>
        <w:t>三、支出决算表</w:t>
      </w:r>
      <w:r>
        <w:rPr>
          <w:rFonts w:cstheme="minorBidi"/>
          <w:sz w:val="24"/>
          <w:szCs w:val="24"/>
        </w:rPr>
        <w:tab/>
      </w:r>
      <w:r>
        <w:rPr>
          <w:rFonts w:hint="default" w:cstheme="minorBidi"/>
          <w:sz w:val="24"/>
          <w:szCs w:val="24"/>
          <w:lang w:val="en"/>
        </w:rPr>
        <w:t>73</w:t>
      </w:r>
    </w:p>
    <w:p w14:paraId="455FAE79">
      <w:pPr>
        <w:pStyle w:val="15"/>
        <w:adjustRightInd w:val="0"/>
        <w:snapToGrid w:val="0"/>
        <w:spacing w:line="440" w:lineRule="exact"/>
        <w:jc w:val="left"/>
        <w:rPr>
          <w:sz w:val="24"/>
        </w:rPr>
      </w:pPr>
      <w:r>
        <w:rPr>
          <w:rFonts w:hint="eastAsia"/>
          <w:sz w:val="24"/>
        </w:rPr>
        <w:t>四、财政拨款收入支出决算总表</w:t>
      </w:r>
      <w:r>
        <w:rPr>
          <w:rFonts w:cstheme="minorBidi"/>
          <w:sz w:val="24"/>
          <w:szCs w:val="24"/>
        </w:rPr>
        <w:tab/>
      </w:r>
      <w:r>
        <w:rPr>
          <w:rFonts w:hint="default" w:cstheme="minorBidi"/>
          <w:sz w:val="24"/>
          <w:szCs w:val="24"/>
          <w:lang w:val="en"/>
        </w:rPr>
        <w:t>73</w:t>
      </w:r>
    </w:p>
    <w:p w14:paraId="62DC13A2">
      <w:pPr>
        <w:pStyle w:val="15"/>
        <w:adjustRightInd w:val="0"/>
        <w:snapToGrid w:val="0"/>
        <w:spacing w:line="440" w:lineRule="exact"/>
        <w:jc w:val="left"/>
        <w:rPr>
          <w:sz w:val="24"/>
        </w:rPr>
      </w:pPr>
      <w:r>
        <w:rPr>
          <w:rFonts w:hint="eastAsia"/>
          <w:sz w:val="24"/>
        </w:rPr>
        <w:t>五、财政拨款支出决算明细表</w:t>
      </w:r>
      <w:r>
        <w:rPr>
          <w:rFonts w:cstheme="minorBidi"/>
          <w:sz w:val="24"/>
          <w:szCs w:val="24"/>
        </w:rPr>
        <w:tab/>
      </w:r>
      <w:r>
        <w:rPr>
          <w:rFonts w:hint="default" w:cstheme="minorBidi"/>
          <w:sz w:val="24"/>
          <w:szCs w:val="24"/>
          <w:lang w:val="en"/>
        </w:rPr>
        <w:t>73</w:t>
      </w:r>
    </w:p>
    <w:p w14:paraId="13ED994D">
      <w:pPr>
        <w:pStyle w:val="15"/>
        <w:adjustRightInd w:val="0"/>
        <w:snapToGrid w:val="0"/>
        <w:spacing w:line="440" w:lineRule="exact"/>
        <w:jc w:val="left"/>
        <w:rPr>
          <w:sz w:val="24"/>
        </w:rPr>
      </w:pPr>
      <w:r>
        <w:rPr>
          <w:rFonts w:hint="eastAsia"/>
          <w:sz w:val="24"/>
        </w:rPr>
        <w:t>六、一般公共预算财政拨款支出决算表</w:t>
      </w:r>
      <w:r>
        <w:rPr>
          <w:rFonts w:cstheme="minorBidi"/>
          <w:sz w:val="24"/>
          <w:szCs w:val="24"/>
        </w:rPr>
        <w:tab/>
      </w:r>
      <w:r>
        <w:rPr>
          <w:rFonts w:hint="default" w:cstheme="minorBidi"/>
          <w:sz w:val="24"/>
          <w:szCs w:val="24"/>
          <w:lang w:val="en"/>
        </w:rPr>
        <w:t>73</w:t>
      </w:r>
    </w:p>
    <w:p w14:paraId="01E9F9FF">
      <w:pPr>
        <w:pStyle w:val="15"/>
        <w:adjustRightInd w:val="0"/>
        <w:snapToGrid w:val="0"/>
        <w:spacing w:line="440" w:lineRule="exact"/>
        <w:jc w:val="left"/>
        <w:rPr>
          <w:sz w:val="24"/>
        </w:rPr>
      </w:pPr>
      <w:r>
        <w:rPr>
          <w:rFonts w:hint="eastAsia"/>
          <w:sz w:val="24"/>
        </w:rPr>
        <w:t>七、一般公共预算财政拨款支出决算明细表</w:t>
      </w:r>
      <w:r>
        <w:rPr>
          <w:rFonts w:cstheme="minorBidi"/>
          <w:sz w:val="24"/>
          <w:szCs w:val="24"/>
        </w:rPr>
        <w:tab/>
      </w:r>
      <w:r>
        <w:rPr>
          <w:rFonts w:hint="default" w:cstheme="minorBidi"/>
          <w:sz w:val="24"/>
          <w:szCs w:val="24"/>
          <w:lang w:val="en"/>
        </w:rPr>
        <w:t>73</w:t>
      </w:r>
    </w:p>
    <w:p w14:paraId="1806FBE2">
      <w:pPr>
        <w:pStyle w:val="15"/>
        <w:adjustRightInd w:val="0"/>
        <w:snapToGrid w:val="0"/>
        <w:spacing w:line="440" w:lineRule="exact"/>
        <w:jc w:val="left"/>
        <w:rPr>
          <w:sz w:val="24"/>
        </w:rPr>
      </w:pPr>
      <w:r>
        <w:rPr>
          <w:rFonts w:hint="eastAsia"/>
          <w:sz w:val="24"/>
        </w:rPr>
        <w:t>八、一般公共预算财政拨款基本支出决算明细表</w:t>
      </w:r>
      <w:r>
        <w:rPr>
          <w:rFonts w:cstheme="minorBidi"/>
          <w:sz w:val="24"/>
          <w:szCs w:val="24"/>
        </w:rPr>
        <w:tab/>
      </w:r>
      <w:r>
        <w:rPr>
          <w:rFonts w:hint="default" w:cstheme="minorBidi"/>
          <w:sz w:val="24"/>
          <w:szCs w:val="24"/>
          <w:lang w:val="en"/>
        </w:rPr>
        <w:t>73</w:t>
      </w:r>
    </w:p>
    <w:p w14:paraId="44CED81F">
      <w:pPr>
        <w:pStyle w:val="15"/>
        <w:adjustRightInd w:val="0"/>
        <w:snapToGrid w:val="0"/>
        <w:spacing w:line="440" w:lineRule="exact"/>
        <w:jc w:val="left"/>
        <w:rPr>
          <w:sz w:val="24"/>
        </w:rPr>
      </w:pPr>
      <w:r>
        <w:rPr>
          <w:rFonts w:hint="eastAsia"/>
          <w:sz w:val="24"/>
        </w:rPr>
        <w:t>九、一般公共预算财政拨款项目支出决算表</w:t>
      </w:r>
      <w:r>
        <w:rPr>
          <w:rFonts w:cstheme="minorBidi"/>
          <w:sz w:val="24"/>
          <w:szCs w:val="24"/>
        </w:rPr>
        <w:tab/>
      </w:r>
      <w:r>
        <w:rPr>
          <w:rFonts w:hint="default" w:cstheme="minorBidi"/>
          <w:sz w:val="24"/>
          <w:szCs w:val="24"/>
          <w:lang w:val="en"/>
        </w:rPr>
        <w:t>73</w:t>
      </w:r>
    </w:p>
    <w:p w14:paraId="6993EB53">
      <w:pPr>
        <w:pStyle w:val="15"/>
        <w:adjustRightInd w:val="0"/>
        <w:snapToGrid w:val="0"/>
        <w:spacing w:line="440" w:lineRule="exact"/>
        <w:jc w:val="left"/>
        <w:rPr>
          <w:sz w:val="24"/>
        </w:rPr>
      </w:pPr>
      <w:r>
        <w:rPr>
          <w:rFonts w:hint="eastAsia"/>
          <w:sz w:val="24"/>
        </w:rPr>
        <w:t>十、政府性基金预算财政拨款收入支出决算表</w:t>
      </w:r>
      <w:r>
        <w:rPr>
          <w:rFonts w:cstheme="minorBidi"/>
          <w:sz w:val="24"/>
          <w:szCs w:val="24"/>
        </w:rPr>
        <w:tab/>
      </w:r>
      <w:r>
        <w:rPr>
          <w:rFonts w:hint="default" w:cstheme="minorBidi"/>
          <w:sz w:val="24"/>
          <w:szCs w:val="24"/>
          <w:lang w:val="en"/>
        </w:rPr>
        <w:t>73</w:t>
      </w:r>
    </w:p>
    <w:p w14:paraId="280DC8BE">
      <w:pPr>
        <w:pStyle w:val="15"/>
        <w:adjustRightInd w:val="0"/>
        <w:snapToGrid w:val="0"/>
        <w:spacing w:line="440" w:lineRule="exact"/>
        <w:jc w:val="left"/>
        <w:rPr>
          <w:sz w:val="24"/>
        </w:rPr>
      </w:pPr>
      <w:r>
        <w:rPr>
          <w:rFonts w:hint="eastAsia"/>
          <w:sz w:val="24"/>
        </w:rPr>
        <w:t>十一、国有资本经营预算财政拨款收入支出决算表</w:t>
      </w:r>
      <w:r>
        <w:rPr>
          <w:rFonts w:cstheme="minorBidi"/>
          <w:sz w:val="24"/>
          <w:szCs w:val="24"/>
        </w:rPr>
        <w:tab/>
      </w:r>
      <w:r>
        <w:rPr>
          <w:rFonts w:hint="default" w:cstheme="minorBidi"/>
          <w:sz w:val="24"/>
          <w:szCs w:val="24"/>
          <w:lang w:val="en"/>
        </w:rPr>
        <w:t>73</w:t>
      </w:r>
    </w:p>
    <w:p w14:paraId="3427E132">
      <w:pPr>
        <w:pStyle w:val="15"/>
        <w:adjustRightInd w:val="0"/>
        <w:snapToGrid w:val="0"/>
        <w:spacing w:line="440" w:lineRule="exact"/>
        <w:jc w:val="left"/>
        <w:rPr>
          <w:sz w:val="24"/>
        </w:rPr>
      </w:pPr>
      <w:r>
        <w:rPr>
          <w:rFonts w:hint="eastAsia"/>
          <w:sz w:val="24"/>
        </w:rPr>
        <w:t>十二、国有资本经营预算财政拨款支出决算表</w:t>
      </w:r>
      <w:r>
        <w:rPr>
          <w:rFonts w:cstheme="minorBidi"/>
          <w:sz w:val="24"/>
          <w:szCs w:val="24"/>
        </w:rPr>
        <w:tab/>
      </w:r>
      <w:r>
        <w:rPr>
          <w:rFonts w:hint="default" w:cstheme="minorBidi"/>
          <w:sz w:val="24"/>
          <w:szCs w:val="24"/>
          <w:lang w:val="en"/>
        </w:rPr>
        <w:t>73</w:t>
      </w:r>
    </w:p>
    <w:p w14:paraId="4C712840">
      <w:pPr>
        <w:pStyle w:val="15"/>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r>
        <w:rPr>
          <w:rFonts w:cstheme="minorBidi"/>
          <w:sz w:val="24"/>
          <w:szCs w:val="24"/>
        </w:rPr>
        <w:tab/>
      </w:r>
      <w:r>
        <w:rPr>
          <w:rFonts w:hint="default" w:cstheme="minorBidi"/>
          <w:sz w:val="24"/>
          <w:szCs w:val="24"/>
          <w:lang w:val="en"/>
        </w:rPr>
        <w:t>73</w:t>
      </w:r>
    </w:p>
    <w:p w14:paraId="56A530B4">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149C12CC">
      <w:pPr>
        <w:pStyle w:val="4"/>
        <w:jc w:val="center"/>
        <w:rPr>
          <w:rStyle w:val="32"/>
          <w:rFonts w:ascii="黑体" w:hAnsi="黑体" w:eastAsia="黑体"/>
          <w:b/>
          <w:bCs w:val="0"/>
        </w:rPr>
      </w:pPr>
      <w:r>
        <w:rPr>
          <w:rFonts w:hint="eastAsia" w:ascii="黑体" w:hAnsi="黑体" w:eastAsia="黑体"/>
          <w:b w:val="0"/>
        </w:rPr>
        <w:t xml:space="preserve">第一部分 </w:t>
      </w:r>
      <w:r>
        <w:rPr>
          <w:rStyle w:val="32"/>
          <w:rFonts w:hint="eastAsia" w:ascii="黑体" w:hAnsi="黑体" w:eastAsia="黑体"/>
          <w:b w:val="0"/>
          <w:bCs w:val="0"/>
        </w:rPr>
        <w:t>部门概况</w:t>
      </w:r>
      <w:bookmarkEnd w:id="12"/>
      <w:bookmarkEnd w:id="13"/>
    </w:p>
    <w:p w14:paraId="0E21B4D3">
      <w:pPr>
        <w:widowControl/>
        <w:jc w:val="left"/>
        <w:rPr>
          <w:rFonts w:ascii="黑体" w:eastAsia="黑体"/>
          <w:sz w:val="32"/>
          <w:szCs w:val="32"/>
        </w:rPr>
      </w:pPr>
    </w:p>
    <w:p w14:paraId="286E713D">
      <w:pPr>
        <w:pStyle w:val="5"/>
        <w:numPr>
          <w:ilvl w:val="0"/>
          <w:numId w:val="1"/>
        </w:numPr>
        <w:rPr>
          <w:rFonts w:ascii="黑体" w:hAnsi="黑体" w:eastAsia="黑体"/>
          <w:b w:val="0"/>
        </w:rPr>
      </w:pPr>
      <w:r>
        <w:rPr>
          <w:rFonts w:hint="eastAsia" w:ascii="黑体" w:hAnsi="黑体" w:eastAsia="黑体"/>
          <w:b w:val="0"/>
        </w:rPr>
        <w:t>部门职责</w:t>
      </w:r>
    </w:p>
    <w:p w14:paraId="1CCC608F">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1.拟订全市创新驱动发展战略以及科技发展、引进国外智力规划和政策措施并组织实施。起草有关科技发展的政策措施并组织实施。 </w:t>
      </w:r>
    </w:p>
    <w:p w14:paraId="53E5B041">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2.统筹推进全市科技创新体系建设和科技体制改革，会同有关部门健全技术创新激励机制。优化科研体系建设，指导科研机构改革发展，推动企业科技创新能力建设，承担推进科技军民融合发展相关工作，推进全市重大科技决策咨询制度建设。组织拟订全市推进创新创业、促进科技金融结合、科技招商的政策措施并组织实施。 </w:t>
      </w:r>
    </w:p>
    <w:p w14:paraId="127A649D">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3.牵头建立全市科研项目资金协调、实施、评估、监管机制。会同有关部门提出优化配置科技资源的政策措施建议，推动多元化科技投入体系建设。组织拟订市级财政科技计划（专项、基金）并监督和实施。负责本部门预算中的科技经费预决算及经费使用的监督管理。 </w:t>
      </w:r>
    </w:p>
    <w:p w14:paraId="4F7D070D">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4.组织协调全市重大基础研究和应用基础研究。拟订科技创新基地建设规划并监督实施，参与编制重大科技基础设施建设规划和监督实施。牵头推进在攀的国家、省（部）重点实验室、技术创新中心等重大科研平台建设，推动科研条件保障建设和科技资源开放共享。 </w:t>
      </w:r>
    </w:p>
    <w:p w14:paraId="41A4ED92">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5.拟订推进攀西国家战略资源创新开发试验区建设发展的科技支撑计划并组织实施。编制全市重大科技专项方案并组织实施。统筹经济社会发展重要领域的关键共性技术、前沿引领技术、现代工程技术、颠覆性计划的研发和创新，牵头组织重大科技攻关和成果应用示范。组织开展重点领域技术发展需求分析，提出重大科技发展建议并组织实施。负责组织国家、省科学技术奖等科技评奖的申报、审核、推荐工作。 </w:t>
      </w:r>
    </w:p>
    <w:p w14:paraId="541803BE">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6.组织拟订高新技术发展及产业化的规划和政策措施并组织实施。指导高新技术企业、创新型企业申报和创新平台建设，负责市级创新平台认定管理工作。组织开展科技型中小企业评价的初审工作。 </w:t>
      </w:r>
    </w:p>
    <w:p w14:paraId="1F54C42E">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7.组织拟订科技促进农业农村和社会发展的规划、政策和措施，指导现代农业示范基地建设，推进科技服务民生工作。拟订科学普及和科学传播规划，政策措施并组织实施。 </w:t>
      </w:r>
    </w:p>
    <w:p w14:paraId="719AE62C">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8.牵头全市技术转移体系建设，拟订科技成果转移转化和促进产学研结合的相关政策措施并组织实施。指导科技服务业、技术市场和科技中介组织发展。 </w:t>
      </w:r>
    </w:p>
    <w:p w14:paraId="047ADE21">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9.统筹区域科技创新体系建设，指导区域创新发展、科技资源合理布局和协同创新能力建设，推动高新技术园区建设。 </w:t>
      </w:r>
    </w:p>
    <w:p w14:paraId="5DBCDE62">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10.会同有关部门拟订科技人才队伍建设规划和政策，建立健全科技人才评价和激励机制，组织实施科技人才计划，推动高端科技创新人才队伍建设。 </w:t>
      </w:r>
    </w:p>
    <w:p w14:paraId="7F049D97">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11.负责科技监督评价体系建设和相关科技评估管理，指导科技评价机制改革，统筹科研诚信建设。组织实施全市创新调查和科技报告制度，指导全市科技保密相关工作。 </w:t>
      </w:r>
    </w:p>
    <w:p w14:paraId="4E154B69">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12.拟订科技对外交流与创新能力开放合作的规划和政策措施，组织开展对外科技合作与科技人才交流。指导县（区）和相关部门对外科技合作与科技人才交流工作。负责有关科技博览展会参展推广的组织协调工作。 </w:t>
      </w:r>
    </w:p>
    <w:p w14:paraId="2E9BA727">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13.负责引进国外智力工作。拟订全市重点引进外国专家总体规划、计划并组织实施，建立外国顶尖专家、团队吸引集聚机制和重点外国专家联系服务机制。拟订出国（境）培训总体规划、政策和年度计划并监督实施。会同有关部门制定外国人来攀工作政策、办理相关外国人工作许可。 </w:t>
      </w:r>
    </w:p>
    <w:p w14:paraId="2CACD034">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14.负责职责范围内的安全生产和职业健康、生态环境保护、审批服务便民化等工作。 </w:t>
      </w:r>
    </w:p>
    <w:p w14:paraId="7820FA4F">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15.完成市委、市政府交办的其他任务。</w:t>
      </w:r>
    </w:p>
    <w:p w14:paraId="4F4B0AC8">
      <w:pPr>
        <w:pStyle w:val="5"/>
        <w:rPr>
          <w:rStyle w:val="33"/>
          <w:b w:val="0"/>
          <w:bCs w:val="0"/>
        </w:rPr>
      </w:pPr>
      <w:bookmarkStart w:id="14" w:name="_Toc15396601"/>
      <w:bookmarkStart w:id="15" w:name="_Toc15377200"/>
      <w:r>
        <w:rPr>
          <w:rFonts w:hint="eastAsia" w:ascii="黑体" w:eastAsia="黑体"/>
          <w:b w:val="0"/>
        </w:rPr>
        <w:t>二、</w:t>
      </w:r>
      <w:r>
        <w:rPr>
          <w:rFonts w:hint="eastAsia" w:ascii="黑体" w:hAnsi="黑体" w:eastAsia="黑体"/>
          <w:b w:val="0"/>
        </w:rPr>
        <w:t>机</w:t>
      </w:r>
      <w:r>
        <w:rPr>
          <w:rStyle w:val="33"/>
          <w:rFonts w:hint="eastAsia" w:ascii="黑体" w:hAnsi="黑体" w:eastAsia="黑体"/>
          <w:b w:val="0"/>
          <w:bCs w:val="0"/>
        </w:rPr>
        <w:t>构设置</w:t>
      </w:r>
      <w:bookmarkEnd w:id="14"/>
      <w:bookmarkEnd w:id="15"/>
    </w:p>
    <w:p w14:paraId="0743E034">
      <w:pPr>
        <w:ind w:firstLine="800" w:firstLineChars="250"/>
        <w:rPr>
          <w:rFonts w:ascii="仿宋" w:hAnsi="仿宋" w:eastAsia="仿宋"/>
          <w:sz w:val="32"/>
          <w:szCs w:val="32"/>
        </w:rPr>
      </w:pPr>
      <w:r>
        <w:rPr>
          <w:rFonts w:hint="eastAsia" w:ascii="仿宋" w:hAnsi="仿宋" w:eastAsia="仿宋"/>
          <w:sz w:val="32"/>
          <w:szCs w:val="32"/>
          <w:lang w:eastAsia="zh-CN"/>
        </w:rPr>
        <w:t>攀枝花市科学技术局</w:t>
      </w:r>
      <w:r>
        <w:rPr>
          <w:rFonts w:hint="eastAsia" w:ascii="仿宋" w:hAnsi="仿宋" w:eastAsia="仿宋"/>
          <w:sz w:val="32"/>
          <w:szCs w:val="32"/>
        </w:rPr>
        <w:t>下属二级预算单位</w:t>
      </w:r>
      <w:r>
        <w:rPr>
          <w:rFonts w:hint="eastAsia" w:ascii="仿宋" w:hAnsi="仿宋" w:eastAsia="仿宋"/>
          <w:sz w:val="32"/>
          <w:szCs w:val="32"/>
          <w:lang w:val="en-US" w:eastAsia="zh-CN"/>
        </w:rPr>
        <w:t>3</w:t>
      </w:r>
      <w:r>
        <w:rPr>
          <w:rFonts w:hint="eastAsia" w:ascii="仿宋" w:hAnsi="仿宋" w:eastAsia="仿宋"/>
          <w:sz w:val="32"/>
          <w:szCs w:val="32"/>
        </w:rPr>
        <w:t>个，其中行政单位</w:t>
      </w:r>
      <w:r>
        <w:rPr>
          <w:rFonts w:hint="eastAsia" w:ascii="仿宋" w:hAnsi="仿宋" w:eastAsia="仿宋"/>
          <w:sz w:val="32"/>
          <w:szCs w:val="32"/>
          <w:lang w:val="en-US" w:eastAsia="zh-CN"/>
        </w:rPr>
        <w:t>1</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3</w:t>
      </w:r>
      <w:r>
        <w:rPr>
          <w:rFonts w:hint="eastAsia" w:ascii="仿宋" w:hAnsi="仿宋" w:eastAsia="仿宋"/>
          <w:sz w:val="32"/>
          <w:szCs w:val="32"/>
        </w:rPr>
        <w:t>个。</w:t>
      </w:r>
    </w:p>
    <w:p w14:paraId="7A1BA7C2">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w:t>
      </w:r>
      <w:r>
        <w:rPr>
          <w:rFonts w:hint="eastAsia" w:ascii="仿宋" w:hAnsi="仿宋" w:eastAsia="仿宋"/>
          <w:sz w:val="32"/>
          <w:szCs w:val="32"/>
          <w:lang w:eastAsia="zh-CN"/>
        </w:rPr>
        <w:t>攀枝花市科学技术局</w:t>
      </w:r>
      <w:r>
        <w:rPr>
          <w:rFonts w:hint="eastAsia" w:ascii="仿宋" w:hAnsi="仿宋" w:eastAsia="仿宋"/>
          <w:sz w:val="32"/>
          <w:szCs w:val="32"/>
        </w:rPr>
        <w:t>2022年度部门决算编制范围的二级预算单位包括：</w:t>
      </w:r>
    </w:p>
    <w:p w14:paraId="31E3A2B7">
      <w:pPr>
        <w:pStyle w:val="2"/>
        <w:adjustRightInd w:val="0"/>
        <w:snapToGrid w:val="0"/>
        <w:spacing w:beforeLines="0" w:line="6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lang w:val="en-US" w:eastAsia="zh-CN"/>
        </w:rPr>
        <w:t>1</w:t>
      </w:r>
      <w:r>
        <w:rPr>
          <w:rFonts w:hint="eastAsia" w:ascii="仿宋" w:hAnsi="仿宋" w:eastAsia="仿宋"/>
          <w:kern w:val="2"/>
          <w:sz w:val="32"/>
          <w:szCs w:val="32"/>
        </w:rPr>
        <w:t>.攀枝花市生产力促进中心</w:t>
      </w:r>
    </w:p>
    <w:p w14:paraId="2C04DDFA">
      <w:pPr>
        <w:pStyle w:val="2"/>
        <w:adjustRightInd w:val="0"/>
        <w:snapToGrid w:val="0"/>
        <w:spacing w:beforeLines="0" w:line="6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2.攀枝花市科技发展战略研究所</w:t>
      </w:r>
    </w:p>
    <w:p w14:paraId="04F6F309">
      <w:pPr>
        <w:pStyle w:val="2"/>
        <w:adjustRightInd w:val="0"/>
        <w:snapToGrid w:val="0"/>
        <w:spacing w:beforeLines="0" w:line="6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3.攀枝花市科技基础条件平台服务中心</w:t>
      </w:r>
    </w:p>
    <w:p w14:paraId="44E76442">
      <w:pPr>
        <w:pStyle w:val="2"/>
        <w:adjustRightInd w:val="0"/>
        <w:snapToGrid w:val="0"/>
        <w:spacing w:beforeLines="0" w:line="600" w:lineRule="exact"/>
        <w:ind w:firstLine="640" w:firstLineChars="200"/>
        <w:outlineLvl w:val="2"/>
        <w:rPr>
          <w:rFonts w:hint="eastAsia" w:ascii="仿宋" w:hAnsi="仿宋" w:eastAsia="仿宋"/>
          <w:kern w:val="2"/>
          <w:sz w:val="32"/>
          <w:szCs w:val="32"/>
          <w:lang w:val="en-US" w:eastAsia="zh-CN"/>
        </w:rPr>
      </w:pPr>
      <w:bookmarkStart w:id="16" w:name="_Toc15378449"/>
      <w:bookmarkStart w:id="17" w:name="_Toc15377433"/>
      <w:bookmarkStart w:id="18" w:name="_Toc15377202"/>
      <w:bookmarkStart w:id="19" w:name="_Toc15306276"/>
      <w:r>
        <w:rPr>
          <w:rFonts w:hint="eastAsia" w:ascii="仿宋" w:hAnsi="仿宋" w:eastAsia="仿宋"/>
          <w:kern w:val="2"/>
          <w:sz w:val="32"/>
          <w:szCs w:val="32"/>
          <w:lang w:val="en-US" w:eastAsia="zh-CN"/>
        </w:rPr>
        <w:t>4</w:t>
      </w:r>
      <w:r>
        <w:rPr>
          <w:rFonts w:hint="eastAsia" w:ascii="仿宋" w:hAnsi="仿宋" w:eastAsia="仿宋"/>
          <w:kern w:val="2"/>
          <w:sz w:val="32"/>
          <w:szCs w:val="32"/>
        </w:rPr>
        <w:t>.攀枝花市决策咨询服务中心</w:t>
      </w:r>
      <w:bookmarkEnd w:id="16"/>
      <w:bookmarkEnd w:id="17"/>
      <w:bookmarkEnd w:id="18"/>
      <w:bookmarkEnd w:id="19"/>
      <w:r>
        <w:rPr>
          <w:rFonts w:hint="eastAsia" w:ascii="仿宋" w:hAnsi="仿宋" w:eastAsia="仿宋"/>
          <w:kern w:val="2"/>
          <w:sz w:val="32"/>
          <w:szCs w:val="32"/>
          <w:lang w:eastAsia="zh-CN"/>
        </w:rPr>
        <w:t>（</w:t>
      </w:r>
      <w:r>
        <w:rPr>
          <w:rFonts w:hint="eastAsia" w:ascii="仿宋" w:hAnsi="仿宋" w:eastAsia="仿宋" w:cs="Times New Roman"/>
          <w:kern w:val="2"/>
          <w:sz w:val="32"/>
          <w:szCs w:val="32"/>
          <w:lang w:val="en-US" w:eastAsia="zh-CN" w:bidi="ar-SA"/>
        </w:rPr>
        <w:t>隶属关系已调整为市政府办公室管理</w:t>
      </w:r>
      <w:r>
        <w:rPr>
          <w:rFonts w:hint="eastAsia" w:ascii="仿宋" w:hAnsi="仿宋" w:eastAsia="仿宋"/>
          <w:kern w:val="2"/>
          <w:sz w:val="32"/>
          <w:szCs w:val="32"/>
          <w:lang w:eastAsia="zh-CN"/>
        </w:rPr>
        <w:t>）</w:t>
      </w:r>
    </w:p>
    <w:p w14:paraId="5A33D700">
      <w:pPr>
        <w:widowControl/>
        <w:jc w:val="left"/>
        <w:rPr>
          <w:rFonts w:ascii="仿宋" w:hAnsi="仿宋" w:eastAsia="仿宋"/>
          <w:kern w:val="0"/>
          <w:sz w:val="32"/>
          <w:szCs w:val="32"/>
        </w:rPr>
      </w:pPr>
      <w:r>
        <w:rPr>
          <w:rFonts w:ascii="仿宋" w:hAnsi="仿宋" w:eastAsia="仿宋"/>
          <w:sz w:val="32"/>
          <w:szCs w:val="32"/>
        </w:rPr>
        <w:br w:type="page"/>
      </w:r>
    </w:p>
    <w:p w14:paraId="77DE0C77">
      <w:pPr>
        <w:pStyle w:val="4"/>
        <w:ind w:right="440"/>
        <w:jc w:val="center"/>
        <w:rPr>
          <w:rStyle w:val="32"/>
          <w:rFonts w:ascii="黑体" w:hAnsi="黑体" w:eastAsia="黑体"/>
          <w:b w:val="0"/>
          <w:bCs/>
        </w:rPr>
      </w:pPr>
      <w:bookmarkStart w:id="20" w:name="_Toc15377204"/>
      <w:bookmarkStart w:id="21" w:name="_Toc15396602"/>
      <w:r>
        <w:rPr>
          <w:rFonts w:hint="eastAsia" w:ascii="黑体" w:hAnsi="黑体" w:eastAsia="黑体"/>
          <w:b w:val="0"/>
        </w:rPr>
        <w:t>第二部分 2022年度</w:t>
      </w:r>
      <w:r>
        <w:rPr>
          <w:rStyle w:val="32"/>
          <w:rFonts w:hint="eastAsia" w:ascii="黑体" w:hAnsi="黑体" w:eastAsia="黑体"/>
          <w:b w:val="0"/>
          <w:bCs/>
        </w:rPr>
        <w:t>部门决算情况说明</w:t>
      </w:r>
      <w:bookmarkEnd w:id="20"/>
      <w:bookmarkEnd w:id="21"/>
    </w:p>
    <w:p w14:paraId="7ADB9D3C"/>
    <w:p w14:paraId="5C288315">
      <w:pPr>
        <w:pStyle w:val="31"/>
        <w:numPr>
          <w:ilvl w:val="0"/>
          <w:numId w:val="0"/>
        </w:numPr>
        <w:spacing w:line="600" w:lineRule="exact"/>
        <w:ind w:left="640" w:leftChars="0"/>
        <w:outlineLvl w:val="1"/>
        <w:rPr>
          <w:rStyle w:val="33"/>
          <w:rFonts w:ascii="黑体" w:hAnsi="黑体" w:eastAsia="黑体"/>
          <w:b w:val="0"/>
        </w:rPr>
      </w:pPr>
      <w:bookmarkStart w:id="22" w:name="_Toc15377205"/>
      <w:bookmarkStart w:id="23" w:name="_Toc15396603"/>
      <w:r>
        <w:rPr>
          <w:rFonts w:hint="eastAsia" w:ascii="黑体" w:hAnsi="黑体" w:eastAsia="黑体"/>
          <w:sz w:val="32"/>
          <w:szCs w:val="32"/>
          <w:lang w:eastAsia="zh-CN"/>
        </w:rPr>
        <w:t>一、</w:t>
      </w:r>
      <w:r>
        <w:rPr>
          <w:rFonts w:hint="eastAsia" w:ascii="黑体" w:hAnsi="黑体" w:eastAsia="黑体"/>
          <w:sz w:val="32"/>
          <w:szCs w:val="32"/>
        </w:rPr>
        <w:t>收</w:t>
      </w:r>
      <w:r>
        <w:rPr>
          <w:rStyle w:val="33"/>
          <w:rFonts w:hint="eastAsia" w:ascii="黑体" w:hAnsi="黑体" w:eastAsia="黑体"/>
          <w:b w:val="0"/>
        </w:rPr>
        <w:t>入支出决算总体情况说明</w:t>
      </w:r>
      <w:bookmarkEnd w:id="22"/>
      <w:bookmarkEnd w:id="23"/>
    </w:p>
    <w:p w14:paraId="4CC0F143">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2022年度收、支总计1911.53万元。与2021年相比，收、支总计各减少</w:t>
      </w:r>
      <w:r>
        <w:rPr>
          <w:rFonts w:hint="eastAsia" w:ascii="仿宋" w:hAnsi="仿宋" w:eastAsia="仿宋"/>
          <w:sz w:val="32"/>
          <w:szCs w:val="32"/>
          <w:lang w:val="en-US" w:eastAsia="zh-CN"/>
        </w:rPr>
        <w:t>156.01</w:t>
      </w:r>
      <w:r>
        <w:rPr>
          <w:rFonts w:hint="eastAsia" w:ascii="仿宋" w:hAnsi="仿宋" w:eastAsia="仿宋"/>
          <w:sz w:val="32"/>
          <w:szCs w:val="32"/>
        </w:rPr>
        <w:t>万元，下降</w:t>
      </w:r>
      <w:r>
        <w:rPr>
          <w:rFonts w:hint="eastAsia" w:ascii="仿宋" w:hAnsi="仿宋" w:eastAsia="仿宋"/>
          <w:sz w:val="32"/>
          <w:szCs w:val="32"/>
          <w:lang w:val="en-US" w:eastAsia="zh-CN"/>
        </w:rPr>
        <w:t>7.55</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eastAsia="zh-CN"/>
        </w:rPr>
        <w:t>一</w:t>
      </w:r>
      <w:r>
        <w:rPr>
          <w:rFonts w:hint="eastAsia" w:ascii="仿宋" w:hAnsi="仿宋" w:eastAsia="仿宋"/>
          <w:sz w:val="32"/>
          <w:szCs w:val="32"/>
        </w:rPr>
        <w:t>是</w:t>
      </w:r>
      <w:r>
        <w:rPr>
          <w:rFonts w:hint="eastAsia" w:ascii="仿宋" w:hAnsi="仿宋" w:eastAsia="仿宋"/>
          <w:sz w:val="32"/>
          <w:szCs w:val="32"/>
          <w:lang w:eastAsia="zh-CN"/>
        </w:rPr>
        <w:t>项目经费支出减少；二是市决咨中心隶属关系变更，经费全部转至市政府办</w:t>
      </w:r>
      <w:r>
        <w:rPr>
          <w:rFonts w:hint="eastAsia" w:ascii="仿宋" w:hAnsi="仿宋" w:eastAsia="仿宋"/>
          <w:sz w:val="32"/>
          <w:szCs w:val="32"/>
        </w:rPr>
        <w:t>。</w:t>
      </w:r>
    </w:p>
    <w:p w14:paraId="3525B5AD">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2FDE4868">
      <w:pPr>
        <w:spacing w:line="600" w:lineRule="exact"/>
        <w:ind w:firstLine="640" w:firstLineChars="200"/>
        <w:jc w:val="left"/>
        <w:rPr>
          <w:rStyle w:val="33"/>
          <w:rFonts w:ascii="黑体" w:hAnsi="黑体" w:eastAsia="黑体"/>
          <w:b w:val="0"/>
        </w:rPr>
      </w:pPr>
      <w:r>
        <w:rPr>
          <w:rFonts w:hint="eastAsia" w:ascii="仿宋_GB2312" w:eastAsia="仿宋_GB2312"/>
          <w:sz w:val="32"/>
          <w:szCs w:val="32"/>
          <w:lang w:eastAsia="zh-CN"/>
        </w:rPr>
        <w:drawing>
          <wp:anchor distT="0" distB="0" distL="114300" distR="114300" simplePos="0" relativeHeight="251659264" behindDoc="0" locked="0" layoutInCell="1" allowOverlap="1">
            <wp:simplePos x="0" y="0"/>
            <wp:positionH relativeFrom="column">
              <wp:posOffset>19050</wp:posOffset>
            </wp:positionH>
            <wp:positionV relativeFrom="paragraph">
              <wp:posOffset>156210</wp:posOffset>
            </wp:positionV>
            <wp:extent cx="5272405" cy="3002280"/>
            <wp:effectExtent l="0" t="0" r="4445" b="7620"/>
            <wp:wrapSquare wrapText="bothSides"/>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5272405" cy="3002280"/>
                    </a:xfrm>
                    <a:prstGeom prst="rect">
                      <a:avLst/>
                    </a:prstGeom>
                  </pic:spPr>
                </pic:pic>
              </a:graphicData>
            </a:graphic>
          </wp:anchor>
        </w:drawing>
      </w:r>
      <w:bookmarkStart w:id="24" w:name="_Toc15396604"/>
      <w:bookmarkStart w:id="25" w:name="_Toc15377206"/>
      <w:r>
        <w:rPr>
          <w:rFonts w:hint="eastAsia" w:ascii="黑体" w:hAnsi="黑体" w:eastAsia="黑体"/>
          <w:sz w:val="32"/>
          <w:szCs w:val="32"/>
          <w:lang w:eastAsia="zh-CN"/>
        </w:rPr>
        <w:t>二、</w:t>
      </w:r>
      <w:r>
        <w:rPr>
          <w:rFonts w:hint="eastAsia" w:ascii="黑体" w:hAnsi="黑体" w:eastAsia="黑体"/>
          <w:sz w:val="32"/>
          <w:szCs w:val="32"/>
        </w:rPr>
        <w:t>收</w:t>
      </w:r>
      <w:r>
        <w:rPr>
          <w:rStyle w:val="33"/>
          <w:rFonts w:hint="eastAsia" w:ascii="黑体" w:hAnsi="黑体" w:eastAsia="黑体"/>
          <w:b w:val="0"/>
        </w:rPr>
        <w:t>入决算情况说明</w:t>
      </w:r>
      <w:bookmarkEnd w:id="24"/>
      <w:bookmarkEnd w:id="25"/>
    </w:p>
    <w:p w14:paraId="37EE3911">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22年本年收入合计1853.47万元，其中：一般公共预算财政拨款收入1853.47万元，占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14:paraId="7EE73950">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465BE7EF">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drawing>
          <wp:anchor distT="0" distB="0" distL="114300" distR="114300" simplePos="0" relativeHeight="251660288" behindDoc="0" locked="0" layoutInCell="1" allowOverlap="1">
            <wp:simplePos x="0" y="0"/>
            <wp:positionH relativeFrom="column">
              <wp:posOffset>314325</wp:posOffset>
            </wp:positionH>
            <wp:positionV relativeFrom="paragraph">
              <wp:posOffset>100965</wp:posOffset>
            </wp:positionV>
            <wp:extent cx="4584065" cy="2755265"/>
            <wp:effectExtent l="0" t="0" r="6985" b="6985"/>
            <wp:wrapSquare wrapText="bothSides"/>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7"/>
                    <a:stretch>
                      <a:fillRect/>
                    </a:stretch>
                  </pic:blipFill>
                  <pic:spPr>
                    <a:xfrm>
                      <a:off x="0" y="0"/>
                      <a:ext cx="4584065" cy="2755265"/>
                    </a:xfrm>
                    <a:prstGeom prst="rect">
                      <a:avLst/>
                    </a:prstGeom>
                  </pic:spPr>
                </pic:pic>
              </a:graphicData>
            </a:graphic>
          </wp:anchor>
        </w:drawing>
      </w:r>
    </w:p>
    <w:p w14:paraId="7A69A35B">
      <w:pPr>
        <w:pStyle w:val="2"/>
        <w:rPr>
          <w:rFonts w:ascii="仿宋_GB2312" w:eastAsia="仿宋_GB2312"/>
          <w:sz w:val="32"/>
          <w:szCs w:val="32"/>
        </w:rPr>
      </w:pPr>
    </w:p>
    <w:p w14:paraId="25991208">
      <w:pPr>
        <w:pStyle w:val="2"/>
        <w:rPr>
          <w:rFonts w:ascii="仿宋_GB2312" w:eastAsia="仿宋_GB2312"/>
          <w:sz w:val="32"/>
          <w:szCs w:val="32"/>
        </w:rPr>
      </w:pPr>
    </w:p>
    <w:p w14:paraId="10861B2F">
      <w:pPr>
        <w:pStyle w:val="2"/>
        <w:rPr>
          <w:rFonts w:hint="eastAsia" w:ascii="仿宋_GB2312" w:eastAsia="仿宋_GB2312"/>
          <w:sz w:val="32"/>
          <w:szCs w:val="32"/>
          <w:lang w:eastAsia="zh-CN"/>
        </w:rPr>
      </w:pPr>
    </w:p>
    <w:p w14:paraId="50FC3122">
      <w:pPr>
        <w:pStyle w:val="31"/>
        <w:numPr>
          <w:ilvl w:val="0"/>
          <w:numId w:val="0"/>
        </w:numPr>
        <w:spacing w:line="600" w:lineRule="exact"/>
        <w:ind w:left="640" w:leftChars="0"/>
        <w:outlineLvl w:val="1"/>
        <w:rPr>
          <w:rFonts w:hint="eastAsia" w:ascii="黑体" w:hAnsi="黑体" w:eastAsia="黑体"/>
          <w:sz w:val="32"/>
          <w:szCs w:val="32"/>
          <w:lang w:eastAsia="zh-CN"/>
        </w:rPr>
      </w:pPr>
      <w:bookmarkStart w:id="26" w:name="_Toc15396605"/>
      <w:bookmarkStart w:id="27" w:name="_Toc15377207"/>
    </w:p>
    <w:p w14:paraId="2F517678">
      <w:pPr>
        <w:pStyle w:val="31"/>
        <w:numPr>
          <w:ilvl w:val="0"/>
          <w:numId w:val="0"/>
        </w:numPr>
        <w:spacing w:line="600" w:lineRule="exact"/>
        <w:ind w:left="640" w:leftChars="0"/>
        <w:outlineLvl w:val="1"/>
        <w:rPr>
          <w:rFonts w:hint="eastAsia" w:ascii="黑体" w:hAnsi="黑体" w:eastAsia="黑体"/>
          <w:sz w:val="32"/>
          <w:szCs w:val="32"/>
          <w:lang w:eastAsia="zh-CN"/>
        </w:rPr>
      </w:pPr>
    </w:p>
    <w:p w14:paraId="74AAB1A4">
      <w:pPr>
        <w:pStyle w:val="31"/>
        <w:numPr>
          <w:ilvl w:val="0"/>
          <w:numId w:val="0"/>
        </w:numPr>
        <w:spacing w:line="600" w:lineRule="exact"/>
        <w:ind w:left="640" w:leftChars="0"/>
        <w:outlineLvl w:val="1"/>
        <w:rPr>
          <w:rFonts w:hint="eastAsia" w:ascii="黑体" w:hAnsi="黑体" w:eastAsia="黑体"/>
          <w:sz w:val="32"/>
          <w:szCs w:val="32"/>
          <w:lang w:eastAsia="zh-CN"/>
        </w:rPr>
      </w:pPr>
    </w:p>
    <w:p w14:paraId="2E3BBBAF">
      <w:pPr>
        <w:pStyle w:val="31"/>
        <w:numPr>
          <w:ilvl w:val="0"/>
          <w:numId w:val="0"/>
        </w:numPr>
        <w:spacing w:line="600" w:lineRule="exact"/>
        <w:ind w:left="640" w:leftChars="0"/>
        <w:outlineLvl w:val="1"/>
        <w:rPr>
          <w:rStyle w:val="33"/>
          <w:rFonts w:ascii="黑体" w:hAnsi="黑体" w:eastAsia="黑体"/>
          <w:b w:val="0"/>
        </w:rPr>
      </w:pPr>
      <w:r>
        <w:rPr>
          <w:rFonts w:hint="eastAsia" w:ascii="黑体" w:hAnsi="黑体" w:eastAsia="黑体"/>
          <w:sz w:val="32"/>
          <w:szCs w:val="32"/>
          <w:lang w:eastAsia="zh-CN"/>
        </w:rPr>
        <w:t>三、</w:t>
      </w:r>
      <w:r>
        <w:rPr>
          <w:rFonts w:hint="eastAsia" w:ascii="黑体" w:hAnsi="黑体" w:eastAsia="黑体"/>
          <w:sz w:val="32"/>
          <w:szCs w:val="32"/>
        </w:rPr>
        <w:t>支</w:t>
      </w:r>
      <w:r>
        <w:rPr>
          <w:rStyle w:val="33"/>
          <w:rFonts w:hint="eastAsia" w:ascii="黑体" w:hAnsi="黑体" w:eastAsia="黑体"/>
          <w:b w:val="0"/>
        </w:rPr>
        <w:t>出决算情况说明</w:t>
      </w:r>
      <w:bookmarkEnd w:id="26"/>
      <w:bookmarkEnd w:id="27"/>
    </w:p>
    <w:p w14:paraId="0958AEE2">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22年本年支出合计1892.07万元，其中：基本支出1746.06万元，占</w:t>
      </w:r>
      <w:r>
        <w:rPr>
          <w:rFonts w:hint="eastAsia" w:ascii="仿宋" w:hAnsi="仿宋" w:eastAsia="仿宋"/>
          <w:sz w:val="32"/>
          <w:szCs w:val="32"/>
          <w:lang w:val="en-US" w:eastAsia="zh-CN"/>
        </w:rPr>
        <w:t>92.28</w:t>
      </w:r>
      <w:r>
        <w:rPr>
          <w:rFonts w:ascii="仿宋" w:hAnsi="仿宋" w:eastAsia="仿宋"/>
          <w:sz w:val="32"/>
          <w:szCs w:val="32"/>
        </w:rPr>
        <w:t>%</w:t>
      </w:r>
      <w:r>
        <w:rPr>
          <w:rFonts w:hint="eastAsia" w:ascii="仿宋" w:hAnsi="仿宋" w:eastAsia="仿宋"/>
          <w:sz w:val="32"/>
          <w:szCs w:val="32"/>
        </w:rPr>
        <w:t>；项目支出146.01万元，占</w:t>
      </w:r>
      <w:r>
        <w:rPr>
          <w:rFonts w:hint="eastAsia" w:ascii="仿宋" w:hAnsi="仿宋" w:eastAsia="仿宋"/>
          <w:sz w:val="32"/>
          <w:szCs w:val="32"/>
          <w:lang w:val="en-US" w:eastAsia="zh-CN"/>
        </w:rPr>
        <w:t>7.72</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14:paraId="6583B60B">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2E7FFFE4">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drawing>
          <wp:anchor distT="0" distB="0" distL="114300" distR="114300" simplePos="0" relativeHeight="251661312" behindDoc="0" locked="0" layoutInCell="1" allowOverlap="1">
            <wp:simplePos x="0" y="0"/>
            <wp:positionH relativeFrom="column">
              <wp:posOffset>466725</wp:posOffset>
            </wp:positionH>
            <wp:positionV relativeFrom="paragraph">
              <wp:posOffset>188595</wp:posOffset>
            </wp:positionV>
            <wp:extent cx="3956050" cy="2548255"/>
            <wp:effectExtent l="0" t="0" r="6350" b="4445"/>
            <wp:wrapSquare wrapText="bothSides"/>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8"/>
                    <a:stretch>
                      <a:fillRect/>
                    </a:stretch>
                  </pic:blipFill>
                  <pic:spPr>
                    <a:xfrm>
                      <a:off x="0" y="0"/>
                      <a:ext cx="3956050" cy="2548255"/>
                    </a:xfrm>
                    <a:prstGeom prst="rect">
                      <a:avLst/>
                    </a:prstGeom>
                  </pic:spPr>
                </pic:pic>
              </a:graphicData>
            </a:graphic>
          </wp:anchor>
        </w:drawing>
      </w:r>
    </w:p>
    <w:p w14:paraId="53433D0D">
      <w:pPr>
        <w:pStyle w:val="2"/>
        <w:rPr>
          <w:rFonts w:ascii="仿宋_GB2312" w:eastAsia="仿宋_GB2312"/>
          <w:sz w:val="32"/>
          <w:szCs w:val="32"/>
        </w:rPr>
      </w:pPr>
    </w:p>
    <w:p w14:paraId="37D150B7">
      <w:pPr>
        <w:pStyle w:val="2"/>
        <w:rPr>
          <w:rFonts w:ascii="仿宋_GB2312" w:eastAsia="仿宋_GB2312"/>
          <w:sz w:val="32"/>
          <w:szCs w:val="32"/>
        </w:rPr>
      </w:pPr>
    </w:p>
    <w:p w14:paraId="18E426CC">
      <w:pPr>
        <w:pStyle w:val="2"/>
        <w:rPr>
          <w:rFonts w:hint="eastAsia" w:ascii="仿宋_GB2312" w:eastAsia="仿宋_GB2312"/>
          <w:sz w:val="32"/>
          <w:szCs w:val="32"/>
          <w:lang w:eastAsia="zh-CN"/>
        </w:rPr>
      </w:pPr>
    </w:p>
    <w:p w14:paraId="31BF4541">
      <w:pPr>
        <w:spacing w:line="600" w:lineRule="exact"/>
        <w:ind w:firstLine="640" w:firstLineChars="200"/>
        <w:outlineLvl w:val="1"/>
        <w:rPr>
          <w:rFonts w:hint="eastAsia" w:ascii="黑体" w:hAnsi="黑体" w:eastAsia="黑体"/>
          <w:sz w:val="32"/>
          <w:szCs w:val="32"/>
        </w:rPr>
      </w:pPr>
      <w:bookmarkStart w:id="28" w:name="_Toc15396606"/>
      <w:bookmarkStart w:id="29" w:name="_Toc15377208"/>
    </w:p>
    <w:p w14:paraId="428D5EBE">
      <w:pPr>
        <w:spacing w:line="600" w:lineRule="exact"/>
        <w:ind w:firstLine="640" w:firstLineChars="200"/>
        <w:outlineLvl w:val="1"/>
        <w:rPr>
          <w:rFonts w:hint="eastAsia" w:ascii="黑体" w:hAnsi="黑体" w:eastAsia="黑体"/>
          <w:sz w:val="32"/>
          <w:szCs w:val="32"/>
        </w:rPr>
      </w:pPr>
    </w:p>
    <w:p w14:paraId="3B2C7631">
      <w:pPr>
        <w:spacing w:line="600" w:lineRule="exact"/>
        <w:ind w:firstLine="640" w:firstLineChars="200"/>
        <w:outlineLvl w:val="1"/>
        <w:rPr>
          <w:rFonts w:hint="eastAsia" w:ascii="黑体" w:hAnsi="黑体" w:eastAsia="黑体"/>
          <w:sz w:val="32"/>
          <w:szCs w:val="32"/>
        </w:rPr>
      </w:pPr>
    </w:p>
    <w:p w14:paraId="060D1B5F">
      <w:pPr>
        <w:spacing w:line="600" w:lineRule="exact"/>
        <w:ind w:firstLine="640" w:firstLineChars="200"/>
        <w:outlineLvl w:val="1"/>
        <w:rPr>
          <w:rStyle w:val="33"/>
          <w:rFonts w:ascii="黑体" w:hAnsi="黑体" w:eastAsia="黑体"/>
          <w:b w:val="0"/>
        </w:rPr>
      </w:pPr>
      <w:r>
        <w:rPr>
          <w:rFonts w:hint="eastAsia" w:ascii="黑体" w:hAnsi="黑体" w:eastAsia="黑体"/>
          <w:sz w:val="32"/>
          <w:szCs w:val="32"/>
        </w:rPr>
        <w:t>四、财</w:t>
      </w:r>
      <w:r>
        <w:rPr>
          <w:rStyle w:val="33"/>
          <w:rFonts w:hint="eastAsia" w:ascii="黑体" w:hAnsi="黑体" w:eastAsia="黑体"/>
          <w:b w:val="0"/>
        </w:rPr>
        <w:t>政拨款收入支出决算总体情况说明</w:t>
      </w:r>
      <w:bookmarkEnd w:id="28"/>
      <w:bookmarkEnd w:id="29"/>
    </w:p>
    <w:p w14:paraId="5DA47562">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22年财政拨款收、支总计1905.49万元。与</w:t>
      </w:r>
      <w:r>
        <w:rPr>
          <w:rFonts w:ascii="仿宋" w:hAnsi="仿宋" w:eastAsia="仿宋"/>
          <w:sz w:val="32"/>
          <w:szCs w:val="32"/>
        </w:rPr>
        <w:t>20</w:t>
      </w:r>
      <w:r>
        <w:rPr>
          <w:rFonts w:hint="eastAsia" w:ascii="仿宋" w:hAnsi="仿宋" w:eastAsia="仿宋"/>
          <w:sz w:val="32"/>
          <w:szCs w:val="32"/>
        </w:rPr>
        <w:t>21年相比2003.94，财政拨款收、支总计各减少</w:t>
      </w:r>
      <w:r>
        <w:rPr>
          <w:rFonts w:hint="eastAsia" w:ascii="仿宋" w:hAnsi="仿宋" w:eastAsia="仿宋"/>
          <w:sz w:val="32"/>
          <w:szCs w:val="32"/>
          <w:lang w:val="en-US" w:eastAsia="zh-CN"/>
        </w:rPr>
        <w:t>98.45</w:t>
      </w:r>
      <w:r>
        <w:rPr>
          <w:rFonts w:hint="eastAsia" w:ascii="仿宋" w:hAnsi="仿宋" w:eastAsia="仿宋"/>
          <w:sz w:val="32"/>
          <w:szCs w:val="32"/>
        </w:rPr>
        <w:t>万元，下降</w:t>
      </w:r>
      <w:r>
        <w:rPr>
          <w:rFonts w:hint="eastAsia" w:ascii="仿宋" w:hAnsi="仿宋" w:eastAsia="仿宋"/>
          <w:sz w:val="32"/>
          <w:szCs w:val="32"/>
          <w:lang w:val="en-US" w:eastAsia="zh-CN"/>
        </w:rPr>
        <w:t>4.91</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eastAsia="zh-CN"/>
        </w:rPr>
        <w:t>一</w:t>
      </w:r>
      <w:r>
        <w:rPr>
          <w:rFonts w:hint="eastAsia" w:ascii="仿宋" w:hAnsi="仿宋" w:eastAsia="仿宋"/>
          <w:sz w:val="32"/>
          <w:szCs w:val="32"/>
        </w:rPr>
        <w:t>是</w:t>
      </w:r>
      <w:r>
        <w:rPr>
          <w:rFonts w:hint="eastAsia" w:ascii="仿宋" w:hAnsi="仿宋" w:eastAsia="仿宋"/>
          <w:sz w:val="32"/>
          <w:szCs w:val="32"/>
          <w:lang w:eastAsia="zh-CN"/>
        </w:rPr>
        <w:t>项目经费支出减少；二是市决咨中心隶属关系变更，经费全部转至市政府办</w:t>
      </w:r>
      <w:r>
        <w:rPr>
          <w:rFonts w:hint="eastAsia" w:ascii="仿宋" w:hAnsi="仿宋" w:eastAsia="仿宋"/>
          <w:sz w:val="32"/>
          <w:szCs w:val="32"/>
        </w:rPr>
        <w:t>。</w:t>
      </w:r>
    </w:p>
    <w:p w14:paraId="528A3A66">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1CF2C79E">
      <w:pPr>
        <w:spacing w:line="600" w:lineRule="exact"/>
        <w:ind w:firstLine="640"/>
        <w:rPr>
          <w:rStyle w:val="33"/>
          <w:rFonts w:ascii="黑体" w:hAnsi="黑体" w:eastAsia="黑体"/>
          <w:b w:val="0"/>
        </w:rPr>
      </w:pPr>
      <w:r>
        <w:rPr>
          <w:rFonts w:hint="eastAsia" w:ascii="仿宋" w:hAnsi="仿宋" w:eastAsia="仿宋"/>
          <w:b/>
          <w:sz w:val="32"/>
          <w:szCs w:val="32"/>
          <w:lang w:eastAsia="zh-CN"/>
        </w:rPr>
        <w:drawing>
          <wp:anchor distT="0" distB="0" distL="114300" distR="114300" simplePos="0" relativeHeight="251662336" behindDoc="0" locked="0" layoutInCell="1" allowOverlap="1">
            <wp:simplePos x="0" y="0"/>
            <wp:positionH relativeFrom="column">
              <wp:posOffset>28575</wp:posOffset>
            </wp:positionH>
            <wp:positionV relativeFrom="paragraph">
              <wp:posOffset>196215</wp:posOffset>
            </wp:positionV>
            <wp:extent cx="5269230" cy="2660015"/>
            <wp:effectExtent l="0" t="0" r="7620" b="6985"/>
            <wp:wrapSquare wrapText="bothSides"/>
            <wp:docPr id="4" name="图片 4"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4"/>
                    <pic:cNvPicPr>
                      <a:picLocks noChangeAspect="1"/>
                    </pic:cNvPicPr>
                  </pic:nvPicPr>
                  <pic:blipFill>
                    <a:blip r:embed="rId9"/>
                    <a:stretch>
                      <a:fillRect/>
                    </a:stretch>
                  </pic:blipFill>
                  <pic:spPr>
                    <a:xfrm>
                      <a:off x="0" y="0"/>
                      <a:ext cx="5269230" cy="2660015"/>
                    </a:xfrm>
                    <a:prstGeom prst="rect">
                      <a:avLst/>
                    </a:prstGeom>
                  </pic:spPr>
                </pic:pic>
              </a:graphicData>
            </a:graphic>
          </wp:anchor>
        </w:drawing>
      </w:r>
      <w:bookmarkStart w:id="30" w:name="_Toc15396607"/>
      <w:bookmarkStart w:id="31" w:name="_Toc15377209"/>
      <w:r>
        <w:rPr>
          <w:rFonts w:hint="eastAsia" w:ascii="黑体" w:hAnsi="黑体" w:eastAsia="黑体"/>
          <w:sz w:val="32"/>
          <w:szCs w:val="32"/>
        </w:rPr>
        <w:t>五、</w:t>
      </w:r>
      <w:r>
        <w:rPr>
          <w:rFonts w:hint="eastAsia" w:ascii="黑体" w:hAnsi="黑体" w:eastAsia="黑体"/>
          <w:b/>
          <w:sz w:val="32"/>
          <w:szCs w:val="32"/>
        </w:rPr>
        <w:t>一</w:t>
      </w:r>
      <w:r>
        <w:rPr>
          <w:rStyle w:val="33"/>
          <w:rFonts w:hint="eastAsia" w:ascii="黑体" w:hAnsi="黑体" w:eastAsia="黑体"/>
          <w:b w:val="0"/>
        </w:rPr>
        <w:t>般公共预算财政拨款支出决算情况说明</w:t>
      </w:r>
      <w:bookmarkEnd w:id="30"/>
      <w:bookmarkEnd w:id="31"/>
    </w:p>
    <w:p w14:paraId="3F3121E0">
      <w:pPr>
        <w:spacing w:line="600" w:lineRule="exact"/>
        <w:ind w:firstLine="643"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14:paraId="68734CE2">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22年一般公共预算财政拨款支出1890.5万元，占本年支出合计的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101.66</w:t>
      </w:r>
      <w:r>
        <w:rPr>
          <w:rFonts w:hint="eastAsia" w:ascii="仿宋" w:hAnsi="仿宋" w:eastAsia="仿宋"/>
          <w:sz w:val="32"/>
          <w:szCs w:val="32"/>
        </w:rPr>
        <w:t>万元，下降</w:t>
      </w:r>
      <w:r>
        <w:rPr>
          <w:rFonts w:hint="eastAsia" w:ascii="仿宋" w:hAnsi="仿宋" w:eastAsia="仿宋"/>
          <w:sz w:val="32"/>
          <w:szCs w:val="32"/>
          <w:lang w:val="en-US" w:eastAsia="zh-CN"/>
        </w:rPr>
        <w:t>5.1</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eastAsia="zh-CN"/>
        </w:rPr>
        <w:t>一</w:t>
      </w:r>
      <w:r>
        <w:rPr>
          <w:rFonts w:hint="eastAsia" w:ascii="仿宋" w:hAnsi="仿宋" w:eastAsia="仿宋"/>
          <w:sz w:val="32"/>
          <w:szCs w:val="32"/>
        </w:rPr>
        <w:t>是</w:t>
      </w:r>
      <w:r>
        <w:rPr>
          <w:rFonts w:hint="eastAsia" w:ascii="仿宋" w:hAnsi="仿宋" w:eastAsia="仿宋"/>
          <w:sz w:val="32"/>
          <w:szCs w:val="32"/>
          <w:lang w:eastAsia="zh-CN"/>
        </w:rPr>
        <w:t>项目经费支出减少；二是市决咨中心隶属关系变更，经费全部转至市政府办</w:t>
      </w:r>
      <w:r>
        <w:rPr>
          <w:rFonts w:hint="eastAsia" w:ascii="仿宋" w:hAnsi="仿宋" w:eastAsia="仿宋"/>
          <w:sz w:val="32"/>
          <w:szCs w:val="32"/>
        </w:rPr>
        <w:t>。</w:t>
      </w:r>
    </w:p>
    <w:p w14:paraId="0DD587E5">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4AC8041C">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3360" behindDoc="0" locked="0" layoutInCell="1" allowOverlap="1">
            <wp:simplePos x="0" y="0"/>
            <wp:positionH relativeFrom="column">
              <wp:posOffset>314325</wp:posOffset>
            </wp:positionH>
            <wp:positionV relativeFrom="paragraph">
              <wp:posOffset>125095</wp:posOffset>
            </wp:positionV>
            <wp:extent cx="4584065" cy="2785745"/>
            <wp:effectExtent l="0" t="0" r="6985" b="14605"/>
            <wp:wrapSquare wrapText="bothSides"/>
            <wp:docPr id="5" name="图片 5"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5"/>
                    <pic:cNvPicPr>
                      <a:picLocks noChangeAspect="1"/>
                    </pic:cNvPicPr>
                  </pic:nvPicPr>
                  <pic:blipFill>
                    <a:blip r:embed="rId10"/>
                    <a:stretch>
                      <a:fillRect/>
                    </a:stretch>
                  </pic:blipFill>
                  <pic:spPr>
                    <a:xfrm>
                      <a:off x="0" y="0"/>
                      <a:ext cx="4584065" cy="2785745"/>
                    </a:xfrm>
                    <a:prstGeom prst="rect">
                      <a:avLst/>
                    </a:prstGeom>
                  </pic:spPr>
                </pic:pic>
              </a:graphicData>
            </a:graphic>
          </wp:anchor>
        </w:drawing>
      </w:r>
    </w:p>
    <w:p w14:paraId="19DC982C">
      <w:pPr>
        <w:pStyle w:val="2"/>
        <w:rPr>
          <w:rFonts w:ascii="仿宋" w:hAnsi="仿宋" w:eastAsia="仿宋"/>
          <w:sz w:val="32"/>
          <w:szCs w:val="32"/>
        </w:rPr>
      </w:pPr>
    </w:p>
    <w:p w14:paraId="22103465">
      <w:pPr>
        <w:pStyle w:val="2"/>
        <w:rPr>
          <w:rFonts w:hint="eastAsia" w:ascii="仿宋" w:hAnsi="仿宋" w:eastAsia="仿宋"/>
          <w:sz w:val="32"/>
          <w:szCs w:val="32"/>
          <w:lang w:eastAsia="zh-CN"/>
        </w:rPr>
      </w:pPr>
    </w:p>
    <w:p w14:paraId="1DDAFA48">
      <w:pPr>
        <w:spacing w:line="600" w:lineRule="exact"/>
        <w:ind w:firstLine="643" w:firstLineChars="200"/>
        <w:outlineLvl w:val="2"/>
        <w:rPr>
          <w:rFonts w:hint="eastAsia" w:ascii="仿宋" w:hAnsi="仿宋" w:eastAsia="仿宋"/>
          <w:b/>
          <w:sz w:val="32"/>
          <w:szCs w:val="32"/>
        </w:rPr>
      </w:pPr>
      <w:bookmarkStart w:id="33" w:name="_Toc15377211"/>
    </w:p>
    <w:p w14:paraId="46F4A55F">
      <w:pPr>
        <w:spacing w:line="600" w:lineRule="exact"/>
        <w:ind w:firstLine="643" w:firstLineChars="200"/>
        <w:outlineLvl w:val="2"/>
        <w:rPr>
          <w:rFonts w:hint="eastAsia" w:ascii="仿宋" w:hAnsi="仿宋" w:eastAsia="仿宋"/>
          <w:b/>
          <w:sz w:val="32"/>
          <w:szCs w:val="32"/>
        </w:rPr>
      </w:pPr>
    </w:p>
    <w:p w14:paraId="2ACA0032">
      <w:pPr>
        <w:spacing w:line="600" w:lineRule="exact"/>
        <w:ind w:firstLine="643" w:firstLineChars="200"/>
        <w:outlineLvl w:val="2"/>
        <w:rPr>
          <w:rFonts w:hint="eastAsia" w:ascii="仿宋" w:hAnsi="仿宋" w:eastAsia="仿宋"/>
          <w:b/>
          <w:sz w:val="32"/>
          <w:szCs w:val="32"/>
        </w:rPr>
      </w:pPr>
    </w:p>
    <w:p w14:paraId="1190C9CA">
      <w:pPr>
        <w:spacing w:line="600" w:lineRule="exact"/>
        <w:ind w:firstLine="643" w:firstLineChars="200"/>
        <w:outlineLvl w:val="2"/>
        <w:rPr>
          <w:rFonts w:hint="eastAsia" w:ascii="仿宋" w:hAnsi="仿宋" w:eastAsia="仿宋"/>
          <w:b/>
          <w:sz w:val="32"/>
          <w:szCs w:val="32"/>
        </w:rPr>
      </w:pPr>
    </w:p>
    <w:p w14:paraId="17B9594B">
      <w:pPr>
        <w:spacing w:line="600" w:lineRule="exact"/>
        <w:ind w:firstLine="643" w:firstLineChars="200"/>
        <w:outlineLvl w:val="2"/>
        <w:rPr>
          <w:rFonts w:hint="eastAsia" w:ascii="仿宋" w:hAnsi="仿宋" w:eastAsia="仿宋"/>
          <w:b/>
          <w:sz w:val="32"/>
          <w:szCs w:val="32"/>
        </w:rPr>
      </w:pPr>
    </w:p>
    <w:p w14:paraId="538A520E">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33"/>
    </w:p>
    <w:p w14:paraId="4079CA92">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22年一般公共预算财政拨款支出1890.5万元，主要用于以下方面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7.62万元，占</w:t>
      </w:r>
      <w:r>
        <w:rPr>
          <w:rFonts w:hint="eastAsia" w:ascii="仿宋" w:hAnsi="仿宋" w:eastAsia="仿宋"/>
          <w:sz w:val="32"/>
          <w:szCs w:val="32"/>
          <w:lang w:val="en-US" w:eastAsia="zh-CN"/>
        </w:rPr>
        <w:t>0.4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rPr>
        <w:t>1384.03万元，占</w:t>
      </w:r>
      <w:r>
        <w:rPr>
          <w:rFonts w:hint="eastAsia" w:ascii="仿宋" w:hAnsi="仿宋" w:eastAsia="仿宋"/>
          <w:sz w:val="32"/>
          <w:szCs w:val="32"/>
          <w:lang w:val="en-US" w:eastAsia="zh-CN"/>
        </w:rPr>
        <w:t>73.21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380万元，占</w:t>
      </w:r>
      <w:r>
        <w:rPr>
          <w:rFonts w:hint="eastAsia" w:ascii="仿宋" w:hAnsi="仿宋" w:eastAsia="仿宋"/>
          <w:sz w:val="32"/>
          <w:szCs w:val="32"/>
          <w:lang w:val="en-US" w:eastAsia="zh-CN"/>
        </w:rPr>
        <w:t>20.1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0.36</w:t>
      </w:r>
      <w:r>
        <w:rPr>
          <w:rFonts w:hint="eastAsia" w:ascii="仿宋" w:hAnsi="仿宋" w:eastAsia="仿宋"/>
          <w:sz w:val="32"/>
          <w:szCs w:val="32"/>
        </w:rPr>
        <w:t>万元，占</w:t>
      </w:r>
      <w:r>
        <w:rPr>
          <w:rFonts w:hint="eastAsia" w:ascii="仿宋" w:hAnsi="仿宋" w:eastAsia="仿宋"/>
          <w:sz w:val="32"/>
          <w:szCs w:val="32"/>
          <w:lang w:val="en-US" w:eastAsia="zh-CN"/>
        </w:rPr>
        <w:t>0.02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117.12万元，占</w:t>
      </w:r>
      <w:r>
        <w:rPr>
          <w:rFonts w:hint="eastAsia" w:ascii="仿宋" w:hAnsi="仿宋" w:eastAsia="仿宋"/>
          <w:sz w:val="32"/>
          <w:szCs w:val="32"/>
          <w:lang w:val="en-US" w:eastAsia="zh-CN"/>
        </w:rPr>
        <w:t>6.2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灾害防治及应急管理支出</w:t>
      </w:r>
      <w:r>
        <w:rPr>
          <w:rFonts w:hint="eastAsia" w:ascii="仿宋" w:hAnsi="仿宋" w:eastAsia="仿宋"/>
          <w:sz w:val="32"/>
          <w:szCs w:val="32"/>
        </w:rPr>
        <w:t>1.38</w:t>
      </w:r>
      <w:r>
        <w:rPr>
          <w:rFonts w:hint="eastAsia" w:ascii="仿宋" w:hAnsi="仿宋" w:eastAsia="仿宋"/>
          <w:sz w:val="32"/>
          <w:szCs w:val="32"/>
          <w:lang w:eastAsia="zh-CN"/>
        </w:rPr>
        <w:t>万元，占</w:t>
      </w:r>
      <w:r>
        <w:rPr>
          <w:rFonts w:hint="eastAsia" w:ascii="仿宋" w:hAnsi="仿宋" w:eastAsia="仿宋"/>
          <w:sz w:val="32"/>
          <w:szCs w:val="32"/>
          <w:lang w:val="en-US" w:eastAsia="zh-CN"/>
        </w:rPr>
        <w:t>0.07%</w:t>
      </w:r>
      <w:r>
        <w:rPr>
          <w:rFonts w:hint="eastAsia" w:ascii="仿宋" w:hAnsi="仿宋" w:eastAsia="仿宋"/>
          <w:sz w:val="32"/>
          <w:szCs w:val="32"/>
        </w:rPr>
        <w:t>。</w:t>
      </w:r>
    </w:p>
    <w:p w14:paraId="1171FB77">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0B58E993">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4384" behindDoc="0" locked="0" layoutInCell="1" allowOverlap="1">
            <wp:simplePos x="0" y="0"/>
            <wp:positionH relativeFrom="column">
              <wp:posOffset>714375</wp:posOffset>
            </wp:positionH>
            <wp:positionV relativeFrom="paragraph">
              <wp:posOffset>158750</wp:posOffset>
            </wp:positionV>
            <wp:extent cx="3956050" cy="2548255"/>
            <wp:effectExtent l="0" t="0" r="6350" b="4445"/>
            <wp:wrapSquare wrapText="bothSides"/>
            <wp:docPr id="6" name="图片 6"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6"/>
                    <pic:cNvPicPr>
                      <a:picLocks noChangeAspect="1"/>
                    </pic:cNvPicPr>
                  </pic:nvPicPr>
                  <pic:blipFill>
                    <a:blip r:embed="rId11"/>
                    <a:stretch>
                      <a:fillRect/>
                    </a:stretch>
                  </pic:blipFill>
                  <pic:spPr>
                    <a:xfrm>
                      <a:off x="0" y="0"/>
                      <a:ext cx="3956050" cy="2548255"/>
                    </a:xfrm>
                    <a:prstGeom prst="rect">
                      <a:avLst/>
                    </a:prstGeom>
                  </pic:spPr>
                </pic:pic>
              </a:graphicData>
            </a:graphic>
          </wp:anchor>
        </w:drawing>
      </w:r>
    </w:p>
    <w:p w14:paraId="272BCA55">
      <w:pPr>
        <w:pStyle w:val="2"/>
        <w:rPr>
          <w:rFonts w:ascii="仿宋" w:hAnsi="仿宋" w:eastAsia="仿宋"/>
          <w:sz w:val="32"/>
          <w:szCs w:val="32"/>
        </w:rPr>
      </w:pPr>
    </w:p>
    <w:p w14:paraId="74E75BA3">
      <w:pPr>
        <w:pStyle w:val="2"/>
        <w:rPr>
          <w:rFonts w:ascii="仿宋" w:hAnsi="仿宋" w:eastAsia="仿宋"/>
          <w:sz w:val="32"/>
          <w:szCs w:val="32"/>
        </w:rPr>
      </w:pPr>
    </w:p>
    <w:p w14:paraId="136E9B9D">
      <w:pPr>
        <w:pStyle w:val="2"/>
        <w:rPr>
          <w:rFonts w:ascii="仿宋" w:hAnsi="仿宋" w:eastAsia="仿宋"/>
          <w:sz w:val="32"/>
          <w:szCs w:val="32"/>
        </w:rPr>
      </w:pPr>
    </w:p>
    <w:p w14:paraId="27931C31">
      <w:pPr>
        <w:pStyle w:val="2"/>
        <w:rPr>
          <w:rFonts w:ascii="仿宋" w:hAnsi="仿宋" w:eastAsia="仿宋"/>
          <w:sz w:val="32"/>
          <w:szCs w:val="32"/>
        </w:rPr>
      </w:pPr>
    </w:p>
    <w:p w14:paraId="6A2ECF29">
      <w:pPr>
        <w:pStyle w:val="2"/>
        <w:rPr>
          <w:rFonts w:hint="eastAsia" w:ascii="仿宋" w:hAnsi="仿宋" w:eastAsia="仿宋"/>
          <w:sz w:val="32"/>
          <w:szCs w:val="32"/>
          <w:lang w:eastAsia="zh-CN"/>
        </w:rPr>
      </w:pPr>
    </w:p>
    <w:p w14:paraId="35867626">
      <w:pPr>
        <w:spacing w:line="600" w:lineRule="exact"/>
        <w:ind w:firstLine="643" w:firstLineChars="200"/>
        <w:outlineLvl w:val="2"/>
        <w:rPr>
          <w:rFonts w:ascii="仿宋" w:hAnsi="仿宋" w:eastAsia="仿宋"/>
          <w:b/>
          <w:sz w:val="32"/>
          <w:szCs w:val="32"/>
        </w:rPr>
      </w:pPr>
      <w:bookmarkStart w:id="34" w:name="_Toc15377212"/>
      <w:r>
        <w:rPr>
          <w:rFonts w:hint="eastAsia" w:ascii="仿宋" w:hAnsi="仿宋" w:eastAsia="仿宋"/>
          <w:b/>
          <w:sz w:val="32"/>
          <w:szCs w:val="32"/>
        </w:rPr>
        <w:t>（三）一般公共预算财政拨款支出决算具体情况</w:t>
      </w:r>
      <w:bookmarkEnd w:id="34"/>
    </w:p>
    <w:p w14:paraId="1FC4B36E">
      <w:pPr>
        <w:spacing w:line="600" w:lineRule="exact"/>
        <w:ind w:firstLine="643" w:firstLineChars="200"/>
        <w:outlineLvl w:val="2"/>
        <w:rPr>
          <w:rFonts w:ascii="仿宋" w:hAnsi="仿宋" w:eastAsia="仿宋"/>
          <w:sz w:val="32"/>
          <w:szCs w:val="32"/>
        </w:rPr>
      </w:pPr>
      <w:bookmarkStart w:id="35" w:name="_Toc15377213"/>
      <w:bookmarkStart w:id="36" w:name="_Toc15378460"/>
      <w:bookmarkStart w:id="37" w:name="_Toc15377444"/>
      <w:r>
        <w:rPr>
          <w:rFonts w:hint="eastAsia" w:ascii="仿宋" w:hAnsi="仿宋" w:eastAsia="仿宋"/>
          <w:b/>
          <w:sz w:val="32"/>
          <w:szCs w:val="32"/>
        </w:rPr>
        <w:t>2022年一般公共预算支出决算数为</w:t>
      </w:r>
      <w:r>
        <w:rPr>
          <w:rFonts w:hint="eastAsia" w:ascii="仿宋" w:hAnsi="仿宋" w:eastAsia="仿宋"/>
          <w:sz w:val="32"/>
          <w:szCs w:val="32"/>
        </w:rPr>
        <w:t>1890.5，</w:t>
      </w:r>
      <w:r>
        <w:rPr>
          <w:rStyle w:val="21"/>
          <w:rFonts w:hint="eastAsia" w:ascii="仿宋" w:hAnsi="仿宋" w:eastAsia="仿宋"/>
          <w:bCs/>
          <w:sz w:val="32"/>
          <w:szCs w:val="32"/>
        </w:rPr>
        <w:t>完成预算</w:t>
      </w:r>
      <w:r>
        <w:rPr>
          <w:rStyle w:val="21"/>
          <w:rFonts w:hint="eastAsia" w:ascii="仿宋" w:hAnsi="仿宋" w:eastAsia="仿宋"/>
          <w:bCs/>
          <w:sz w:val="32"/>
          <w:szCs w:val="32"/>
          <w:lang w:val="en-US" w:eastAsia="zh-CN"/>
        </w:rPr>
        <w:t>100</w:t>
      </w:r>
      <w:r>
        <w:rPr>
          <w:rStyle w:val="21"/>
          <w:rFonts w:ascii="仿宋" w:hAnsi="仿宋" w:eastAsia="仿宋"/>
          <w:bCs/>
          <w:sz w:val="32"/>
          <w:szCs w:val="32"/>
        </w:rPr>
        <w:t>%</w:t>
      </w:r>
      <w:r>
        <w:rPr>
          <w:rStyle w:val="21"/>
          <w:rFonts w:hint="eastAsia" w:ascii="仿宋" w:hAnsi="仿宋" w:eastAsia="仿宋"/>
          <w:bCs/>
          <w:sz w:val="32"/>
          <w:szCs w:val="32"/>
        </w:rPr>
        <w:t>。其中：</w:t>
      </w:r>
      <w:bookmarkEnd w:id="35"/>
      <w:bookmarkEnd w:id="36"/>
      <w:bookmarkEnd w:id="37"/>
    </w:p>
    <w:p w14:paraId="76981C70">
      <w:pPr>
        <w:spacing w:line="600" w:lineRule="exact"/>
        <w:ind w:firstLine="643" w:firstLineChars="200"/>
        <w:rPr>
          <w:rFonts w:ascii="仿宋" w:hAnsi="仿宋" w:eastAsia="仿宋"/>
          <w:b/>
          <w:sz w:val="32"/>
          <w:szCs w:val="32"/>
        </w:rPr>
      </w:pPr>
      <w:bookmarkStart w:id="38" w:name="_Toc15396608"/>
      <w:bookmarkStart w:id="39" w:name="_Toc15377214"/>
      <w:r>
        <w:rPr>
          <w:rStyle w:val="21"/>
          <w:rFonts w:ascii="仿宋" w:hAnsi="仿宋" w:eastAsia="仿宋"/>
          <w:bCs/>
          <w:sz w:val="32"/>
          <w:szCs w:val="32"/>
        </w:rPr>
        <w:t>1.</w:t>
      </w:r>
      <w:r>
        <w:rPr>
          <w:rStyle w:val="21"/>
          <w:rFonts w:hint="eastAsia" w:ascii="仿宋" w:hAnsi="仿宋" w:eastAsia="仿宋"/>
          <w:bCs/>
          <w:sz w:val="32"/>
          <w:szCs w:val="32"/>
        </w:rPr>
        <w:t>一般公共服务（类）组织事务（款）其他组织事务支出（项）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支出决算为7.62万元，完成预算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p>
    <w:p w14:paraId="10A3E531">
      <w:pPr>
        <w:spacing w:line="600" w:lineRule="exact"/>
        <w:ind w:firstLine="643" w:firstLineChars="200"/>
        <w:rPr>
          <w:rFonts w:hint="eastAsia" w:ascii="仿宋" w:hAnsi="仿宋" w:eastAsia="仿宋"/>
          <w:b/>
          <w:sz w:val="32"/>
          <w:szCs w:val="32"/>
          <w:lang w:eastAsia="zh-CN"/>
        </w:rPr>
      </w:pPr>
      <w:r>
        <w:rPr>
          <w:rStyle w:val="21"/>
          <w:rFonts w:ascii="仿宋" w:hAnsi="仿宋" w:eastAsia="仿宋"/>
          <w:bCs/>
          <w:sz w:val="32"/>
          <w:szCs w:val="32"/>
        </w:rPr>
        <w:t>2.</w:t>
      </w:r>
      <w:r>
        <w:rPr>
          <w:rStyle w:val="21"/>
          <w:rFonts w:hint="eastAsia" w:ascii="仿宋" w:hAnsi="仿宋" w:eastAsia="仿宋"/>
          <w:bCs/>
          <w:sz w:val="32"/>
          <w:szCs w:val="32"/>
        </w:rPr>
        <w:t>科学技术（类）科学技术管理事务（款）行政运行（项）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支出决算为546.92万元，完成预算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科学技术管理事务（款）</w:t>
      </w:r>
      <w:r>
        <w:rPr>
          <w:rStyle w:val="21"/>
          <w:rFonts w:hint="eastAsia" w:ascii="仿宋" w:hAnsi="仿宋" w:eastAsia="仿宋"/>
          <w:b/>
          <w:bCs w:val="0"/>
          <w:sz w:val="32"/>
          <w:szCs w:val="32"/>
          <w:lang w:eastAsia="zh-CN"/>
        </w:rPr>
        <w:t>其他科学技术管理事务支出</w:t>
      </w:r>
      <w:r>
        <w:rPr>
          <w:rStyle w:val="21"/>
          <w:rFonts w:hint="eastAsia" w:ascii="仿宋" w:hAnsi="仿宋" w:eastAsia="仿宋"/>
          <w:b/>
          <w:bCs w:val="0"/>
          <w:sz w:val="32"/>
          <w:szCs w:val="32"/>
        </w:rPr>
        <w:t>（项</w:t>
      </w:r>
      <w:r>
        <w:rPr>
          <w:rStyle w:val="21"/>
          <w:rFonts w:hint="eastAsia" w:ascii="仿宋" w:hAnsi="仿宋" w:eastAsia="仿宋"/>
          <w:bCs/>
          <w:sz w:val="32"/>
          <w:szCs w:val="32"/>
        </w:rPr>
        <w:t>）</w:t>
      </w:r>
      <w:r>
        <w:rPr>
          <w:rStyle w:val="21"/>
          <w:rFonts w:hint="eastAsia" w:ascii="仿宋" w:hAnsi="仿宋" w:eastAsia="仿宋"/>
          <w:bCs/>
          <w:sz w:val="32"/>
          <w:szCs w:val="32"/>
          <w:lang w:eastAsia="zh-CN"/>
        </w:rPr>
        <w:t>：</w:t>
      </w:r>
      <w:r>
        <w:rPr>
          <w:rStyle w:val="21"/>
          <w:rFonts w:hint="eastAsia" w:ascii="仿宋" w:hAnsi="仿宋" w:eastAsia="仿宋"/>
          <w:b w:val="0"/>
          <w:bCs/>
          <w:sz w:val="32"/>
          <w:szCs w:val="32"/>
        </w:rPr>
        <w:t>支出决算为2.87万元，完成预算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r>
        <w:rPr>
          <w:rStyle w:val="21"/>
          <w:rFonts w:hint="eastAsia" w:ascii="仿宋" w:hAnsi="仿宋" w:eastAsia="仿宋"/>
          <w:b w:val="0"/>
          <w:bCs/>
          <w:sz w:val="32"/>
          <w:szCs w:val="32"/>
          <w:lang w:eastAsia="zh-CN"/>
        </w:rPr>
        <w:t>；</w:t>
      </w:r>
      <w:r>
        <w:rPr>
          <w:rStyle w:val="21"/>
          <w:rFonts w:hint="eastAsia" w:ascii="仿宋" w:hAnsi="仿宋" w:eastAsia="仿宋"/>
          <w:b/>
          <w:bCs w:val="0"/>
          <w:sz w:val="32"/>
          <w:szCs w:val="32"/>
        </w:rPr>
        <w:t>技术研究与开发</w:t>
      </w:r>
      <w:r>
        <w:rPr>
          <w:rStyle w:val="21"/>
          <w:rFonts w:hint="eastAsia" w:ascii="仿宋" w:hAnsi="仿宋" w:eastAsia="仿宋"/>
          <w:b/>
          <w:bCs w:val="0"/>
          <w:sz w:val="32"/>
          <w:szCs w:val="32"/>
          <w:lang w:eastAsia="zh-CN"/>
        </w:rPr>
        <w:t>（款）科技成果转化与扩散（项）：</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19.42</w:t>
      </w:r>
      <w:r>
        <w:rPr>
          <w:rStyle w:val="21"/>
          <w:rFonts w:hint="eastAsia" w:ascii="仿宋" w:hAnsi="仿宋" w:eastAsia="仿宋"/>
          <w:b w:val="0"/>
          <w:bCs/>
          <w:sz w:val="32"/>
          <w:szCs w:val="32"/>
        </w:rPr>
        <w:t>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r>
        <w:rPr>
          <w:rStyle w:val="21"/>
          <w:rFonts w:hint="eastAsia" w:ascii="仿宋" w:hAnsi="仿宋" w:eastAsia="仿宋"/>
          <w:b w:val="0"/>
          <w:bCs/>
          <w:sz w:val="32"/>
          <w:szCs w:val="32"/>
          <w:lang w:eastAsia="zh-CN"/>
        </w:rPr>
        <w:t>；</w:t>
      </w:r>
      <w:r>
        <w:rPr>
          <w:rStyle w:val="21"/>
          <w:rFonts w:hint="eastAsia" w:ascii="仿宋" w:hAnsi="仿宋" w:eastAsia="仿宋"/>
          <w:b/>
          <w:bCs w:val="0"/>
          <w:sz w:val="32"/>
          <w:szCs w:val="32"/>
        </w:rPr>
        <w:t>科技条件与服务</w:t>
      </w:r>
      <w:r>
        <w:rPr>
          <w:rStyle w:val="21"/>
          <w:rFonts w:hint="eastAsia" w:ascii="仿宋" w:hAnsi="仿宋" w:eastAsia="仿宋"/>
          <w:b/>
          <w:bCs w:val="0"/>
          <w:sz w:val="32"/>
          <w:szCs w:val="32"/>
          <w:lang w:eastAsia="zh-CN"/>
        </w:rPr>
        <w:t>（款）机构运行（项）：</w:t>
      </w:r>
      <w:r>
        <w:rPr>
          <w:rStyle w:val="21"/>
          <w:rFonts w:hint="eastAsia" w:ascii="仿宋" w:hAnsi="仿宋" w:eastAsia="仿宋"/>
          <w:b w:val="0"/>
          <w:bCs/>
          <w:sz w:val="32"/>
          <w:szCs w:val="32"/>
        </w:rPr>
        <w:t>支出决算为686.64万元，完成预算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r>
        <w:rPr>
          <w:rStyle w:val="21"/>
          <w:rFonts w:hint="eastAsia" w:ascii="仿宋" w:hAnsi="仿宋" w:eastAsia="仿宋"/>
          <w:b w:val="0"/>
          <w:bCs/>
          <w:sz w:val="32"/>
          <w:szCs w:val="32"/>
          <w:lang w:eastAsia="zh-CN"/>
        </w:rPr>
        <w:t>；</w:t>
      </w:r>
      <w:r>
        <w:rPr>
          <w:rStyle w:val="21"/>
          <w:rFonts w:hint="eastAsia" w:ascii="仿宋" w:hAnsi="仿宋" w:eastAsia="仿宋"/>
          <w:b/>
          <w:bCs w:val="0"/>
          <w:sz w:val="32"/>
          <w:szCs w:val="32"/>
        </w:rPr>
        <w:t>其他科学技术支出</w:t>
      </w:r>
      <w:r>
        <w:rPr>
          <w:rStyle w:val="21"/>
          <w:rFonts w:hint="eastAsia" w:ascii="仿宋" w:hAnsi="仿宋" w:eastAsia="仿宋"/>
          <w:b/>
          <w:bCs w:val="0"/>
          <w:sz w:val="32"/>
          <w:szCs w:val="32"/>
          <w:lang w:eastAsia="zh-CN"/>
        </w:rPr>
        <w:t>（款）其他科学技术支出（项）：</w:t>
      </w:r>
      <w:r>
        <w:rPr>
          <w:rStyle w:val="21"/>
          <w:rFonts w:hint="eastAsia" w:ascii="仿宋" w:hAnsi="仿宋" w:eastAsia="仿宋"/>
          <w:b w:val="0"/>
          <w:bCs/>
          <w:sz w:val="32"/>
          <w:szCs w:val="32"/>
        </w:rPr>
        <w:t>支出决算为128.18万元，完成预算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r>
        <w:rPr>
          <w:rStyle w:val="21"/>
          <w:rFonts w:hint="eastAsia" w:ascii="仿宋" w:hAnsi="仿宋" w:eastAsia="仿宋"/>
          <w:b w:val="0"/>
          <w:bCs/>
          <w:sz w:val="32"/>
          <w:szCs w:val="32"/>
          <w:lang w:eastAsia="zh-CN"/>
        </w:rPr>
        <w:t>。</w:t>
      </w:r>
    </w:p>
    <w:p w14:paraId="50429EF3">
      <w:pPr>
        <w:spacing w:line="600" w:lineRule="exact"/>
        <w:ind w:firstLine="643" w:firstLineChars="200"/>
        <w:rPr>
          <w:rFonts w:hint="eastAsia" w:ascii="仿宋" w:hAnsi="仿宋" w:eastAsia="仿宋"/>
          <w:b/>
          <w:sz w:val="32"/>
          <w:szCs w:val="32"/>
          <w:lang w:eastAsia="zh-CN"/>
        </w:rPr>
      </w:pPr>
      <w:r>
        <w:rPr>
          <w:rStyle w:val="21"/>
          <w:rFonts w:hint="eastAsia" w:ascii="仿宋" w:hAnsi="仿宋" w:eastAsia="仿宋"/>
          <w:bCs/>
          <w:sz w:val="32"/>
          <w:szCs w:val="32"/>
          <w:lang w:val="en-US" w:eastAsia="zh-CN"/>
        </w:rPr>
        <w:t>3</w:t>
      </w:r>
      <w:r>
        <w:rPr>
          <w:rStyle w:val="21"/>
          <w:rFonts w:ascii="仿宋" w:hAnsi="仿宋" w:eastAsia="仿宋"/>
          <w:bCs/>
          <w:sz w:val="32"/>
          <w:szCs w:val="32"/>
        </w:rPr>
        <w:t>.</w:t>
      </w:r>
      <w:r>
        <w:rPr>
          <w:rStyle w:val="21"/>
          <w:rFonts w:hint="eastAsia" w:ascii="仿宋" w:hAnsi="仿宋" w:eastAsia="仿宋"/>
          <w:bCs/>
          <w:sz w:val="32"/>
          <w:szCs w:val="32"/>
        </w:rPr>
        <w:t>社会保障和就业（类）人力资源和社会保障管理事务（款）其他人力资源和社会保障管理事务支出（项）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0.23</w:t>
      </w:r>
      <w:r>
        <w:rPr>
          <w:rStyle w:val="21"/>
          <w:rFonts w:hint="eastAsia" w:ascii="仿宋" w:hAnsi="仿宋" w:eastAsia="仿宋"/>
          <w:b w:val="0"/>
          <w:bCs/>
          <w:sz w:val="32"/>
          <w:szCs w:val="32"/>
        </w:rPr>
        <w:t>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r>
        <w:rPr>
          <w:rStyle w:val="21"/>
          <w:rFonts w:hint="eastAsia" w:ascii="仿宋" w:hAnsi="仿宋" w:eastAsia="仿宋"/>
          <w:b w:val="0"/>
          <w:bCs/>
          <w:sz w:val="32"/>
          <w:szCs w:val="32"/>
          <w:lang w:eastAsia="zh-CN"/>
        </w:rPr>
        <w:t>；</w:t>
      </w:r>
      <w:r>
        <w:rPr>
          <w:rStyle w:val="21"/>
          <w:rFonts w:hint="eastAsia" w:ascii="仿宋" w:hAnsi="仿宋" w:eastAsia="仿宋"/>
          <w:b/>
          <w:bCs w:val="0"/>
          <w:sz w:val="32"/>
          <w:szCs w:val="32"/>
          <w:lang w:eastAsia="zh-CN"/>
        </w:rPr>
        <w:t>行政事业单位养老支出</w:t>
      </w:r>
      <w:r>
        <w:rPr>
          <w:rStyle w:val="21"/>
          <w:rFonts w:hint="eastAsia" w:ascii="仿宋" w:hAnsi="仿宋" w:eastAsia="仿宋"/>
          <w:bCs/>
          <w:sz w:val="32"/>
          <w:szCs w:val="32"/>
        </w:rPr>
        <w:t>（款）行政单位离退休（项）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143.62</w:t>
      </w:r>
      <w:r>
        <w:rPr>
          <w:rStyle w:val="21"/>
          <w:rFonts w:hint="eastAsia" w:ascii="仿宋" w:hAnsi="仿宋" w:eastAsia="仿宋"/>
          <w:b w:val="0"/>
          <w:bCs/>
          <w:sz w:val="32"/>
          <w:szCs w:val="32"/>
        </w:rPr>
        <w:t>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r>
        <w:rPr>
          <w:rStyle w:val="21"/>
          <w:rFonts w:hint="eastAsia" w:ascii="仿宋" w:hAnsi="仿宋" w:eastAsia="仿宋"/>
          <w:b w:val="0"/>
          <w:bCs/>
          <w:sz w:val="32"/>
          <w:szCs w:val="32"/>
          <w:lang w:eastAsia="zh-CN"/>
        </w:rPr>
        <w:t>；</w:t>
      </w:r>
      <w:r>
        <w:rPr>
          <w:rStyle w:val="21"/>
          <w:rFonts w:hint="eastAsia" w:ascii="仿宋" w:hAnsi="仿宋" w:eastAsia="仿宋"/>
          <w:b/>
          <w:bCs w:val="0"/>
          <w:sz w:val="32"/>
          <w:szCs w:val="32"/>
          <w:lang w:eastAsia="zh-CN"/>
        </w:rPr>
        <w:t>行政事业单位养老支出</w:t>
      </w:r>
      <w:r>
        <w:rPr>
          <w:rStyle w:val="21"/>
          <w:rFonts w:hint="eastAsia" w:ascii="仿宋" w:hAnsi="仿宋" w:eastAsia="仿宋"/>
          <w:bCs/>
          <w:sz w:val="32"/>
          <w:szCs w:val="32"/>
        </w:rPr>
        <w:t>（款）事业单位离退休（项）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132.59</w:t>
      </w:r>
      <w:r>
        <w:rPr>
          <w:rStyle w:val="21"/>
          <w:rFonts w:hint="eastAsia" w:ascii="仿宋" w:hAnsi="仿宋" w:eastAsia="仿宋"/>
          <w:b w:val="0"/>
          <w:bCs/>
          <w:sz w:val="32"/>
          <w:szCs w:val="32"/>
        </w:rPr>
        <w:t>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r>
        <w:rPr>
          <w:rStyle w:val="21"/>
          <w:rFonts w:hint="eastAsia" w:ascii="仿宋" w:hAnsi="仿宋" w:eastAsia="仿宋"/>
          <w:b w:val="0"/>
          <w:bCs/>
          <w:sz w:val="32"/>
          <w:szCs w:val="32"/>
          <w:lang w:eastAsia="zh-CN"/>
        </w:rPr>
        <w:t>；</w:t>
      </w:r>
      <w:r>
        <w:rPr>
          <w:rStyle w:val="21"/>
          <w:rFonts w:hint="eastAsia" w:ascii="仿宋" w:hAnsi="仿宋" w:eastAsia="仿宋"/>
          <w:b/>
          <w:bCs w:val="0"/>
          <w:sz w:val="32"/>
          <w:szCs w:val="32"/>
          <w:lang w:eastAsia="zh-CN"/>
        </w:rPr>
        <w:t>行政事业单位养老支出</w:t>
      </w:r>
      <w:r>
        <w:rPr>
          <w:rStyle w:val="21"/>
          <w:rFonts w:hint="eastAsia" w:ascii="仿宋" w:hAnsi="仿宋" w:eastAsia="仿宋"/>
          <w:bCs/>
          <w:sz w:val="32"/>
          <w:szCs w:val="32"/>
        </w:rPr>
        <w:t>（款）机关事业单位基本养老保险缴费支出（项）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99.77</w:t>
      </w:r>
      <w:r>
        <w:rPr>
          <w:rStyle w:val="21"/>
          <w:rFonts w:hint="eastAsia" w:ascii="仿宋" w:hAnsi="仿宋" w:eastAsia="仿宋"/>
          <w:b w:val="0"/>
          <w:bCs/>
          <w:sz w:val="32"/>
          <w:szCs w:val="32"/>
        </w:rPr>
        <w:t>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r>
        <w:rPr>
          <w:rStyle w:val="21"/>
          <w:rFonts w:hint="eastAsia" w:ascii="仿宋" w:hAnsi="仿宋" w:eastAsia="仿宋"/>
          <w:b w:val="0"/>
          <w:bCs/>
          <w:sz w:val="32"/>
          <w:szCs w:val="32"/>
          <w:lang w:eastAsia="zh-CN"/>
        </w:rPr>
        <w:t>；</w:t>
      </w:r>
      <w:r>
        <w:rPr>
          <w:rStyle w:val="21"/>
          <w:rFonts w:hint="eastAsia" w:ascii="仿宋" w:hAnsi="仿宋" w:eastAsia="仿宋"/>
          <w:b/>
          <w:bCs w:val="0"/>
          <w:sz w:val="32"/>
          <w:szCs w:val="32"/>
          <w:lang w:eastAsia="zh-CN"/>
        </w:rPr>
        <w:t>抚恤</w:t>
      </w:r>
      <w:r>
        <w:rPr>
          <w:rStyle w:val="21"/>
          <w:rFonts w:hint="eastAsia" w:ascii="仿宋" w:hAnsi="仿宋" w:eastAsia="仿宋"/>
          <w:bCs/>
          <w:sz w:val="32"/>
          <w:szCs w:val="32"/>
        </w:rPr>
        <w:t>（款）死亡抚恤</w:t>
      </w:r>
      <w:r>
        <w:rPr>
          <w:rStyle w:val="21"/>
          <w:rFonts w:hint="eastAsia" w:ascii="仿宋" w:hAnsi="仿宋" w:eastAsia="仿宋"/>
          <w:bCs/>
          <w:sz w:val="32"/>
          <w:szCs w:val="32"/>
          <w:lang w:eastAsia="zh-CN"/>
        </w:rPr>
        <w:t>（项目）：</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2.72</w:t>
      </w:r>
      <w:r>
        <w:rPr>
          <w:rStyle w:val="21"/>
          <w:rFonts w:hint="eastAsia" w:ascii="仿宋" w:hAnsi="仿宋" w:eastAsia="仿宋"/>
          <w:b w:val="0"/>
          <w:bCs/>
          <w:sz w:val="32"/>
          <w:szCs w:val="32"/>
        </w:rPr>
        <w:t>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r>
        <w:rPr>
          <w:rStyle w:val="21"/>
          <w:rFonts w:hint="eastAsia" w:ascii="仿宋" w:hAnsi="仿宋" w:eastAsia="仿宋"/>
          <w:b w:val="0"/>
          <w:bCs/>
          <w:sz w:val="32"/>
          <w:szCs w:val="32"/>
          <w:lang w:eastAsia="zh-CN"/>
        </w:rPr>
        <w:t>；</w:t>
      </w:r>
      <w:r>
        <w:rPr>
          <w:rStyle w:val="21"/>
          <w:rFonts w:hint="eastAsia" w:ascii="仿宋" w:hAnsi="仿宋" w:eastAsia="仿宋"/>
          <w:b/>
          <w:bCs w:val="0"/>
          <w:sz w:val="32"/>
          <w:szCs w:val="32"/>
          <w:lang w:eastAsia="zh-CN"/>
        </w:rPr>
        <w:t>社会福利</w:t>
      </w:r>
      <w:r>
        <w:rPr>
          <w:rStyle w:val="21"/>
          <w:rFonts w:hint="eastAsia" w:ascii="仿宋" w:hAnsi="仿宋" w:eastAsia="仿宋"/>
          <w:bCs/>
          <w:sz w:val="32"/>
          <w:szCs w:val="32"/>
        </w:rPr>
        <w:t>（款）儿童福利</w:t>
      </w:r>
      <w:r>
        <w:rPr>
          <w:rStyle w:val="21"/>
          <w:rFonts w:hint="eastAsia" w:ascii="仿宋" w:hAnsi="仿宋" w:eastAsia="仿宋"/>
          <w:bCs/>
          <w:sz w:val="32"/>
          <w:szCs w:val="32"/>
          <w:lang w:eastAsia="zh-CN"/>
        </w:rPr>
        <w:t>（项目）：</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1.07</w:t>
      </w:r>
      <w:r>
        <w:rPr>
          <w:rStyle w:val="21"/>
          <w:rFonts w:hint="eastAsia" w:ascii="仿宋" w:hAnsi="仿宋" w:eastAsia="仿宋"/>
          <w:b w:val="0"/>
          <w:bCs/>
          <w:sz w:val="32"/>
          <w:szCs w:val="32"/>
        </w:rPr>
        <w:t>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r>
        <w:rPr>
          <w:rStyle w:val="21"/>
          <w:rFonts w:hint="eastAsia" w:ascii="仿宋" w:hAnsi="仿宋" w:eastAsia="仿宋"/>
          <w:b w:val="0"/>
          <w:bCs/>
          <w:sz w:val="32"/>
          <w:szCs w:val="32"/>
          <w:lang w:eastAsia="zh-CN"/>
        </w:rPr>
        <w:t>。</w:t>
      </w:r>
    </w:p>
    <w:p w14:paraId="7B68D48A">
      <w:pPr>
        <w:spacing w:line="600" w:lineRule="exact"/>
        <w:ind w:firstLine="643" w:firstLineChars="200"/>
        <w:rPr>
          <w:rFonts w:ascii="仿宋" w:hAnsi="仿宋" w:eastAsia="仿宋"/>
          <w:b/>
          <w:sz w:val="32"/>
          <w:szCs w:val="32"/>
        </w:rPr>
      </w:pPr>
      <w:r>
        <w:rPr>
          <w:rStyle w:val="21"/>
          <w:rFonts w:hint="eastAsia" w:ascii="仿宋" w:hAnsi="仿宋" w:eastAsia="仿宋"/>
          <w:bCs/>
          <w:sz w:val="32"/>
          <w:szCs w:val="32"/>
          <w:lang w:val="en-US" w:eastAsia="zh-CN"/>
        </w:rPr>
        <w:t>4</w:t>
      </w:r>
      <w:r>
        <w:rPr>
          <w:rStyle w:val="21"/>
          <w:rFonts w:ascii="仿宋" w:hAnsi="仿宋" w:eastAsia="仿宋"/>
          <w:bCs/>
          <w:sz w:val="32"/>
          <w:szCs w:val="32"/>
        </w:rPr>
        <w:t>.</w:t>
      </w:r>
      <w:r>
        <w:rPr>
          <w:rFonts w:hint="eastAsia" w:ascii="仿宋" w:hAnsi="仿宋" w:eastAsia="仿宋"/>
          <w:b/>
          <w:bCs/>
          <w:sz w:val="32"/>
          <w:szCs w:val="32"/>
        </w:rPr>
        <w:t>卫生健康</w:t>
      </w:r>
      <w:r>
        <w:rPr>
          <w:rStyle w:val="21"/>
          <w:rFonts w:hint="eastAsia" w:ascii="仿宋" w:hAnsi="仿宋" w:eastAsia="仿宋"/>
          <w:bCs/>
          <w:sz w:val="32"/>
          <w:szCs w:val="32"/>
        </w:rPr>
        <w:t>（类）其他卫生健康支出（款）其他卫生健康支出（项）</w:t>
      </w:r>
      <w:r>
        <w:rPr>
          <w:rStyle w:val="21"/>
          <w:rFonts w:ascii="仿宋" w:hAnsi="仿宋" w:eastAsia="仿宋"/>
          <w:bCs/>
          <w:sz w:val="32"/>
          <w:szCs w:val="32"/>
        </w:rPr>
        <w:t>:</w:t>
      </w:r>
      <w:r>
        <w:rPr>
          <w:rStyle w:val="21"/>
          <w:rFonts w:hint="eastAsia" w:ascii="仿宋" w:hAnsi="仿宋" w:eastAsia="仿宋"/>
          <w:b w:val="0"/>
          <w:bCs/>
          <w:sz w:val="32"/>
          <w:szCs w:val="32"/>
        </w:rPr>
        <w:t>支出决算为0.36万元，完成预算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p>
    <w:p w14:paraId="6368F766">
      <w:pPr>
        <w:spacing w:line="600" w:lineRule="exact"/>
        <w:ind w:firstLine="643" w:firstLineChars="200"/>
        <w:rPr>
          <w:rFonts w:ascii="仿宋" w:hAnsi="仿宋" w:eastAsia="仿宋"/>
          <w:b/>
          <w:sz w:val="32"/>
          <w:szCs w:val="32"/>
        </w:rPr>
      </w:pPr>
      <w:r>
        <w:rPr>
          <w:rStyle w:val="21"/>
          <w:rFonts w:hint="eastAsia" w:ascii="仿宋" w:hAnsi="仿宋" w:eastAsia="仿宋"/>
          <w:bCs/>
          <w:sz w:val="32"/>
          <w:szCs w:val="32"/>
          <w:lang w:val="en-US" w:eastAsia="zh-CN"/>
        </w:rPr>
        <w:t>5</w:t>
      </w:r>
      <w:r>
        <w:rPr>
          <w:rStyle w:val="21"/>
          <w:rFonts w:ascii="仿宋" w:hAnsi="仿宋" w:eastAsia="仿宋"/>
          <w:bCs/>
          <w:sz w:val="32"/>
          <w:szCs w:val="32"/>
        </w:rPr>
        <w:t>.</w:t>
      </w:r>
      <w:r>
        <w:rPr>
          <w:rFonts w:hint="eastAsia" w:ascii="仿宋" w:hAnsi="仿宋" w:eastAsia="仿宋"/>
          <w:b/>
          <w:bCs/>
          <w:sz w:val="32"/>
          <w:szCs w:val="32"/>
        </w:rPr>
        <w:t>住房保障支出</w:t>
      </w:r>
      <w:r>
        <w:rPr>
          <w:rStyle w:val="21"/>
          <w:rFonts w:hint="eastAsia" w:ascii="仿宋" w:hAnsi="仿宋" w:eastAsia="仿宋"/>
          <w:bCs/>
          <w:sz w:val="32"/>
          <w:szCs w:val="32"/>
        </w:rPr>
        <w:t>（类）住房改革支出（款）住房公积金（项）</w:t>
      </w:r>
      <w:r>
        <w:rPr>
          <w:rStyle w:val="21"/>
          <w:rFonts w:ascii="仿宋" w:hAnsi="仿宋" w:eastAsia="仿宋"/>
          <w:bCs/>
          <w:sz w:val="32"/>
          <w:szCs w:val="32"/>
        </w:rPr>
        <w:t>:</w:t>
      </w:r>
      <w:r>
        <w:rPr>
          <w:rStyle w:val="21"/>
          <w:rFonts w:hint="eastAsia" w:ascii="仿宋" w:hAnsi="仿宋" w:eastAsia="仿宋"/>
          <w:b w:val="0"/>
          <w:bCs/>
          <w:sz w:val="32"/>
          <w:szCs w:val="32"/>
        </w:rPr>
        <w:t>支出决算为117.12万元，完成预算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p>
    <w:p w14:paraId="12F5363C">
      <w:pPr>
        <w:spacing w:line="600" w:lineRule="exact"/>
        <w:ind w:firstLine="640"/>
        <w:rPr>
          <w:rFonts w:hint="default" w:ascii="仿宋" w:hAnsi="仿宋" w:eastAsia="仿宋"/>
          <w:b/>
          <w:sz w:val="32"/>
          <w:szCs w:val="32"/>
          <w:lang w:val="en-US" w:eastAsia="zh-CN"/>
        </w:rPr>
      </w:pPr>
      <w:r>
        <w:rPr>
          <w:rFonts w:hint="eastAsia" w:ascii="仿宋" w:hAnsi="仿宋" w:eastAsia="仿宋"/>
          <w:b/>
          <w:sz w:val="32"/>
          <w:szCs w:val="32"/>
          <w:lang w:val="en-US" w:eastAsia="zh-CN"/>
        </w:rPr>
        <w:t>6.</w:t>
      </w:r>
      <w:r>
        <w:rPr>
          <w:rFonts w:hint="eastAsia" w:ascii="仿宋" w:hAnsi="仿宋" w:eastAsia="仿宋"/>
          <w:b/>
          <w:bCs/>
          <w:sz w:val="32"/>
          <w:szCs w:val="32"/>
        </w:rPr>
        <w:t>灾害防治及应急管理支出</w:t>
      </w:r>
      <w:r>
        <w:rPr>
          <w:rStyle w:val="21"/>
          <w:rFonts w:hint="eastAsia" w:ascii="仿宋" w:hAnsi="仿宋" w:eastAsia="仿宋"/>
          <w:bCs/>
          <w:sz w:val="32"/>
          <w:szCs w:val="32"/>
        </w:rPr>
        <w:t>（类）应急管理事务（款）行政运行（项）</w:t>
      </w:r>
      <w:r>
        <w:rPr>
          <w:rStyle w:val="21"/>
          <w:rFonts w:ascii="仿宋" w:hAnsi="仿宋" w:eastAsia="仿宋"/>
          <w:bCs/>
          <w:sz w:val="32"/>
          <w:szCs w:val="32"/>
        </w:rPr>
        <w:t>:</w:t>
      </w:r>
      <w:r>
        <w:rPr>
          <w:rStyle w:val="21"/>
          <w:rFonts w:hint="eastAsia" w:ascii="仿宋" w:hAnsi="仿宋" w:eastAsia="仿宋"/>
          <w:b w:val="0"/>
          <w:bCs/>
          <w:sz w:val="32"/>
          <w:szCs w:val="32"/>
        </w:rPr>
        <w:t>支出决算为1.38万元，完成预算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，决算数等于预算数。</w:t>
      </w:r>
    </w:p>
    <w:p w14:paraId="55D2A02B">
      <w:pPr>
        <w:tabs>
          <w:tab w:val="right" w:pos="8306"/>
        </w:tabs>
        <w:spacing w:line="600" w:lineRule="exact"/>
        <w:ind w:firstLine="640"/>
        <w:outlineLvl w:val="1"/>
        <w:rPr>
          <w:rStyle w:val="33"/>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3"/>
          <w:rFonts w:hint="eastAsia" w:ascii="黑体" w:hAnsi="黑体" w:eastAsia="黑体"/>
          <w:b w:val="0"/>
        </w:rPr>
        <w:t>般公共预算财政拨款基本支出决算情况说明</w:t>
      </w:r>
      <w:bookmarkEnd w:id="38"/>
      <w:bookmarkEnd w:id="39"/>
      <w:r>
        <w:rPr>
          <w:rStyle w:val="33"/>
          <w:rFonts w:ascii="黑体" w:hAnsi="黑体" w:eastAsia="黑体"/>
          <w:b w:val="0"/>
        </w:rPr>
        <w:tab/>
      </w:r>
    </w:p>
    <w:p w14:paraId="7E9D0AAC">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22年一般公共预算财政拨款基本支出1746.06万元，其中：</w:t>
      </w:r>
    </w:p>
    <w:p w14:paraId="49A23A87">
      <w:pPr>
        <w:spacing w:line="600" w:lineRule="exact"/>
        <w:ind w:firstLine="645"/>
        <w:rPr>
          <w:rFonts w:hint="eastAsia" w:ascii="仿宋" w:hAnsi="仿宋" w:eastAsia="仿宋"/>
          <w:sz w:val="32"/>
          <w:szCs w:val="32"/>
        </w:rPr>
      </w:pPr>
      <w:r>
        <w:rPr>
          <w:rFonts w:hint="eastAsia" w:ascii="仿宋" w:hAnsi="仿宋" w:eastAsia="仿宋"/>
          <w:sz w:val="32"/>
          <w:szCs w:val="32"/>
        </w:rPr>
        <w:t>人员经费1597.05万元，主要包括：基本工资、津贴补贴、奖金、绩效工资</w:t>
      </w:r>
      <w:r>
        <w:rPr>
          <w:rFonts w:hint="eastAsia" w:ascii="仿宋" w:hAnsi="仿宋" w:eastAsia="仿宋"/>
          <w:sz w:val="32"/>
          <w:szCs w:val="32"/>
          <w:lang w:eastAsia="zh-CN"/>
        </w:rPr>
        <w:t>、</w:t>
      </w:r>
      <w:r>
        <w:rPr>
          <w:rFonts w:hint="eastAsia" w:ascii="仿宋" w:hAnsi="仿宋" w:eastAsia="仿宋"/>
          <w:sz w:val="32"/>
          <w:szCs w:val="32"/>
        </w:rPr>
        <w:t>机关事业单位基本养老保险缴费</w:t>
      </w:r>
      <w:r>
        <w:rPr>
          <w:rFonts w:hint="eastAsia" w:ascii="仿宋" w:hAnsi="仿宋" w:eastAsia="仿宋"/>
          <w:sz w:val="32"/>
          <w:szCs w:val="32"/>
          <w:lang w:eastAsia="zh-CN"/>
        </w:rPr>
        <w:t>、</w:t>
      </w:r>
      <w:r>
        <w:rPr>
          <w:rFonts w:hint="eastAsia" w:ascii="仿宋" w:hAnsi="仿宋" w:eastAsia="仿宋"/>
          <w:sz w:val="32"/>
          <w:szCs w:val="32"/>
        </w:rPr>
        <w:t>职工基本医疗保险缴费</w:t>
      </w:r>
      <w:r>
        <w:rPr>
          <w:rFonts w:hint="eastAsia" w:ascii="仿宋" w:hAnsi="仿宋" w:eastAsia="仿宋"/>
          <w:sz w:val="32"/>
          <w:szCs w:val="32"/>
          <w:lang w:eastAsia="zh-CN"/>
        </w:rPr>
        <w:t>、公务员医疗补助缴费</w:t>
      </w:r>
      <w:r>
        <w:rPr>
          <w:rFonts w:hint="eastAsia" w:ascii="仿宋" w:hAnsi="仿宋" w:eastAsia="仿宋"/>
          <w:sz w:val="32"/>
          <w:szCs w:val="32"/>
        </w:rPr>
        <w:t>、其他社会保障缴费</w:t>
      </w:r>
      <w:r>
        <w:rPr>
          <w:rFonts w:hint="eastAsia" w:ascii="仿宋" w:hAnsi="仿宋" w:eastAsia="仿宋"/>
          <w:sz w:val="32"/>
          <w:szCs w:val="32"/>
          <w:lang w:eastAsia="zh-CN"/>
        </w:rPr>
        <w:t>、</w:t>
      </w:r>
      <w:r>
        <w:rPr>
          <w:rFonts w:hint="eastAsia" w:ascii="仿宋" w:hAnsi="仿宋" w:eastAsia="仿宋"/>
          <w:sz w:val="32"/>
          <w:szCs w:val="32"/>
        </w:rPr>
        <w:t>住房公积金、其他工资福利支出、对个人和家庭的补助</w:t>
      </w:r>
      <w:r>
        <w:rPr>
          <w:rFonts w:hint="eastAsia" w:ascii="仿宋" w:hAnsi="仿宋" w:eastAsia="仿宋"/>
          <w:sz w:val="32"/>
          <w:szCs w:val="32"/>
          <w:lang w:eastAsia="zh-CN"/>
        </w:rPr>
        <w:t>、</w:t>
      </w:r>
      <w:r>
        <w:rPr>
          <w:rFonts w:hint="eastAsia" w:ascii="仿宋" w:hAnsi="仿宋" w:eastAsia="仿宋"/>
          <w:sz w:val="32"/>
          <w:szCs w:val="32"/>
        </w:rPr>
        <w:t>离休费、抚恤金、生活补助、医疗费补助。</w:t>
      </w:r>
    </w:p>
    <w:p w14:paraId="449298F5">
      <w:pPr>
        <w:spacing w:line="600" w:lineRule="exact"/>
        <w:ind w:firstLine="645"/>
        <w:rPr>
          <w:rFonts w:ascii="仿宋" w:hAnsi="仿宋" w:eastAsia="仿宋"/>
          <w:sz w:val="32"/>
          <w:szCs w:val="32"/>
        </w:rPr>
      </w:pPr>
      <w:r>
        <w:rPr>
          <w:rFonts w:hint="eastAsia" w:ascii="仿宋" w:hAnsi="仿宋" w:eastAsia="仿宋"/>
          <w:sz w:val="32"/>
          <w:szCs w:val="32"/>
        </w:rPr>
        <w:t>公用经费149.01万元，主要包括：办公费</w:t>
      </w:r>
      <w:r>
        <w:rPr>
          <w:rFonts w:hint="eastAsia" w:ascii="仿宋" w:hAnsi="仿宋" w:eastAsia="仿宋"/>
          <w:sz w:val="32"/>
          <w:szCs w:val="32"/>
          <w:lang w:eastAsia="zh-CN"/>
        </w:rPr>
        <w:t>、</w:t>
      </w:r>
      <w:r>
        <w:rPr>
          <w:rFonts w:hint="eastAsia" w:ascii="仿宋" w:hAnsi="仿宋" w:eastAsia="仿宋"/>
          <w:sz w:val="32"/>
          <w:szCs w:val="32"/>
        </w:rPr>
        <w:t>印刷费</w:t>
      </w:r>
      <w:r>
        <w:rPr>
          <w:rFonts w:hint="eastAsia" w:ascii="仿宋" w:hAnsi="仿宋" w:eastAsia="仿宋"/>
          <w:sz w:val="32"/>
          <w:szCs w:val="32"/>
          <w:lang w:eastAsia="zh-CN"/>
        </w:rPr>
        <w:t>、咨询费、</w:t>
      </w:r>
      <w:r>
        <w:rPr>
          <w:rFonts w:hint="eastAsia" w:ascii="仿宋" w:hAnsi="仿宋" w:eastAsia="仿宋"/>
          <w:sz w:val="32"/>
          <w:szCs w:val="32"/>
        </w:rPr>
        <w:t>水费、电费、邮电费、物业管理费、差旅费、会议费、培训费、公务接待费、劳务费、工会经费、福利费、公务用车运行维护费、其他交通费、其他商品和服务支出。</w:t>
      </w:r>
    </w:p>
    <w:p w14:paraId="2DE1D52E">
      <w:pPr>
        <w:spacing w:line="600" w:lineRule="exact"/>
        <w:ind w:firstLine="640"/>
        <w:outlineLvl w:val="1"/>
        <w:rPr>
          <w:rStyle w:val="33"/>
          <w:rFonts w:ascii="黑体" w:hAnsi="黑体" w:eastAsia="黑体"/>
          <w:b w:val="0"/>
        </w:rPr>
      </w:pPr>
      <w:bookmarkStart w:id="40" w:name="_Toc15377215"/>
      <w:bookmarkStart w:id="41" w:name="_Toc15396609"/>
      <w:r>
        <w:rPr>
          <w:rFonts w:hint="eastAsia" w:ascii="黑体" w:eastAsia="黑体"/>
          <w:sz w:val="32"/>
          <w:szCs w:val="32"/>
        </w:rPr>
        <w:t>七、</w:t>
      </w:r>
      <w:r>
        <w:rPr>
          <w:rStyle w:val="33"/>
          <w:rFonts w:hint="eastAsia" w:ascii="黑体" w:hAnsi="黑体" w:eastAsia="黑体"/>
          <w:b w:val="0"/>
        </w:rPr>
        <w:t>财政拨款</w:t>
      </w:r>
      <w:r>
        <w:rPr>
          <w:rStyle w:val="33"/>
          <w:rFonts w:hint="eastAsia" w:ascii="黑体" w:hAnsi="黑体" w:eastAsia="黑体"/>
        </w:rPr>
        <w:t>“</w:t>
      </w:r>
      <w:r>
        <w:rPr>
          <w:rStyle w:val="33"/>
          <w:rFonts w:hint="eastAsia" w:ascii="黑体" w:hAnsi="黑体" w:eastAsia="黑体"/>
          <w:b w:val="0"/>
        </w:rPr>
        <w:t>三公”经费支出决算情况说明</w:t>
      </w:r>
      <w:bookmarkEnd w:id="40"/>
      <w:bookmarkEnd w:id="41"/>
    </w:p>
    <w:p w14:paraId="76FD3D46">
      <w:pPr>
        <w:spacing w:line="600" w:lineRule="exact"/>
        <w:ind w:firstLine="640"/>
        <w:outlineLvl w:val="2"/>
        <w:rPr>
          <w:rFonts w:ascii="仿宋" w:hAnsi="仿宋" w:eastAsia="仿宋"/>
          <w:b/>
          <w:sz w:val="32"/>
          <w:szCs w:val="32"/>
        </w:rPr>
      </w:pPr>
      <w:bookmarkStart w:id="42" w:name="_Toc15377216"/>
      <w:r>
        <w:rPr>
          <w:rFonts w:hint="eastAsia" w:ascii="仿宋" w:hAnsi="仿宋" w:eastAsia="仿宋"/>
          <w:b/>
          <w:sz w:val="32"/>
          <w:szCs w:val="32"/>
        </w:rPr>
        <w:t>（一）“三公”经费财政拨款支出决算总体情况说明</w:t>
      </w:r>
      <w:bookmarkEnd w:id="42"/>
    </w:p>
    <w:p w14:paraId="109F31C5">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22年“三公”经费财政拨款支出决算为7.39万元，完成预算</w:t>
      </w:r>
      <w:r>
        <w:rPr>
          <w:rFonts w:hint="eastAsia" w:ascii="仿宋" w:hAnsi="仿宋" w:eastAsia="仿宋"/>
          <w:sz w:val="32"/>
          <w:szCs w:val="32"/>
          <w:lang w:val="en-US" w:eastAsia="zh-CN"/>
        </w:rPr>
        <w:t>66.1</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2.39</w:t>
      </w:r>
      <w:r>
        <w:rPr>
          <w:rFonts w:hint="eastAsia" w:ascii="仿宋" w:hAnsi="仿宋" w:eastAsia="仿宋"/>
          <w:sz w:val="32"/>
          <w:szCs w:val="32"/>
        </w:rPr>
        <w:t>万元，下降</w:t>
      </w:r>
      <w:r>
        <w:rPr>
          <w:rFonts w:hint="eastAsia" w:ascii="仿宋" w:hAnsi="仿宋" w:eastAsia="仿宋"/>
          <w:sz w:val="32"/>
          <w:szCs w:val="32"/>
          <w:lang w:val="en-US" w:eastAsia="zh-CN"/>
        </w:rPr>
        <w:t>24.44</w:t>
      </w:r>
      <w:r>
        <w:rPr>
          <w:rFonts w:hint="eastAsia" w:ascii="仿宋" w:hAnsi="仿宋" w:eastAsia="仿宋"/>
          <w:sz w:val="32"/>
          <w:szCs w:val="32"/>
        </w:rPr>
        <w:t>%。决算数小于预算数的主要原因是</w:t>
      </w:r>
      <w:r>
        <w:rPr>
          <w:rFonts w:hint="eastAsia" w:ascii="仿宋" w:hAnsi="仿宋" w:eastAsia="仿宋"/>
          <w:sz w:val="32"/>
          <w:szCs w:val="32"/>
          <w:lang w:eastAsia="zh-CN"/>
        </w:rPr>
        <w:t>严控三公经费支出</w:t>
      </w:r>
      <w:r>
        <w:rPr>
          <w:rFonts w:hint="eastAsia" w:ascii="仿宋" w:hAnsi="仿宋" w:eastAsia="仿宋"/>
          <w:sz w:val="32"/>
          <w:szCs w:val="32"/>
        </w:rPr>
        <w:t>。</w:t>
      </w:r>
    </w:p>
    <w:p w14:paraId="5D7A2892">
      <w:pPr>
        <w:spacing w:line="600" w:lineRule="exact"/>
        <w:ind w:firstLine="640"/>
        <w:outlineLvl w:val="2"/>
        <w:rPr>
          <w:rFonts w:ascii="仿宋" w:hAnsi="仿宋" w:eastAsia="仿宋"/>
          <w:b/>
          <w:sz w:val="32"/>
          <w:szCs w:val="32"/>
        </w:rPr>
      </w:pPr>
      <w:bookmarkStart w:id="43" w:name="_Toc15377217"/>
      <w:r>
        <w:rPr>
          <w:rFonts w:hint="eastAsia" w:ascii="仿宋" w:hAnsi="仿宋" w:eastAsia="仿宋"/>
          <w:b/>
          <w:sz w:val="32"/>
          <w:szCs w:val="32"/>
        </w:rPr>
        <w:t>（二）“三公”经费财政拨款支出决算具体情况说明</w:t>
      </w:r>
      <w:bookmarkEnd w:id="43"/>
    </w:p>
    <w:p w14:paraId="3C043EBA">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；公务用车购置及运行维护费支出决算6.75万元，占</w:t>
      </w:r>
      <w:r>
        <w:rPr>
          <w:rFonts w:hint="eastAsia" w:ascii="仿宋" w:hAnsi="仿宋" w:eastAsia="仿宋"/>
          <w:sz w:val="32"/>
          <w:szCs w:val="32"/>
          <w:lang w:val="en-US" w:eastAsia="zh-CN"/>
        </w:rPr>
        <w:t>91.34</w:t>
      </w:r>
      <w:r>
        <w:rPr>
          <w:rFonts w:ascii="仿宋" w:hAnsi="仿宋" w:eastAsia="仿宋"/>
          <w:sz w:val="32"/>
          <w:szCs w:val="32"/>
        </w:rPr>
        <w:t>%</w:t>
      </w:r>
      <w:r>
        <w:rPr>
          <w:rFonts w:hint="eastAsia" w:ascii="仿宋" w:hAnsi="仿宋" w:eastAsia="仿宋"/>
          <w:sz w:val="32"/>
          <w:szCs w:val="32"/>
        </w:rPr>
        <w:t>；公务接待费支出决算0.64万元，占</w:t>
      </w:r>
      <w:r>
        <w:rPr>
          <w:rFonts w:hint="eastAsia" w:ascii="仿宋" w:hAnsi="仿宋" w:eastAsia="仿宋"/>
          <w:sz w:val="32"/>
          <w:szCs w:val="32"/>
          <w:lang w:val="en-US" w:eastAsia="zh-CN"/>
        </w:rPr>
        <w:t>8.66</w:t>
      </w:r>
      <w:r>
        <w:rPr>
          <w:rFonts w:ascii="仿宋" w:hAnsi="仿宋" w:eastAsia="仿宋"/>
          <w:sz w:val="32"/>
          <w:szCs w:val="32"/>
        </w:rPr>
        <w:t>%</w:t>
      </w:r>
      <w:r>
        <w:rPr>
          <w:rFonts w:hint="eastAsia" w:ascii="仿宋" w:hAnsi="仿宋" w:eastAsia="仿宋"/>
          <w:sz w:val="32"/>
          <w:szCs w:val="32"/>
        </w:rPr>
        <w:t>。具体情况如下：</w:t>
      </w:r>
    </w:p>
    <w:p w14:paraId="3E3E576A">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2D2FC440">
      <w:pPr>
        <w:spacing w:line="600" w:lineRule="exact"/>
        <w:ind w:firstLine="640"/>
        <w:rPr>
          <w:rFonts w:ascii="仿宋_GB2312" w:eastAsia="仿宋_GB2312"/>
          <w:b/>
          <w:sz w:val="32"/>
          <w:szCs w:val="32"/>
        </w:rPr>
      </w:pPr>
      <w:r>
        <w:rPr>
          <w:rFonts w:hint="eastAsia" w:eastAsia="仿宋_GB2312"/>
          <w:lang w:eastAsia="zh-CN"/>
        </w:rPr>
        <w:drawing>
          <wp:anchor distT="0" distB="0" distL="114300" distR="114300" simplePos="0" relativeHeight="251665408" behindDoc="0" locked="0" layoutInCell="1" allowOverlap="1">
            <wp:simplePos x="0" y="0"/>
            <wp:positionH relativeFrom="column">
              <wp:posOffset>657225</wp:posOffset>
            </wp:positionH>
            <wp:positionV relativeFrom="paragraph">
              <wp:posOffset>232410</wp:posOffset>
            </wp:positionV>
            <wp:extent cx="3956050" cy="2548255"/>
            <wp:effectExtent l="0" t="0" r="6350" b="4445"/>
            <wp:wrapSquare wrapText="bothSides"/>
            <wp:docPr id="7" name="图片 7"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7"/>
                    <pic:cNvPicPr>
                      <a:picLocks noChangeAspect="1"/>
                    </pic:cNvPicPr>
                  </pic:nvPicPr>
                  <pic:blipFill>
                    <a:blip r:embed="rId12"/>
                    <a:stretch>
                      <a:fillRect/>
                    </a:stretch>
                  </pic:blipFill>
                  <pic:spPr>
                    <a:xfrm>
                      <a:off x="0" y="0"/>
                      <a:ext cx="3956050" cy="2548255"/>
                    </a:xfrm>
                    <a:prstGeom prst="rect">
                      <a:avLst/>
                    </a:prstGeom>
                  </pic:spPr>
                </pic:pic>
              </a:graphicData>
            </a:graphic>
          </wp:anchor>
        </w:drawing>
      </w:r>
    </w:p>
    <w:p w14:paraId="0A4DA30C">
      <w:pPr>
        <w:spacing w:line="600" w:lineRule="exact"/>
        <w:ind w:firstLine="640"/>
        <w:rPr>
          <w:rFonts w:ascii="仿宋_GB2312" w:eastAsia="仿宋_GB2312"/>
          <w:b/>
          <w:sz w:val="32"/>
          <w:szCs w:val="32"/>
        </w:rPr>
      </w:pPr>
    </w:p>
    <w:p w14:paraId="72A3111F">
      <w:pPr>
        <w:spacing w:line="600" w:lineRule="exact"/>
        <w:ind w:firstLine="640"/>
        <w:rPr>
          <w:rFonts w:ascii="仿宋_GB2312" w:eastAsia="仿宋_GB2312"/>
          <w:b/>
          <w:sz w:val="32"/>
          <w:szCs w:val="32"/>
        </w:rPr>
      </w:pPr>
    </w:p>
    <w:p w14:paraId="0D67AC4F">
      <w:pPr>
        <w:spacing w:line="600" w:lineRule="exact"/>
        <w:ind w:firstLine="640"/>
        <w:rPr>
          <w:rFonts w:ascii="仿宋_GB2312" w:eastAsia="仿宋_GB2312"/>
          <w:b/>
          <w:sz w:val="32"/>
          <w:szCs w:val="32"/>
        </w:rPr>
      </w:pPr>
    </w:p>
    <w:p w14:paraId="6AD787FF">
      <w:pPr>
        <w:pStyle w:val="2"/>
        <w:rPr>
          <w:rFonts w:hint="eastAsia" w:eastAsia="仿宋_GB2312"/>
          <w:lang w:eastAsia="zh-CN"/>
        </w:rPr>
      </w:pPr>
    </w:p>
    <w:p w14:paraId="0F091DBA">
      <w:pPr>
        <w:spacing w:line="600" w:lineRule="exact"/>
        <w:ind w:firstLine="640"/>
        <w:rPr>
          <w:rFonts w:ascii="仿宋_GB2312" w:eastAsia="仿宋_GB2312"/>
          <w:b/>
          <w:sz w:val="32"/>
          <w:szCs w:val="32"/>
        </w:rPr>
      </w:pPr>
    </w:p>
    <w:p w14:paraId="46D0AC9C">
      <w:pPr>
        <w:spacing w:line="600" w:lineRule="exact"/>
        <w:ind w:firstLine="640"/>
        <w:rPr>
          <w:rFonts w:ascii="仿宋_GB2312" w:eastAsia="仿宋_GB2312"/>
          <w:b/>
          <w:sz w:val="32"/>
          <w:szCs w:val="32"/>
        </w:rPr>
      </w:pPr>
    </w:p>
    <w:p w14:paraId="294DFE4C">
      <w:pPr>
        <w:spacing w:line="600" w:lineRule="exact"/>
        <w:ind w:firstLine="640"/>
        <w:rPr>
          <w:rFonts w:ascii="仿宋_GB2312" w:eastAsia="仿宋_GB2312"/>
          <w:b/>
          <w:sz w:val="32"/>
          <w:szCs w:val="32"/>
        </w:rPr>
      </w:pPr>
    </w:p>
    <w:p w14:paraId="214AD7A9">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0</w:t>
      </w:r>
      <w:r>
        <w:rPr>
          <w:rStyle w:val="21"/>
          <w:rFonts w:ascii="仿宋" w:hAnsi="仿宋" w:eastAsia="仿宋"/>
          <w:b w:val="0"/>
          <w:bCs/>
          <w:sz w:val="32"/>
          <w:szCs w:val="32"/>
        </w:rPr>
        <w:t>%</w:t>
      </w:r>
      <w:r>
        <w:rPr>
          <w:rStyle w:val="21"/>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w:t>
      </w:r>
    </w:p>
    <w:p w14:paraId="1F9AA314">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 w:hAnsi="仿宋" w:eastAsia="仿宋"/>
          <w:sz w:val="32"/>
          <w:szCs w:val="32"/>
        </w:rPr>
        <w:t>6.75</w:t>
      </w:r>
      <w:r>
        <w:rPr>
          <w:rFonts w:hint="eastAsia" w:ascii="仿宋_GB2312" w:eastAsia="仿宋_GB2312"/>
          <w:sz w:val="32"/>
          <w:szCs w:val="32"/>
        </w:rPr>
        <w:t>万元,</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76.27</w:t>
      </w:r>
      <w:r>
        <w:rPr>
          <w:rStyle w:val="21"/>
          <w:rFonts w:ascii="仿宋" w:hAnsi="仿宋" w:eastAsia="仿宋"/>
          <w:b w:val="0"/>
          <w:bCs/>
          <w:sz w:val="32"/>
          <w:szCs w:val="32"/>
        </w:rPr>
        <w:t>%</w:t>
      </w:r>
      <w:r>
        <w:rPr>
          <w:rStyle w:val="21"/>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0.92</w:t>
      </w:r>
      <w:r>
        <w:rPr>
          <w:rFonts w:hint="eastAsia" w:ascii="仿宋_GB2312" w:eastAsia="仿宋_GB2312"/>
          <w:sz w:val="32"/>
          <w:szCs w:val="32"/>
        </w:rPr>
        <w:t>万元，下降</w:t>
      </w:r>
      <w:r>
        <w:rPr>
          <w:rFonts w:hint="eastAsia" w:ascii="仿宋_GB2312" w:eastAsia="仿宋_GB2312"/>
          <w:sz w:val="32"/>
          <w:szCs w:val="32"/>
          <w:lang w:val="en-US" w:eastAsia="zh-CN"/>
        </w:rPr>
        <w:t>11.99</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加强公车管理，严控公车经费支出</w:t>
      </w:r>
      <w:r>
        <w:rPr>
          <w:rFonts w:hint="eastAsia" w:ascii="仿宋_GB2312" w:eastAsia="仿宋_GB2312"/>
          <w:sz w:val="32"/>
          <w:szCs w:val="32"/>
        </w:rPr>
        <w:t>。</w:t>
      </w:r>
    </w:p>
    <w:p w14:paraId="2E244DB7">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4</w:t>
      </w:r>
      <w:r>
        <w:rPr>
          <w:rFonts w:hint="eastAsia" w:ascii="仿宋_GB2312" w:eastAsia="仿宋_GB2312"/>
          <w:sz w:val="32"/>
          <w:szCs w:val="32"/>
        </w:rPr>
        <w:t>辆，其中：轿车</w:t>
      </w:r>
      <w:r>
        <w:rPr>
          <w:rFonts w:hint="eastAsia" w:ascii="仿宋_GB2312" w:eastAsia="仿宋_GB2312"/>
          <w:sz w:val="32"/>
          <w:szCs w:val="32"/>
          <w:lang w:val="en-US" w:eastAsia="zh-CN"/>
        </w:rPr>
        <w:t>3</w:t>
      </w:r>
      <w:r>
        <w:rPr>
          <w:rFonts w:hint="eastAsia" w:ascii="仿宋_GB2312" w:eastAsia="仿宋_GB2312"/>
          <w:sz w:val="32"/>
          <w:szCs w:val="32"/>
        </w:rPr>
        <w:t>辆、越野车</w:t>
      </w:r>
      <w:r>
        <w:rPr>
          <w:rFonts w:hint="eastAsia" w:ascii="仿宋_GB2312" w:eastAsia="仿宋_GB2312"/>
          <w:sz w:val="32"/>
          <w:szCs w:val="32"/>
          <w:lang w:val="en-US" w:eastAsia="zh-CN"/>
        </w:rPr>
        <w:t>1</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1A4FE2E0">
      <w:pPr>
        <w:spacing w:line="600" w:lineRule="exact"/>
        <w:ind w:firstLine="640"/>
        <w:rPr>
          <w:rFonts w:hint="eastAsia" w:ascii="仿宋_GB2312" w:eastAsia="仿宋_GB2312"/>
          <w:sz w:val="32"/>
          <w:szCs w:val="32"/>
          <w:lang w:eastAsia="zh-CN"/>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6.75</w:t>
      </w:r>
      <w:r>
        <w:rPr>
          <w:rFonts w:hint="eastAsia" w:ascii="仿宋_GB2312" w:eastAsia="仿宋_GB2312"/>
          <w:sz w:val="32"/>
          <w:szCs w:val="32"/>
        </w:rPr>
        <w:t>万元。</w:t>
      </w:r>
      <w:r>
        <w:rPr>
          <w:rFonts w:hint="eastAsia" w:ascii="仿宋_GB2312" w:eastAsia="仿宋_GB2312"/>
          <w:sz w:val="32"/>
          <w:szCs w:val="32"/>
          <w:lang w:val="en-US" w:eastAsia="zh-CN"/>
        </w:rPr>
        <w:t>主</w:t>
      </w:r>
      <w:r>
        <w:rPr>
          <w:rFonts w:hint="eastAsia" w:ascii="仿宋_GB2312" w:eastAsia="仿宋_GB2312"/>
          <w:sz w:val="32"/>
          <w:szCs w:val="32"/>
          <w:lang w:eastAsia="zh-CN"/>
        </w:rPr>
        <w:t>要用于项目调研、乡村振兴、执行公务、开展业务活动开支的公务用车燃料费、维修费、过路过桥费、保险费等支出。</w:t>
      </w:r>
    </w:p>
    <w:p w14:paraId="7EDB437C">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0.64</w:t>
      </w:r>
      <w:r>
        <w:rPr>
          <w:rFonts w:hint="eastAsia" w:ascii="仿宋_GB2312" w:eastAsia="仿宋_GB2312"/>
          <w:sz w:val="32"/>
          <w:szCs w:val="32"/>
        </w:rPr>
        <w:t>万元，</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27.47</w:t>
      </w:r>
      <w:r>
        <w:rPr>
          <w:rStyle w:val="21"/>
          <w:rFonts w:ascii="仿宋" w:hAnsi="仿宋" w:eastAsia="仿宋"/>
          <w:b w:val="0"/>
          <w:bCs/>
          <w:sz w:val="32"/>
          <w:szCs w:val="32"/>
        </w:rPr>
        <w:t>%</w:t>
      </w:r>
      <w:r>
        <w:rPr>
          <w:rStyle w:val="21"/>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1.46</w:t>
      </w:r>
      <w:r>
        <w:rPr>
          <w:rFonts w:hint="eastAsia" w:ascii="仿宋_GB2312" w:eastAsia="仿宋_GB2312"/>
          <w:sz w:val="32"/>
          <w:szCs w:val="32"/>
        </w:rPr>
        <w:t>万元，下降</w:t>
      </w:r>
      <w:r>
        <w:rPr>
          <w:rFonts w:hint="eastAsia" w:ascii="仿宋_GB2312" w:eastAsia="仿宋_GB2312"/>
          <w:sz w:val="32"/>
          <w:szCs w:val="32"/>
          <w:lang w:val="en-US" w:eastAsia="zh-CN"/>
        </w:rPr>
        <w:t>69.52</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接待任务减少</w:t>
      </w:r>
      <w:r>
        <w:rPr>
          <w:rFonts w:hint="eastAsia" w:ascii="仿宋_GB2312" w:eastAsia="仿宋_GB2312"/>
          <w:sz w:val="32"/>
          <w:szCs w:val="32"/>
        </w:rPr>
        <w:t>。其中：</w:t>
      </w:r>
    </w:p>
    <w:p w14:paraId="5F2A3B9C">
      <w:pPr>
        <w:spacing w:line="600" w:lineRule="exact"/>
        <w:ind w:firstLine="640"/>
        <w:rPr>
          <w:rFonts w:hint="eastAsia" w:ascii="仿宋_GB2312" w:eastAsia="仿宋_GB2312"/>
          <w:sz w:val="32"/>
          <w:szCs w:val="32"/>
          <w:lang w:eastAsia="zh-CN"/>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0.64</w:t>
      </w:r>
      <w:r>
        <w:rPr>
          <w:rFonts w:hint="eastAsia" w:ascii="仿宋_GB2312" w:eastAsia="仿宋_GB2312"/>
          <w:sz w:val="32"/>
          <w:szCs w:val="32"/>
        </w:rPr>
        <w:t>万元，主要用于省厅领导来攀调研指导等活动开支的用餐费。国内公务接待</w:t>
      </w:r>
      <w:r>
        <w:rPr>
          <w:rFonts w:hint="eastAsia" w:ascii="仿宋_GB2312" w:eastAsia="仿宋_GB2312"/>
          <w:sz w:val="32"/>
          <w:szCs w:val="32"/>
          <w:lang w:val="en-US" w:eastAsia="zh-CN"/>
        </w:rPr>
        <w:t>6</w:t>
      </w:r>
      <w:r>
        <w:rPr>
          <w:rFonts w:hint="eastAsia" w:ascii="仿宋_GB2312" w:eastAsia="仿宋_GB2312"/>
          <w:sz w:val="32"/>
          <w:szCs w:val="32"/>
        </w:rPr>
        <w:t>批次，</w:t>
      </w:r>
      <w:r>
        <w:rPr>
          <w:rFonts w:hint="eastAsia" w:ascii="仿宋_GB2312" w:eastAsia="仿宋_GB2312"/>
          <w:sz w:val="32"/>
          <w:szCs w:val="32"/>
          <w:lang w:val="en-US" w:eastAsia="zh-CN"/>
        </w:rPr>
        <w:t>33</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0.64</w:t>
      </w:r>
      <w:r>
        <w:rPr>
          <w:rFonts w:hint="eastAsia" w:ascii="仿宋_GB2312" w:eastAsia="仿宋_GB2312"/>
          <w:sz w:val="32"/>
          <w:szCs w:val="32"/>
        </w:rPr>
        <w:t>万元，具体内容包括：1.</w:t>
      </w:r>
      <w:r>
        <w:rPr>
          <w:rFonts w:hint="eastAsia" w:ascii="仿宋_GB2312" w:eastAsia="仿宋_GB2312"/>
          <w:sz w:val="32"/>
          <w:szCs w:val="32"/>
          <w:lang w:eastAsia="zh-CN"/>
        </w:rPr>
        <w:t>省厅吴群刚书记到攀调研</w:t>
      </w:r>
      <w:r>
        <w:rPr>
          <w:rFonts w:hint="eastAsia" w:ascii="仿宋_GB2312" w:eastAsia="仿宋_GB2312"/>
          <w:sz w:val="32"/>
          <w:szCs w:val="32"/>
        </w:rPr>
        <w:t>接待费</w:t>
      </w:r>
      <w:r>
        <w:rPr>
          <w:rFonts w:hint="eastAsia" w:ascii="仿宋_GB2312" w:eastAsia="仿宋_GB2312"/>
          <w:sz w:val="32"/>
          <w:szCs w:val="32"/>
          <w:lang w:val="en-US" w:eastAsia="zh-CN"/>
        </w:rPr>
        <w:t>0.18万</w:t>
      </w:r>
      <w:r>
        <w:rPr>
          <w:rFonts w:hint="eastAsia"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2.科技交流合作接待费0.04万</w:t>
      </w:r>
      <w:r>
        <w:rPr>
          <w:rFonts w:hint="eastAsia" w:ascii="仿宋_GB2312" w:eastAsia="仿宋_GB2312"/>
          <w:sz w:val="32"/>
          <w:szCs w:val="32"/>
        </w:rPr>
        <w:t>元</w:t>
      </w:r>
      <w:r>
        <w:rPr>
          <w:rFonts w:hint="eastAsia" w:ascii="仿宋_GB2312" w:eastAsia="仿宋_GB2312"/>
          <w:sz w:val="32"/>
          <w:szCs w:val="32"/>
          <w:lang w:val="en-US" w:eastAsia="zh-CN"/>
        </w:rPr>
        <w:t>；3.省厅赴攀调研国家级高新区接待费0.1万</w:t>
      </w:r>
      <w:r>
        <w:rPr>
          <w:rFonts w:hint="eastAsia" w:ascii="仿宋_GB2312" w:eastAsia="仿宋_GB2312"/>
          <w:sz w:val="32"/>
          <w:szCs w:val="32"/>
        </w:rPr>
        <w:t>元</w:t>
      </w:r>
      <w:r>
        <w:rPr>
          <w:rFonts w:hint="eastAsia" w:ascii="仿宋_GB2312" w:eastAsia="仿宋_GB2312"/>
          <w:sz w:val="32"/>
          <w:szCs w:val="32"/>
          <w:lang w:val="en-US" w:eastAsia="zh-CN"/>
        </w:rPr>
        <w:t>；4.全省农业科技园区调研接待费0.09万</w:t>
      </w:r>
      <w:r>
        <w:rPr>
          <w:rFonts w:hint="eastAsia" w:ascii="仿宋_GB2312" w:eastAsia="仿宋_GB2312"/>
          <w:sz w:val="32"/>
          <w:szCs w:val="32"/>
        </w:rPr>
        <w:t>元</w:t>
      </w:r>
      <w:r>
        <w:rPr>
          <w:rFonts w:hint="eastAsia" w:ascii="仿宋_GB2312" w:eastAsia="仿宋_GB2312"/>
          <w:sz w:val="32"/>
          <w:szCs w:val="32"/>
          <w:lang w:val="en-US" w:eastAsia="zh-CN"/>
        </w:rPr>
        <w:t>；5.</w:t>
      </w:r>
      <w:r>
        <w:rPr>
          <w:rFonts w:hint="eastAsia" w:ascii="仿宋_GB2312" w:eastAsia="仿宋_GB2312"/>
          <w:sz w:val="32"/>
          <w:szCs w:val="32"/>
        </w:rPr>
        <w:t>省社会科学院来攀调研接待</w:t>
      </w:r>
      <w:r>
        <w:rPr>
          <w:rFonts w:hint="eastAsia" w:ascii="仿宋_GB2312" w:eastAsia="仿宋_GB2312"/>
          <w:sz w:val="32"/>
          <w:szCs w:val="32"/>
          <w:lang w:val="en-US" w:eastAsia="zh-CN"/>
        </w:rPr>
        <w:t>0.1万</w:t>
      </w:r>
      <w:r>
        <w:rPr>
          <w:rFonts w:hint="eastAsia"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6.</w:t>
      </w:r>
      <w:r>
        <w:rPr>
          <w:rFonts w:hint="eastAsia" w:ascii="仿宋_GB2312" w:eastAsia="仿宋_GB2312"/>
          <w:sz w:val="32"/>
          <w:szCs w:val="32"/>
        </w:rPr>
        <w:t>省科技厅来攀检查接待餐费0.12万元。</w:t>
      </w:r>
    </w:p>
    <w:p w14:paraId="2951D85E">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5BF03408">
      <w:pPr>
        <w:spacing w:line="600" w:lineRule="exact"/>
        <w:ind w:firstLine="640"/>
        <w:outlineLvl w:val="1"/>
        <w:rPr>
          <w:rStyle w:val="33"/>
          <w:rFonts w:ascii="黑体" w:hAnsi="黑体" w:eastAsia="黑体"/>
        </w:rPr>
      </w:pPr>
      <w:bookmarkStart w:id="44" w:name="_Toc15396610"/>
      <w:bookmarkStart w:id="45" w:name="_Toc15377218"/>
      <w:r>
        <w:rPr>
          <w:rFonts w:hint="eastAsia" w:ascii="黑体" w:eastAsia="黑体"/>
          <w:sz w:val="32"/>
          <w:szCs w:val="32"/>
        </w:rPr>
        <w:t>八、</w:t>
      </w:r>
      <w:r>
        <w:rPr>
          <w:rStyle w:val="33"/>
          <w:rFonts w:hint="eastAsia" w:ascii="黑体" w:hAnsi="黑体" w:eastAsia="黑体"/>
          <w:b w:val="0"/>
        </w:rPr>
        <w:t>政府性基金预算支出决算情况说明</w:t>
      </w:r>
      <w:bookmarkEnd w:id="44"/>
      <w:bookmarkEnd w:id="45"/>
    </w:p>
    <w:p w14:paraId="044E171B">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3CF0FC86">
      <w:pPr>
        <w:numPr>
          <w:ilvl w:val="0"/>
          <w:numId w:val="2"/>
        </w:numPr>
        <w:spacing w:line="600" w:lineRule="exact"/>
        <w:ind w:firstLine="640"/>
        <w:outlineLvl w:val="1"/>
        <w:rPr>
          <w:rStyle w:val="33"/>
          <w:rFonts w:ascii="黑体" w:hAnsi="黑体" w:eastAsia="黑体"/>
          <w:b w:val="0"/>
        </w:rPr>
      </w:pPr>
      <w:bookmarkStart w:id="46" w:name="_Toc15396611"/>
      <w:bookmarkStart w:id="47" w:name="_Toc15377219"/>
      <w:r>
        <w:rPr>
          <w:rStyle w:val="33"/>
          <w:rFonts w:hint="eastAsia" w:ascii="黑体" w:hAnsi="黑体" w:eastAsia="黑体"/>
          <w:b w:val="0"/>
        </w:rPr>
        <w:t>国有资本经营预算支出决算情况说明</w:t>
      </w:r>
      <w:bookmarkEnd w:id="46"/>
      <w:bookmarkEnd w:id="47"/>
    </w:p>
    <w:p w14:paraId="54FDC421">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1E91FCF2">
      <w:pPr>
        <w:numPr>
          <w:ilvl w:val="0"/>
          <w:numId w:val="2"/>
        </w:numPr>
        <w:spacing w:line="600" w:lineRule="exact"/>
        <w:ind w:firstLine="640"/>
        <w:outlineLvl w:val="1"/>
        <w:rPr>
          <w:rStyle w:val="33"/>
          <w:rFonts w:ascii="黑体" w:hAnsi="黑体" w:eastAsia="黑体"/>
          <w:b w:val="0"/>
        </w:rPr>
      </w:pPr>
      <w:bookmarkStart w:id="48" w:name="_Toc15377221"/>
      <w:bookmarkStart w:id="49" w:name="_Toc15396612"/>
      <w:r>
        <w:rPr>
          <w:rStyle w:val="33"/>
          <w:rFonts w:hint="eastAsia" w:ascii="黑体" w:hAnsi="黑体" w:eastAsia="黑体"/>
          <w:b w:val="0"/>
        </w:rPr>
        <w:t>其他重要事项的情况说明</w:t>
      </w:r>
      <w:bookmarkEnd w:id="48"/>
      <w:bookmarkEnd w:id="49"/>
    </w:p>
    <w:p w14:paraId="5BA54DC9">
      <w:pPr>
        <w:spacing w:line="600" w:lineRule="exact"/>
        <w:ind w:firstLine="643" w:firstLineChars="200"/>
        <w:outlineLvl w:val="2"/>
        <w:rPr>
          <w:rFonts w:ascii="仿宋" w:hAnsi="仿宋" w:eastAsia="仿宋"/>
          <w:sz w:val="32"/>
          <w:szCs w:val="32"/>
        </w:rPr>
      </w:pPr>
      <w:bookmarkStart w:id="50" w:name="_Toc15377222"/>
      <w:r>
        <w:rPr>
          <w:rFonts w:hint="eastAsia" w:ascii="仿宋" w:hAnsi="仿宋" w:eastAsia="仿宋"/>
          <w:b/>
          <w:sz w:val="32"/>
          <w:szCs w:val="32"/>
        </w:rPr>
        <w:t>（一）机关运行经费支出情况</w:t>
      </w:r>
      <w:bookmarkEnd w:id="50"/>
    </w:p>
    <w:p w14:paraId="3EF3E856">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市科技局</w:t>
      </w:r>
      <w:r>
        <w:rPr>
          <w:rFonts w:hint="eastAsia" w:ascii="仿宋_GB2312" w:eastAsia="仿宋_GB2312"/>
          <w:sz w:val="32"/>
          <w:szCs w:val="32"/>
        </w:rPr>
        <w:t>机关运行经费支出86.64万元，比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9.3</w:t>
      </w:r>
      <w:r>
        <w:rPr>
          <w:rFonts w:hint="eastAsia" w:ascii="仿宋_GB2312" w:eastAsia="仿宋_GB2312"/>
          <w:sz w:val="32"/>
          <w:szCs w:val="32"/>
        </w:rPr>
        <w:t>万元，下降</w:t>
      </w:r>
      <w:r>
        <w:rPr>
          <w:rFonts w:hint="eastAsia" w:ascii="仿宋_GB2312" w:eastAsia="仿宋_GB2312"/>
          <w:sz w:val="32"/>
          <w:szCs w:val="32"/>
          <w:lang w:val="en-US" w:eastAsia="zh-CN"/>
        </w:rPr>
        <w:t>9.69</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有人员退休，公用经费支出减少。</w:t>
      </w:r>
    </w:p>
    <w:p w14:paraId="2B01F971">
      <w:pPr>
        <w:autoSpaceDE w:val="0"/>
        <w:autoSpaceDN w:val="0"/>
        <w:adjustRightInd w:val="0"/>
        <w:spacing w:line="600" w:lineRule="exact"/>
        <w:ind w:firstLine="643" w:firstLineChars="200"/>
        <w:jc w:val="left"/>
        <w:outlineLvl w:val="2"/>
        <w:rPr>
          <w:rFonts w:ascii="仿宋" w:hAnsi="仿宋" w:eastAsia="仿宋"/>
          <w:b/>
          <w:sz w:val="32"/>
          <w:szCs w:val="32"/>
        </w:rPr>
      </w:pPr>
      <w:bookmarkStart w:id="51" w:name="_Toc15377223"/>
      <w:r>
        <w:rPr>
          <w:rFonts w:hint="eastAsia" w:ascii="仿宋" w:hAnsi="仿宋" w:eastAsia="仿宋"/>
          <w:b/>
          <w:sz w:val="32"/>
          <w:szCs w:val="32"/>
        </w:rPr>
        <w:t>（二）政府采购支出情况</w:t>
      </w:r>
      <w:bookmarkEnd w:id="51"/>
    </w:p>
    <w:p w14:paraId="51612B51">
      <w:pPr>
        <w:spacing w:line="600" w:lineRule="exact"/>
        <w:ind w:firstLine="640" w:firstLineChars="20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22年，</w:t>
      </w:r>
      <w:r>
        <w:rPr>
          <w:rFonts w:hint="eastAsia" w:ascii="仿宋_GB2312" w:eastAsia="仿宋_GB2312"/>
          <w:color w:val="auto"/>
          <w:sz w:val="32"/>
          <w:szCs w:val="32"/>
          <w:lang w:eastAsia="zh-CN"/>
        </w:rPr>
        <w:t>市科技局</w:t>
      </w:r>
      <w:r>
        <w:rPr>
          <w:rFonts w:hint="eastAsia" w:ascii="仿宋_GB2312" w:eastAsia="仿宋_GB2312"/>
          <w:color w:val="auto"/>
          <w:sz w:val="32"/>
          <w:szCs w:val="32"/>
        </w:rPr>
        <w:t>政府采购支出总额</w:t>
      </w:r>
      <w:r>
        <w:rPr>
          <w:rFonts w:hint="eastAsia" w:ascii="仿宋_GB2312" w:eastAsia="仿宋_GB2312"/>
          <w:color w:val="auto"/>
          <w:sz w:val="32"/>
          <w:szCs w:val="32"/>
          <w:lang w:val="en-US" w:eastAsia="zh-CN"/>
        </w:rPr>
        <w:t>5.42</w:t>
      </w:r>
      <w:r>
        <w:rPr>
          <w:rFonts w:hint="eastAsia" w:ascii="仿宋_GB2312" w:eastAsia="仿宋_GB2312"/>
          <w:color w:val="auto"/>
          <w:sz w:val="32"/>
          <w:szCs w:val="32"/>
        </w:rPr>
        <w:t>万元万元，其中：政府采购货物支出</w:t>
      </w:r>
      <w:r>
        <w:rPr>
          <w:rFonts w:hint="eastAsia" w:ascii="仿宋_GB2312" w:eastAsia="仿宋_GB2312"/>
          <w:color w:val="auto"/>
          <w:sz w:val="32"/>
          <w:szCs w:val="32"/>
          <w:lang w:val="en-US" w:eastAsia="zh-CN"/>
        </w:rPr>
        <w:t>5.42</w:t>
      </w:r>
      <w:r>
        <w:rPr>
          <w:rFonts w:hint="eastAsia" w:ascii="仿宋_GB2312" w:eastAsia="仿宋_GB2312"/>
          <w:color w:val="auto"/>
          <w:sz w:val="32"/>
          <w:szCs w:val="32"/>
        </w:rPr>
        <w:t>万元万元、政府采购工程支出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万元、政府采购服务支出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万元。主要用于购买办公用计算机一台和打印机一台。授予中小企业合同金额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万元，占政府采购支出总额的</w:t>
      </w:r>
      <w:r>
        <w:rPr>
          <w:rFonts w:hint="eastAsia" w:ascii="仿宋_GB2312" w:eastAsia="仿宋_GB2312"/>
          <w:color w:val="auto"/>
          <w:sz w:val="32"/>
          <w:szCs w:val="32"/>
          <w:lang w:val="en-US" w:eastAsia="zh-CN"/>
        </w:rPr>
        <w:t>0</w:t>
      </w:r>
      <w:r>
        <w:rPr>
          <w:rFonts w:ascii="仿宋_GB2312" w:eastAsia="仿宋_GB2312"/>
          <w:color w:val="auto"/>
          <w:sz w:val="32"/>
          <w:szCs w:val="32"/>
        </w:rPr>
        <w:t>%</w:t>
      </w:r>
      <w:r>
        <w:rPr>
          <w:rFonts w:hint="eastAsia" w:ascii="仿宋_GB2312" w:eastAsia="仿宋_GB2312"/>
          <w:color w:val="auto"/>
          <w:sz w:val="32"/>
          <w:szCs w:val="32"/>
        </w:rPr>
        <w:t>，其中：授予小微企业合同金额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万元，占政府采购支出总额的</w:t>
      </w:r>
      <w:r>
        <w:rPr>
          <w:rFonts w:hint="eastAsia" w:ascii="仿宋_GB2312" w:eastAsia="仿宋_GB2312"/>
          <w:color w:val="auto"/>
          <w:sz w:val="32"/>
          <w:szCs w:val="32"/>
          <w:lang w:val="en-US" w:eastAsia="zh-CN"/>
        </w:rPr>
        <w:t>0</w:t>
      </w:r>
      <w:r>
        <w:rPr>
          <w:rFonts w:ascii="仿宋_GB2312" w:eastAsia="仿宋_GB2312"/>
          <w:color w:val="auto"/>
          <w:sz w:val="32"/>
          <w:szCs w:val="32"/>
        </w:rPr>
        <w:t>%</w:t>
      </w:r>
      <w:r>
        <w:rPr>
          <w:rFonts w:hint="eastAsia" w:ascii="仿宋_GB2312" w:eastAsia="仿宋_GB2312"/>
          <w:color w:val="auto"/>
          <w:sz w:val="32"/>
          <w:szCs w:val="32"/>
        </w:rPr>
        <w:t>。</w:t>
      </w:r>
    </w:p>
    <w:p w14:paraId="3DAB0A6F">
      <w:pPr>
        <w:autoSpaceDE w:val="0"/>
        <w:autoSpaceDN w:val="0"/>
        <w:adjustRightInd w:val="0"/>
        <w:spacing w:line="600" w:lineRule="exact"/>
        <w:ind w:firstLine="643" w:firstLineChars="200"/>
        <w:jc w:val="left"/>
        <w:outlineLvl w:val="2"/>
        <w:rPr>
          <w:rFonts w:ascii="仿宋" w:hAnsi="仿宋" w:eastAsia="仿宋"/>
          <w:b/>
          <w:sz w:val="32"/>
          <w:szCs w:val="32"/>
        </w:rPr>
      </w:pPr>
      <w:bookmarkStart w:id="52" w:name="_Toc15377224"/>
      <w:r>
        <w:rPr>
          <w:rFonts w:hint="eastAsia" w:ascii="仿宋" w:hAnsi="仿宋" w:eastAsia="仿宋"/>
          <w:b/>
          <w:sz w:val="32"/>
          <w:szCs w:val="32"/>
        </w:rPr>
        <w:t>（三）国有资产占有使用情况</w:t>
      </w:r>
      <w:bookmarkEnd w:id="52"/>
    </w:p>
    <w:p w14:paraId="261C8277">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截至2022年12月31日，</w:t>
      </w:r>
      <w:r>
        <w:rPr>
          <w:rFonts w:hint="eastAsia" w:ascii="仿宋_GB2312" w:hAnsi="Times New Roman" w:eastAsia="仿宋_GB2312" w:cs="Times New Roman"/>
          <w:sz w:val="32"/>
          <w:szCs w:val="32"/>
          <w:lang w:eastAsia="zh-CN"/>
        </w:rPr>
        <w:t>市科技局</w:t>
      </w:r>
      <w:r>
        <w:rPr>
          <w:rFonts w:hint="eastAsia" w:ascii="仿宋_GB2312" w:hAnsi="Times New Roman" w:eastAsia="仿宋_GB2312" w:cs="Times New Roman"/>
          <w:sz w:val="32"/>
          <w:szCs w:val="32"/>
        </w:rPr>
        <w:t>共有车辆</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辆，其中：主要领导干部用车</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辆、机要通信用车</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辆、应急保障用车</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辆、其他用车</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辆，其他用车主要是用于项目调研、乡村振兴</w:t>
      </w:r>
      <w:r>
        <w:rPr>
          <w:rFonts w:hint="eastAsia" w:ascii="仿宋_GB2312" w:hAnsi="Times New Roman" w:eastAsia="仿宋_GB2312" w:cs="Times New Roman"/>
          <w:sz w:val="32"/>
          <w:szCs w:val="32"/>
          <w:lang w:eastAsia="zh-CN"/>
        </w:rPr>
        <w:t>等工作</w:t>
      </w:r>
      <w:r>
        <w:rPr>
          <w:rFonts w:hint="eastAsia" w:ascii="仿宋_GB2312" w:hAnsi="Times New Roman" w:eastAsia="仿宋_GB2312" w:cs="Times New Roman"/>
          <w:sz w:val="32"/>
          <w:szCs w:val="32"/>
        </w:rPr>
        <w:t>。单价100万元以上专用设备</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台（套）。</w:t>
      </w:r>
    </w:p>
    <w:p w14:paraId="09AAFF95">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00F10099">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根据预算绩效管理要求，本部门在2022年度预算编制阶段，组织对干部教育培训项目（项目名称）等</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个项目开展绩效监控。</w:t>
      </w:r>
    </w:p>
    <w:p w14:paraId="7CBB63FF">
      <w:pPr>
        <w:pStyle w:val="16"/>
        <w:ind w:firstLine="640" w:firstLineChars="200"/>
        <w:rPr>
          <w:rFonts w:ascii="仿宋_GB2312" w:eastAsia="仿宋_GB2312"/>
          <w:b/>
          <w:sz w:val="32"/>
          <w:szCs w:val="32"/>
        </w:rPr>
      </w:pP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eastAsia="zh-CN"/>
        </w:rPr>
        <w:t>攀枝花市科学技术局</w:t>
      </w:r>
      <w:r>
        <w:rPr>
          <w:rFonts w:hint="eastAsia" w:ascii="仿宋_GB2312" w:hAnsi="仿宋_GB2312" w:eastAsia="仿宋_GB2312" w:cs="仿宋_GB2312"/>
          <w:sz w:val="32"/>
          <w:szCs w:val="32"/>
        </w:rPr>
        <w:t>部门整体（含部门预算项目）绩效自评报告、</w:t>
      </w:r>
      <w:r>
        <w:rPr>
          <w:rFonts w:hint="eastAsia" w:ascii="仿宋_GB2312" w:hAnsi="仿宋_GB2312" w:eastAsia="仿宋_GB2312" w:cs="仿宋_GB2312"/>
          <w:sz w:val="32"/>
          <w:szCs w:val="32"/>
          <w:lang w:val="en-US" w:eastAsia="zh-CN"/>
        </w:rPr>
        <w:t>“低成本高强韧钛合金材料制备关键技术研究”</w:t>
      </w:r>
      <w:r>
        <w:rPr>
          <w:rFonts w:hint="eastAsia" w:ascii="仿宋_GB2312" w:hAnsi="仿宋_GB2312" w:eastAsia="仿宋_GB2312" w:cs="仿宋_GB2312"/>
          <w:sz w:val="32"/>
          <w:szCs w:val="32"/>
        </w:rPr>
        <w:t>等专项预算项目绩效自评报告，其中，</w:t>
      </w:r>
      <w:r>
        <w:rPr>
          <w:rFonts w:hint="eastAsia" w:ascii="仿宋_GB2312" w:hAnsi="仿宋_GB2312" w:eastAsia="仿宋_GB2312" w:cs="仿宋_GB2312"/>
          <w:sz w:val="32"/>
          <w:szCs w:val="32"/>
          <w:lang w:eastAsia="zh-CN"/>
        </w:rPr>
        <w:t>攀枝花市科学技术局</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分，绩效自评综述：2022 年,</w:t>
      </w:r>
      <w:r>
        <w:rPr>
          <w:rFonts w:hint="eastAsia" w:ascii="仿宋_GB2312" w:hAnsi="仿宋_GB2312" w:eastAsia="仿宋_GB2312" w:cs="仿宋_GB2312"/>
          <w:sz w:val="32"/>
          <w:szCs w:val="32"/>
          <w:lang w:eastAsia="zh-CN"/>
        </w:rPr>
        <w:t>市科技</w:t>
      </w:r>
      <w:r>
        <w:rPr>
          <w:rFonts w:hint="eastAsia" w:ascii="仿宋_GB2312" w:hAnsi="仿宋_GB2312" w:eastAsia="仿宋_GB2312" w:cs="仿宋_GB2312"/>
          <w:sz w:val="32"/>
          <w:szCs w:val="32"/>
        </w:rPr>
        <w:t>局持续深入实施创新驱动发展战略,以提高自主创新能力为核心,大力推动“卡脖子”技术攻关,推进“揭榜挂帅”“赛马制”“包干制”等开放合作机制,积极搭建科技创新联合体,不断开创科技创新工作新局面。在项目实施过程中,项目资金预算编制准确,部门整体绩效目标编制完整、合理,项目绩效目标编制明确,执行预算制度到位,基绩效目标,取得了良好的经济、社会和生态效益,有力助推了攀枝花市科技创新工作的持续高效开展；</w:t>
      </w:r>
      <w:r>
        <w:rPr>
          <w:rFonts w:hint="eastAsia" w:ascii="仿宋_GB2312" w:hAnsi="仿宋_GB2312" w:eastAsia="仿宋_GB2312" w:cs="仿宋_GB2312"/>
          <w:sz w:val="32"/>
          <w:szCs w:val="32"/>
          <w:lang w:val="en-US" w:eastAsia="zh-CN"/>
        </w:rPr>
        <w:t>“低成本高强韧钛合金材料制备关键技术研究”</w:t>
      </w:r>
      <w:r>
        <w:rPr>
          <w:rFonts w:hint="eastAsia" w:ascii="仿宋_GB2312" w:hAnsi="仿宋_GB2312" w:eastAsia="仿宋_GB2312" w:cs="仿宋_GB2312"/>
          <w:sz w:val="32"/>
          <w:szCs w:val="32"/>
        </w:rPr>
        <w:t>专项预算项目绩效自评得分为</w:t>
      </w:r>
      <w:r>
        <w:rPr>
          <w:rFonts w:hint="eastAsia" w:hAnsi="仿宋_GB2312" w:cs="仿宋_GB2312"/>
          <w:sz w:val="32"/>
          <w:szCs w:val="32"/>
          <w:lang w:val="en-US" w:eastAsia="zh-CN"/>
        </w:rPr>
        <w:t>95</w:t>
      </w:r>
      <w:r>
        <w:rPr>
          <w:rFonts w:hint="eastAsia" w:ascii="仿宋_GB2312" w:hAnsi="仿宋_GB2312" w:eastAsia="仿宋_GB2312" w:cs="仿宋_GB2312"/>
          <w:sz w:val="32"/>
          <w:szCs w:val="32"/>
        </w:rPr>
        <w:t>分，绩效自评综述：</w:t>
      </w:r>
      <w:r>
        <w:rPr>
          <w:rFonts w:hint="eastAsia" w:hAnsi="仿宋_GB2312" w:cs="仿宋_GB2312"/>
          <w:kern w:val="2"/>
          <w:sz w:val="32"/>
          <w:szCs w:val="32"/>
          <w:lang w:val="en-US" w:eastAsia="zh-CN" w:bidi="ar-SA"/>
        </w:rPr>
        <w:t>本项目</w:t>
      </w:r>
      <w:r>
        <w:rPr>
          <w:rFonts w:hint="eastAsia" w:ascii="仿宋_GB2312" w:hAnsi="仿宋_GB2312" w:eastAsia="仿宋_GB2312" w:cs="仿宋_GB2312"/>
          <w:kern w:val="2"/>
          <w:sz w:val="32"/>
          <w:szCs w:val="32"/>
          <w:lang w:val="en-US" w:eastAsia="zh-CN" w:bidi="ar-SA"/>
        </w:rPr>
        <w:t>根据计划进度有序开展项目研究内容，计划任务书中制定的2022年度研究内容、研究目标完成率超过60%，后期加快推进本项目的应用研究</w:t>
      </w:r>
      <w:r>
        <w:rPr>
          <w:rFonts w:hint="eastAsia" w:ascii="仿宋_GB2312" w:hAnsi="仿宋_GB2312" w:eastAsia="仿宋_GB2312" w:cs="仿宋_GB2312"/>
          <w:sz w:val="32"/>
          <w:szCs w:val="32"/>
        </w:rPr>
        <w:t>。绩效自评报告详见附件。</w:t>
      </w:r>
      <w:r>
        <w:rPr>
          <w:rFonts w:ascii="仿宋_GB2312" w:eastAsia="仿宋_GB2312"/>
          <w:b/>
          <w:sz w:val="32"/>
          <w:szCs w:val="32"/>
        </w:rPr>
        <w:br w:type="page"/>
      </w:r>
    </w:p>
    <w:p w14:paraId="6AF8580E">
      <w:pPr>
        <w:numPr>
          <w:ilvl w:val="0"/>
          <w:numId w:val="3"/>
        </w:numPr>
        <w:spacing w:line="600" w:lineRule="exact"/>
        <w:ind w:firstLine="660" w:firstLineChars="150"/>
        <w:jc w:val="center"/>
        <w:outlineLvl w:val="0"/>
        <w:rPr>
          <w:rStyle w:val="32"/>
          <w:rFonts w:ascii="黑体" w:hAnsi="黑体" w:eastAsia="黑体"/>
          <w:b w:val="0"/>
        </w:rPr>
      </w:pPr>
      <w:bookmarkStart w:id="53" w:name="_Toc15396613"/>
      <w:bookmarkStart w:id="54" w:name="_Toc15377225"/>
      <w:r>
        <w:rPr>
          <w:rFonts w:hint="eastAsia" w:ascii="黑体" w:hAnsi="黑体" w:eastAsia="黑体"/>
          <w:sz w:val="44"/>
          <w:szCs w:val="44"/>
        </w:rPr>
        <w:t>名</w:t>
      </w:r>
      <w:r>
        <w:rPr>
          <w:rStyle w:val="32"/>
          <w:rFonts w:hint="eastAsia" w:ascii="黑体" w:hAnsi="黑体" w:eastAsia="黑体"/>
          <w:b w:val="0"/>
        </w:rPr>
        <w:t>词解释</w:t>
      </w:r>
      <w:bookmarkEnd w:id="53"/>
      <w:bookmarkEnd w:id="54"/>
    </w:p>
    <w:p w14:paraId="297AF1B3">
      <w:pPr>
        <w:spacing w:line="600" w:lineRule="exact"/>
        <w:jc w:val="left"/>
        <w:rPr>
          <w:rFonts w:ascii="宋体"/>
          <w:b/>
          <w:sz w:val="44"/>
          <w:szCs w:val="44"/>
        </w:rPr>
      </w:pPr>
    </w:p>
    <w:p w14:paraId="67924D32">
      <w:pPr>
        <w:pStyle w:val="3"/>
        <w:spacing w:line="560" w:lineRule="exact"/>
        <w:ind w:firstLine="640" w:firstLineChars="200"/>
        <w:rPr>
          <w:rFonts w:ascii="仿宋_GB2312" w:eastAsia="仿宋_GB2312"/>
          <w:color w:val="auto"/>
          <w:sz w:val="32"/>
          <w:szCs w:val="32"/>
        </w:rPr>
      </w:pPr>
      <w:bookmarkStart w:id="55"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39A4D202">
      <w:pPr>
        <w:pStyle w:val="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1D59700E">
      <w:pPr>
        <w:pStyle w:val="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.年末结转和结余：指单位按有关规定结转到下年或以后年度继续使用的资金。</w:t>
      </w:r>
    </w:p>
    <w:p w14:paraId="4CB5233E">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4.一般公共服务（类）组织事务（款）其他组织事务支出（项）:指用于援藏、驻村干部补助支出。</w:t>
      </w:r>
    </w:p>
    <w:p w14:paraId="569E7A03">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5.科学技术（类）科学技术管理事务（款）行政运行（项）:</w:t>
      </w:r>
      <w:r>
        <w:rPr>
          <w:rFonts w:hint="eastAsia" w:eastAsia="仿宋_GB2312"/>
          <w:color w:val="000000"/>
          <w:kern w:val="0"/>
          <w:sz w:val="32"/>
          <w:szCs w:val="32"/>
        </w:rPr>
        <w:t>指</w:t>
      </w:r>
      <w:r>
        <w:rPr>
          <w:rFonts w:hint="eastAsia" w:eastAsia="仿宋_GB2312"/>
          <w:color w:val="000000"/>
          <w:kern w:val="0"/>
          <w:sz w:val="32"/>
          <w:szCs w:val="32"/>
          <w:lang w:val="en-US" w:eastAsia="zh-CN"/>
        </w:rPr>
        <w:t>用于保障机关正常运行、开展日常工作</w:t>
      </w:r>
      <w:r>
        <w:rPr>
          <w:rFonts w:hint="eastAsia" w:eastAsia="仿宋_GB2312"/>
          <w:color w:val="000000"/>
          <w:kern w:val="0"/>
          <w:sz w:val="32"/>
          <w:szCs w:val="32"/>
          <w:lang w:eastAsia="zh-CN"/>
        </w:rPr>
        <w:t>等</w:t>
      </w:r>
      <w:r>
        <w:rPr>
          <w:rFonts w:hint="eastAsia" w:eastAsia="仿宋_GB2312"/>
          <w:color w:val="000000"/>
          <w:kern w:val="0"/>
          <w:sz w:val="32"/>
          <w:szCs w:val="32"/>
        </w:rPr>
        <w:t>基本支出</w:t>
      </w:r>
      <w:r>
        <w:rPr>
          <w:rFonts w:hint="eastAsia" w:ascii="仿宋_GB2312" w:hAnsi="Calibri" w:eastAsia="仿宋_GB2312" w:cs="仿宋"/>
          <w:color w:val="auto"/>
          <w:kern w:val="0"/>
          <w:sz w:val="32"/>
          <w:szCs w:val="32"/>
          <w:lang w:val="en-US" w:eastAsia="zh-CN" w:bidi="ar-SA"/>
        </w:rPr>
        <w:t>。</w:t>
      </w:r>
    </w:p>
    <w:p w14:paraId="622EBD8C">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6.科学技术（类）科学技术管理事务（款）其他科学技术管理事务支出（项）：</w:t>
      </w:r>
      <w:r>
        <w:rPr>
          <w:rFonts w:hint="eastAsia" w:ascii="仿宋" w:hAnsi="Calibri" w:eastAsia="仿宋_GB2312"/>
          <w:color w:val="000000"/>
          <w:kern w:val="0"/>
          <w:sz w:val="32"/>
          <w:szCs w:val="32"/>
        </w:rPr>
        <w:t>指反映其他用于科学技术管理事务方面的支出</w:t>
      </w:r>
      <w:r>
        <w:rPr>
          <w:rFonts w:hint="eastAsia" w:ascii="仿宋_GB2312" w:hAnsi="Calibri" w:eastAsia="仿宋_GB2312" w:cs="仿宋"/>
          <w:color w:val="auto"/>
          <w:kern w:val="0"/>
          <w:sz w:val="32"/>
          <w:szCs w:val="32"/>
          <w:lang w:val="en-US" w:eastAsia="zh-CN" w:bidi="ar-SA"/>
        </w:rPr>
        <w:t>。</w:t>
      </w:r>
    </w:p>
    <w:p w14:paraId="26141CC2">
      <w:pPr>
        <w:spacing w:line="600" w:lineRule="exact"/>
        <w:ind w:firstLine="640" w:firstLineChars="200"/>
        <w:rPr>
          <w:rFonts w:hint="eastAsia" w:eastAsia="仿宋_GB2312"/>
          <w:color w:val="000000"/>
          <w:kern w:val="0"/>
          <w:sz w:val="32"/>
          <w:szCs w:val="32"/>
        </w:rPr>
      </w:pPr>
      <w:r>
        <w:rPr>
          <w:rStyle w:val="21"/>
          <w:rFonts w:hint="eastAsia" w:ascii="仿宋" w:hAnsi="仿宋" w:eastAsia="仿宋"/>
          <w:b w:val="0"/>
          <w:bCs w:val="0"/>
          <w:sz w:val="32"/>
          <w:szCs w:val="32"/>
          <w:lang w:val="en-US" w:eastAsia="zh-CN"/>
        </w:rPr>
        <w:t>7.</w:t>
      </w:r>
      <w:r>
        <w:rPr>
          <w:rStyle w:val="21"/>
          <w:rFonts w:hint="eastAsia" w:ascii="仿宋" w:hAnsi="仿宋" w:eastAsia="仿宋"/>
          <w:b w:val="0"/>
          <w:bCs w:val="0"/>
          <w:sz w:val="32"/>
          <w:szCs w:val="32"/>
        </w:rPr>
        <w:t>科学技术（类）科技条件与服务</w:t>
      </w:r>
      <w:r>
        <w:rPr>
          <w:rStyle w:val="21"/>
          <w:rFonts w:hint="eastAsia" w:ascii="仿宋" w:hAnsi="仿宋" w:eastAsia="仿宋"/>
          <w:b w:val="0"/>
          <w:bCs w:val="0"/>
          <w:sz w:val="32"/>
          <w:szCs w:val="32"/>
          <w:lang w:eastAsia="zh-CN"/>
        </w:rPr>
        <w:t>（款）机构运行（项）：</w:t>
      </w:r>
      <w:r>
        <w:rPr>
          <w:rFonts w:hint="eastAsia" w:eastAsia="仿宋_GB2312"/>
          <w:color w:val="000000"/>
          <w:kern w:val="0"/>
          <w:sz w:val="32"/>
          <w:szCs w:val="32"/>
        </w:rPr>
        <w:t>指</w:t>
      </w:r>
      <w:r>
        <w:rPr>
          <w:rFonts w:hint="eastAsia" w:eastAsia="仿宋_GB2312"/>
          <w:color w:val="000000"/>
          <w:kern w:val="0"/>
          <w:sz w:val="32"/>
          <w:szCs w:val="32"/>
          <w:lang w:val="en-US" w:eastAsia="zh-CN"/>
        </w:rPr>
        <w:t>用于保障事业单位正常运行、开展日常工作</w:t>
      </w:r>
      <w:r>
        <w:rPr>
          <w:rFonts w:hint="eastAsia" w:eastAsia="仿宋_GB2312"/>
          <w:color w:val="000000"/>
          <w:kern w:val="0"/>
          <w:sz w:val="32"/>
          <w:szCs w:val="32"/>
          <w:lang w:eastAsia="zh-CN"/>
        </w:rPr>
        <w:t>等</w:t>
      </w:r>
      <w:r>
        <w:rPr>
          <w:rFonts w:hint="eastAsia" w:eastAsia="仿宋_GB2312"/>
          <w:color w:val="000000"/>
          <w:kern w:val="0"/>
          <w:sz w:val="32"/>
          <w:szCs w:val="32"/>
        </w:rPr>
        <w:t>基本支出。</w:t>
      </w:r>
    </w:p>
    <w:p w14:paraId="46475DDD">
      <w:pPr>
        <w:spacing w:line="600" w:lineRule="exact"/>
        <w:ind w:firstLine="640" w:firstLineChars="200"/>
        <w:rPr>
          <w:rStyle w:val="21"/>
          <w:rFonts w:hint="eastAsia" w:ascii="仿宋" w:hAnsi="仿宋" w:eastAsia="仿宋"/>
          <w:b w:val="0"/>
          <w:bCs/>
          <w:sz w:val="32"/>
          <w:szCs w:val="32"/>
          <w:lang w:eastAsia="zh-CN"/>
        </w:rPr>
      </w:pPr>
      <w:r>
        <w:rPr>
          <w:rStyle w:val="21"/>
          <w:rFonts w:hint="eastAsia" w:ascii="仿宋" w:hAnsi="仿宋" w:eastAsia="仿宋"/>
          <w:b w:val="0"/>
          <w:bCs w:val="0"/>
          <w:sz w:val="32"/>
          <w:szCs w:val="32"/>
          <w:lang w:val="en-US" w:eastAsia="zh-CN"/>
        </w:rPr>
        <w:t>8</w:t>
      </w:r>
      <w:r>
        <w:rPr>
          <w:rStyle w:val="21"/>
          <w:rFonts w:ascii="仿宋" w:hAnsi="仿宋" w:eastAsia="仿宋"/>
          <w:b w:val="0"/>
          <w:bCs w:val="0"/>
          <w:sz w:val="32"/>
          <w:szCs w:val="32"/>
        </w:rPr>
        <w:t>.</w:t>
      </w:r>
      <w:r>
        <w:rPr>
          <w:rStyle w:val="21"/>
          <w:rFonts w:hint="eastAsia" w:ascii="仿宋" w:hAnsi="仿宋" w:eastAsia="仿宋"/>
          <w:b w:val="0"/>
          <w:bCs w:val="0"/>
          <w:sz w:val="32"/>
          <w:szCs w:val="32"/>
        </w:rPr>
        <w:t>科学技术（类）技术研究与开发</w:t>
      </w:r>
      <w:r>
        <w:rPr>
          <w:rStyle w:val="21"/>
          <w:rFonts w:hint="eastAsia" w:ascii="仿宋" w:hAnsi="仿宋" w:eastAsia="仿宋"/>
          <w:b w:val="0"/>
          <w:bCs w:val="0"/>
          <w:sz w:val="32"/>
          <w:szCs w:val="32"/>
          <w:lang w:eastAsia="zh-CN"/>
        </w:rPr>
        <w:t>（款）科技成果转化与扩散（项）：</w:t>
      </w:r>
      <w:r>
        <w:rPr>
          <w:rFonts w:hint="eastAsia" w:eastAsia="仿宋_GB2312"/>
          <w:color w:val="000000"/>
          <w:kern w:val="0"/>
          <w:sz w:val="32"/>
          <w:szCs w:val="32"/>
          <w:lang w:eastAsia="zh-CN"/>
        </w:rPr>
        <w:t>指事业单位开展科技扶贫、科技创新券补贴等项目支出</w:t>
      </w:r>
      <w:r>
        <w:rPr>
          <w:rFonts w:hint="eastAsia" w:eastAsia="仿宋_GB2312"/>
          <w:color w:val="000000"/>
          <w:kern w:val="0"/>
          <w:sz w:val="32"/>
          <w:szCs w:val="32"/>
        </w:rPr>
        <w:t>。</w:t>
      </w:r>
    </w:p>
    <w:p w14:paraId="364CAB1C">
      <w:pPr>
        <w:spacing w:line="600" w:lineRule="exact"/>
        <w:ind w:firstLine="640" w:firstLineChars="200"/>
        <w:rPr>
          <w:rFonts w:hint="eastAsia" w:ascii="仿宋" w:hAnsi="仿宋" w:eastAsia="仿宋"/>
          <w:b/>
          <w:sz w:val="32"/>
          <w:szCs w:val="32"/>
          <w:lang w:eastAsia="zh-CN"/>
        </w:rPr>
      </w:pPr>
      <w:r>
        <w:rPr>
          <w:rStyle w:val="21"/>
          <w:rFonts w:hint="eastAsia" w:ascii="仿宋" w:hAnsi="仿宋" w:eastAsia="仿宋"/>
          <w:b w:val="0"/>
          <w:bCs/>
          <w:sz w:val="32"/>
          <w:szCs w:val="32"/>
          <w:lang w:val="en-US" w:eastAsia="zh-CN"/>
        </w:rPr>
        <w:t>9.</w:t>
      </w:r>
      <w:r>
        <w:rPr>
          <w:rStyle w:val="21"/>
          <w:rFonts w:hint="eastAsia" w:ascii="仿宋" w:hAnsi="仿宋" w:eastAsia="仿宋"/>
          <w:b w:val="0"/>
          <w:bCs/>
          <w:sz w:val="32"/>
          <w:szCs w:val="32"/>
        </w:rPr>
        <w:t>科学技术（类）其他科学技术支出</w:t>
      </w:r>
      <w:r>
        <w:rPr>
          <w:rStyle w:val="21"/>
          <w:rFonts w:hint="eastAsia" w:ascii="仿宋" w:hAnsi="仿宋" w:eastAsia="仿宋"/>
          <w:b w:val="0"/>
          <w:bCs/>
          <w:sz w:val="32"/>
          <w:szCs w:val="32"/>
          <w:lang w:eastAsia="zh-CN"/>
        </w:rPr>
        <w:t>（款）其他科学技术支出（项）：指反映</w:t>
      </w:r>
      <w:r>
        <w:rPr>
          <w:rStyle w:val="21"/>
          <w:rFonts w:hint="eastAsia" w:ascii="仿宋" w:hAnsi="仿宋" w:eastAsia="仿宋"/>
          <w:b w:val="0"/>
          <w:bCs/>
          <w:sz w:val="32"/>
          <w:szCs w:val="32"/>
          <w:lang w:val="en-US" w:eastAsia="zh-CN"/>
        </w:rPr>
        <w:t>其他科技技术方面的支出</w:t>
      </w:r>
      <w:r>
        <w:rPr>
          <w:rStyle w:val="21"/>
          <w:rFonts w:hint="eastAsia" w:ascii="仿宋" w:hAnsi="仿宋" w:eastAsia="仿宋"/>
          <w:b w:val="0"/>
          <w:bCs/>
          <w:sz w:val="32"/>
          <w:szCs w:val="32"/>
          <w:lang w:eastAsia="zh-CN"/>
        </w:rPr>
        <w:t>。</w:t>
      </w:r>
    </w:p>
    <w:p w14:paraId="20A5779D">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10.社会保障和就业（类）人力资源和社会保障管理事务（款）其他人力资源和社会保障管理事务支出（项）:指其他用于人力资源和社会保障管理事务的支出。</w:t>
      </w:r>
    </w:p>
    <w:p w14:paraId="4EAA151E">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 xml:space="preserve">11.社会保障和就业（类）行政事业单位养老支出（款）行政单位离退休（项）: </w:t>
      </w:r>
      <w:r>
        <w:rPr>
          <w:rFonts w:hint="eastAsia" w:eastAsia="仿宋_GB2312"/>
          <w:color w:val="000000"/>
          <w:kern w:val="0"/>
          <w:sz w:val="32"/>
          <w:szCs w:val="32"/>
        </w:rPr>
        <w:t>指</w:t>
      </w:r>
      <w:r>
        <w:rPr>
          <w:rFonts w:hint="eastAsia" w:eastAsia="仿宋_GB2312"/>
          <w:color w:val="000000"/>
          <w:kern w:val="0"/>
          <w:sz w:val="32"/>
          <w:szCs w:val="32"/>
          <w:lang w:val="en-US" w:eastAsia="zh-CN"/>
        </w:rPr>
        <w:t>财政统一供养的行政单位离退休人员的支出</w:t>
      </w:r>
      <w:r>
        <w:rPr>
          <w:rFonts w:hint="eastAsia" w:ascii="仿宋_GB2312" w:hAnsi="Calibri" w:eastAsia="仿宋_GB2312" w:cs="仿宋"/>
          <w:color w:val="auto"/>
          <w:kern w:val="0"/>
          <w:sz w:val="32"/>
          <w:szCs w:val="32"/>
          <w:lang w:val="en-US" w:eastAsia="zh-CN" w:bidi="ar-SA"/>
        </w:rPr>
        <w:t>。</w:t>
      </w:r>
    </w:p>
    <w:p w14:paraId="5D0FAF19">
      <w:pPr>
        <w:spacing w:line="600" w:lineRule="exact"/>
        <w:ind w:firstLine="640" w:firstLineChars="200"/>
        <w:rPr>
          <w:rFonts w:hint="eastAsia"/>
          <w:lang w:val="en-US" w:eastAsia="zh-CN"/>
        </w:rPr>
      </w:pPr>
      <w:r>
        <w:rPr>
          <w:rFonts w:hint="eastAsia" w:eastAsia="仿宋_GB2312"/>
          <w:color w:val="000000"/>
          <w:kern w:val="0"/>
          <w:sz w:val="32"/>
          <w:szCs w:val="32"/>
          <w:lang w:val="en-US" w:eastAsia="zh-CN"/>
        </w:rPr>
        <w:t>12.</w:t>
      </w:r>
      <w:r>
        <w:rPr>
          <w:rFonts w:hint="eastAsia" w:eastAsia="仿宋_GB2312"/>
          <w:color w:val="000000"/>
          <w:kern w:val="0"/>
          <w:sz w:val="32"/>
          <w:szCs w:val="32"/>
        </w:rPr>
        <w:t>社会保障和就业（类）行政事业单位养老支出（款） 事业单位离退休（项）: 指</w:t>
      </w:r>
      <w:r>
        <w:rPr>
          <w:rFonts w:hint="eastAsia" w:eastAsia="仿宋_GB2312"/>
          <w:color w:val="000000"/>
          <w:kern w:val="0"/>
          <w:sz w:val="32"/>
          <w:szCs w:val="32"/>
          <w:lang w:val="en-US" w:eastAsia="zh-CN"/>
        </w:rPr>
        <w:t>财政统一供养的事业单位退休人员的支出</w:t>
      </w:r>
    </w:p>
    <w:p w14:paraId="4BFFD2CE">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13.社会保障和就业（类）行政事业单位养老支出（款）机关事业单位基本养老保险缴费支出（项）:指机关事业单位实施养老保险制度由单位缴纳的基本养老保险费支出。</w:t>
      </w:r>
    </w:p>
    <w:p w14:paraId="7C0A6E93">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14.社会保障和就业（类）抚恤（款）死亡抚恤（项目）：指按规定用于机关病故人员家属定期抚恤金支出。</w:t>
      </w:r>
    </w:p>
    <w:p w14:paraId="10F28E37">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15.社会保障和就业（类）社会福利（款）儿童福利（项目）：指对儿童提供福利服务方面的支出。</w:t>
      </w:r>
    </w:p>
    <w:p w14:paraId="72912229">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16.卫生健康（类）其他卫生健康支出（款）其他卫生健康支出（项）:指离退休干部异地体检费支出。</w:t>
      </w:r>
    </w:p>
    <w:p w14:paraId="6F420740">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17.住房保障支出（类）住房改革支出（款）住房公积金（项）:</w:t>
      </w:r>
      <w:r>
        <w:rPr>
          <w:rFonts w:ascii="Times New Roman" w:hAnsi="Times New Roman" w:eastAsia="仿宋_GB2312" w:cs="Times New Roman"/>
          <w:sz w:val="32"/>
          <w:szCs w:val="32"/>
        </w:rPr>
        <w:t>指反映行政事业单位按</w:t>
      </w:r>
      <w:r>
        <w:rPr>
          <w:rFonts w:hint="eastAsia" w:ascii="Times New Roman" w:hAnsi="Times New Roman" w:eastAsia="仿宋_GB2312" w:cs="Times New Roman"/>
          <w:sz w:val="32"/>
          <w:szCs w:val="32"/>
        </w:rPr>
        <w:t>人力资源和社会保障部</w:t>
      </w:r>
      <w:r>
        <w:rPr>
          <w:rFonts w:ascii="Times New Roman" w:hAnsi="Times New Roman" w:eastAsia="仿宋_GB2312" w:cs="Times New Roman"/>
          <w:sz w:val="32"/>
          <w:szCs w:val="32"/>
        </w:rPr>
        <w:t>、财政部门规定的基本工资和津贴补贴以及规定比例为职工缴纳的住房公积金。</w:t>
      </w:r>
    </w:p>
    <w:p w14:paraId="2414421D">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18.灾害防治及应急管理支出（类）应急管理事务（款）行政运行（项）：指行政单位的基本支出。</w:t>
      </w:r>
    </w:p>
    <w:p w14:paraId="71382BE6">
      <w:pPr>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58CBDC4A">
      <w:pPr>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4984844C">
      <w:pPr>
        <w:pStyle w:val="3"/>
        <w:spacing w:line="560" w:lineRule="exact"/>
        <w:ind w:firstLine="640" w:firstLineChars="200"/>
        <w:rPr>
          <w:rFonts w:ascii="仿宋_GB2312" w:eastAsia="仿宋_GB2312"/>
          <w:color w:val="auto"/>
          <w:sz w:val="32"/>
          <w:szCs w:val="32"/>
        </w:rPr>
      </w:pPr>
      <w:r>
        <w:rPr>
          <w:rFonts w:hint="eastAsia" w:ascii="仿宋_GB2312" w:eastAsia="仿宋_GB2312"/>
          <w:sz w:val="32"/>
          <w:szCs w:val="32"/>
          <w:lang w:val="en-US" w:eastAsia="zh-CN"/>
        </w:rPr>
        <w:t>21</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B6CC0A3">
      <w:pPr>
        <w:pStyle w:val="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0767AE1">
      <w:pPr>
        <w:spacing w:line="600" w:lineRule="exact"/>
        <w:jc w:val="center"/>
        <w:outlineLvl w:val="0"/>
        <w:rPr>
          <w:rStyle w:val="32"/>
          <w:rFonts w:ascii="黑体" w:hAnsi="黑体" w:eastAsia="黑体"/>
          <w:b w:val="0"/>
        </w:rPr>
      </w:pPr>
      <w:r>
        <w:rPr>
          <w:rFonts w:ascii="宋体"/>
          <w:b/>
          <w:sz w:val="44"/>
          <w:szCs w:val="44"/>
        </w:rPr>
        <w:br w:type="page"/>
      </w:r>
      <w:bookmarkStart w:id="56" w:name="_Toc15396614"/>
      <w:r>
        <w:rPr>
          <w:rFonts w:hint="eastAsia" w:ascii="黑体" w:hAnsi="黑体" w:eastAsia="黑体"/>
          <w:sz w:val="44"/>
          <w:szCs w:val="44"/>
        </w:rPr>
        <w:t>第</w:t>
      </w:r>
      <w:r>
        <w:rPr>
          <w:rStyle w:val="32"/>
          <w:rFonts w:hint="eastAsia" w:ascii="黑体" w:hAnsi="黑体" w:eastAsia="黑体"/>
          <w:b w:val="0"/>
        </w:rPr>
        <w:t>四部分 附件</w:t>
      </w:r>
      <w:bookmarkEnd w:id="56"/>
    </w:p>
    <w:p w14:paraId="2A151E39">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14:paraId="67E19254">
      <w:pPr>
        <w:widowControl/>
        <w:spacing w:line="560" w:lineRule="exact"/>
        <w:contextualSpacing/>
        <w:jc w:val="center"/>
        <w:rPr>
          <w:rFonts w:ascii="宋体" w:hAnsi="宋体"/>
          <w:b/>
          <w:sz w:val="32"/>
          <w:szCs w:val="32"/>
          <w:shd w:val="clear" w:color="auto" w:fill="FFFFFF"/>
        </w:rPr>
      </w:pPr>
      <w:r>
        <w:rPr>
          <w:rFonts w:hint="eastAsia" w:ascii="宋体" w:hAnsi="宋体"/>
          <w:b/>
          <w:sz w:val="32"/>
          <w:szCs w:val="32"/>
          <w:shd w:val="clear" w:color="auto" w:fill="FFFFFF"/>
        </w:rPr>
        <w:t>2023年</w:t>
      </w:r>
      <w:r>
        <w:rPr>
          <w:rFonts w:hint="eastAsia" w:ascii="宋体" w:hAnsi="宋体"/>
          <w:b/>
          <w:sz w:val="32"/>
          <w:szCs w:val="32"/>
          <w:shd w:val="clear" w:color="auto" w:fill="FFFFFF"/>
          <w:lang w:eastAsia="zh-CN"/>
        </w:rPr>
        <w:t>市级</w:t>
      </w:r>
      <w:r>
        <w:rPr>
          <w:rFonts w:hint="eastAsia" w:ascii="宋体" w:hAnsi="宋体"/>
          <w:b/>
          <w:sz w:val="32"/>
          <w:szCs w:val="32"/>
          <w:shd w:val="clear" w:color="auto" w:fill="FFFFFF"/>
        </w:rPr>
        <w:t>部门整体绩效评价报告</w:t>
      </w:r>
    </w:p>
    <w:p w14:paraId="6C020350">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14:paraId="4EEA2B6B">
      <w:pPr>
        <w:widowControl/>
        <w:numPr>
          <w:ilvl w:val="0"/>
          <w:numId w:val="4"/>
        </w:numPr>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部门（单位）基本情况</w:t>
      </w:r>
    </w:p>
    <w:p w14:paraId="76C36075">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（一）机构组成。</w:t>
      </w:r>
    </w:p>
    <w:p w14:paraId="48ED3B06">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市科学技术局有内设机构</w:t>
      </w:r>
      <w:r>
        <w:rPr>
          <w:rFonts w:hint="eastAsia" w:ascii="Times New Roman" w:hAnsi="Times New Roman" w:eastAsia="仿宋_GB2312" w:cs="Times New Roman"/>
          <w:kern w:val="2"/>
          <w:sz w:val="32"/>
          <w:szCs w:val="32"/>
          <w:lang w:val="en-US" w:eastAsia="zh-CN"/>
        </w:rPr>
        <w:t>7个，包括：</w:t>
      </w:r>
      <w:r>
        <w:rPr>
          <w:rFonts w:hint="default" w:ascii="Times New Roman" w:hAnsi="Times New Roman" w:eastAsia="仿宋_GB2312" w:cs="Times New Roman"/>
          <w:kern w:val="2"/>
          <w:sz w:val="32"/>
          <w:szCs w:val="32"/>
          <w:lang w:eastAsia="zh-CN"/>
        </w:rPr>
        <w:t>办公室、资源配置与政策法规科、创新体系与科技人才科、高新技术科、农村与社会发展科技科、成果转化与区域合作科、人事科</w:t>
      </w:r>
      <w:r>
        <w:rPr>
          <w:rFonts w:hint="eastAsia" w:ascii="Times New Roman" w:hAnsi="Times New Roman" w:eastAsia="仿宋_GB2312" w:cs="Times New Roman"/>
          <w:kern w:val="2"/>
          <w:sz w:val="32"/>
          <w:szCs w:val="32"/>
          <w:lang w:eastAsia="zh-CN"/>
        </w:rPr>
        <w:t>。</w:t>
      </w:r>
    </w:p>
    <w:p w14:paraId="6E06DF8D">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（二）机构职能和人员概况。</w:t>
      </w:r>
    </w:p>
    <w:p w14:paraId="6FE0FF78">
      <w:pPr>
        <w:keepNext w:val="0"/>
        <w:keepLines w:val="0"/>
        <w:pageBreakBefore w:val="0"/>
        <w:widowControl/>
        <w:kinsoku/>
        <w:wordWrap/>
        <w:overflowPunct/>
        <w:topLinePunct w:val="0"/>
        <w:autoSpaceDE/>
        <w:autoSpaceDN/>
        <w:bidi w:val="0"/>
        <w:adjustRightInd w:val="0"/>
        <w:snapToGrid/>
        <w:spacing w:line="560" w:lineRule="exact"/>
        <w:ind w:firstLine="643"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kern w:val="2"/>
          <w:sz w:val="32"/>
          <w:szCs w:val="32"/>
          <w:lang w:eastAsia="zh-CN"/>
        </w:rPr>
        <w:t>机构职能：</w:t>
      </w:r>
      <w:r>
        <w:rPr>
          <w:rFonts w:ascii="Times New Roman" w:hAnsi="Times New Roman" w:eastAsia="仿宋_GB2312" w:cs="Times New Roman"/>
          <w:kern w:val="2"/>
          <w:sz w:val="32"/>
          <w:szCs w:val="32"/>
        </w:rPr>
        <w:t>1</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拟订全市创新驱动发展战略以及科技发展、引进国外智力规划和政策措施并组织实施。起草有关科技发展的政策措施并组织实施。</w:t>
      </w:r>
      <w:r>
        <w:rPr>
          <w:rFonts w:ascii="Times New Roman" w:hAnsi="Times New Roman" w:eastAsia="仿宋_GB2312" w:cs="Times New Roman"/>
          <w:kern w:val="2"/>
          <w:sz w:val="32"/>
          <w:szCs w:val="32"/>
        </w:rPr>
        <w:t xml:space="preserve"> </w:t>
      </w:r>
    </w:p>
    <w:p w14:paraId="17BFB40C">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rPr>
        <w:t>2</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统筹推进全市科技创新体系建设和科技体制改革，会同有关部门健全技术创新激励机制。优化科研体系建设，指导科研机构改革发展，推动企业科技创新能力建设，承担推进科技军民融合发展相关工作，推进全市重大科技决策咨询制度建设。组织拟订全市推进创新创业、促进科技金融结合、科技招商的政策措施并组织实施。</w:t>
      </w:r>
      <w:r>
        <w:rPr>
          <w:rFonts w:ascii="Times New Roman" w:hAnsi="Times New Roman" w:eastAsia="仿宋_GB2312" w:cs="Times New Roman"/>
          <w:kern w:val="2"/>
          <w:sz w:val="32"/>
          <w:szCs w:val="32"/>
        </w:rPr>
        <w:t xml:space="preserve"> </w:t>
      </w:r>
    </w:p>
    <w:p w14:paraId="75C0DBF0">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rPr>
        <w:t>3</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牵头建立全市科研项目资金协调、实施、评估、监管机制。会同有关部门提出优化配置科技资源的政策措施建议，推动多元化科技投入体系建设。组织拟订市级财政科技计划（专项、基金）并监督和实施。负责本部门预算中的科技经费预决算及经费使用的监督管理。</w:t>
      </w:r>
      <w:r>
        <w:rPr>
          <w:rFonts w:ascii="Times New Roman" w:hAnsi="Times New Roman" w:eastAsia="仿宋_GB2312" w:cs="Times New Roman"/>
          <w:kern w:val="2"/>
          <w:sz w:val="32"/>
          <w:szCs w:val="32"/>
        </w:rPr>
        <w:t xml:space="preserve"> </w:t>
      </w:r>
    </w:p>
    <w:p w14:paraId="75717AEB">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rPr>
        <w:t>4</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组织协调全市重大基础研究和应用基础研究。拟订科技创新基地建设规划并监督实施，参与编制重大科技基础设施建设规划和监督实施。牵头推进在攀的国家、省（部）重点实验室、技术创新中心等重大科研平台建设，推动科研条件保障建设和科技资源开放共享。</w:t>
      </w:r>
      <w:r>
        <w:rPr>
          <w:rFonts w:ascii="Times New Roman" w:hAnsi="Times New Roman" w:eastAsia="仿宋_GB2312" w:cs="Times New Roman"/>
          <w:kern w:val="2"/>
          <w:sz w:val="32"/>
          <w:szCs w:val="32"/>
        </w:rPr>
        <w:t xml:space="preserve"> </w:t>
      </w:r>
    </w:p>
    <w:p w14:paraId="2A3063BB">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rPr>
        <w:t>5</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拟订推进攀西国家战略资源创新开发试验区建设发展的科技支撑计划并组织实施。编制全市重大科技专项方案并组织实施。统筹经济社会发展重要领域的关键共性技术、前沿引领技术、现代工程技术、颠覆性计划的研发和创新，牵头组织重大科技攻关和成果应用示范。组织开展重点领域技术发展需求分析，提出重大科技发展建议并组织实施。负责组织国家、省科学技术奖等科技评奖的申报、审核、推荐工作。</w:t>
      </w:r>
      <w:r>
        <w:rPr>
          <w:rFonts w:ascii="Times New Roman" w:hAnsi="Times New Roman" w:eastAsia="仿宋_GB2312" w:cs="Times New Roman"/>
          <w:kern w:val="2"/>
          <w:sz w:val="32"/>
          <w:szCs w:val="32"/>
        </w:rPr>
        <w:t xml:space="preserve"> </w:t>
      </w:r>
    </w:p>
    <w:p w14:paraId="2CF003DE">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rPr>
        <w:t>6</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组织拟订高新技术发展及产业化的规划和政策措施并组织实施。指导高新技术企业、创新型企业申报和创新平台建设，负责市级创新平台认定管理工作。组织开展科技型中小企业评价的初审工作。</w:t>
      </w:r>
      <w:r>
        <w:rPr>
          <w:rFonts w:ascii="Times New Roman" w:hAnsi="Times New Roman" w:eastAsia="仿宋_GB2312" w:cs="Times New Roman"/>
          <w:kern w:val="2"/>
          <w:sz w:val="32"/>
          <w:szCs w:val="32"/>
        </w:rPr>
        <w:t xml:space="preserve"> </w:t>
      </w:r>
    </w:p>
    <w:p w14:paraId="422077C8">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rPr>
        <w:t>7</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组织拟订科技促进农业农村和社会发展的规划、政策和措施，指导现代农业示范基地建设，推进科技服务民生工作。拟订科学普及和科学传播规划，政策措施并组织实施。</w:t>
      </w:r>
      <w:r>
        <w:rPr>
          <w:rFonts w:ascii="Times New Roman" w:hAnsi="Times New Roman" w:eastAsia="仿宋_GB2312" w:cs="Times New Roman"/>
          <w:kern w:val="2"/>
          <w:sz w:val="32"/>
          <w:szCs w:val="32"/>
        </w:rPr>
        <w:t xml:space="preserve"> </w:t>
      </w:r>
    </w:p>
    <w:p w14:paraId="2555AEE2">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rPr>
        <w:t>8</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牵头全市技术转移体系建设，拟订科技成果转移转化和促进产学研结合的相关政策措施并组织实施。指导科技服务业、技术市场和科技中介组织发展。</w:t>
      </w:r>
      <w:r>
        <w:rPr>
          <w:rFonts w:ascii="Times New Roman" w:hAnsi="Times New Roman" w:eastAsia="仿宋_GB2312" w:cs="Times New Roman"/>
          <w:kern w:val="2"/>
          <w:sz w:val="32"/>
          <w:szCs w:val="32"/>
        </w:rPr>
        <w:t xml:space="preserve"> </w:t>
      </w:r>
    </w:p>
    <w:p w14:paraId="7BB5954B">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rPr>
        <w:t>9</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统筹区域科技创新体系建设，指导区域创新发展、科技资源合理布局和协同创新能力建设，推动高新技术园区建设。</w:t>
      </w:r>
      <w:r>
        <w:rPr>
          <w:rFonts w:ascii="Times New Roman" w:hAnsi="Times New Roman" w:eastAsia="仿宋_GB2312" w:cs="Times New Roman"/>
          <w:kern w:val="2"/>
          <w:sz w:val="32"/>
          <w:szCs w:val="32"/>
        </w:rPr>
        <w:t xml:space="preserve"> </w:t>
      </w:r>
    </w:p>
    <w:p w14:paraId="53F15CB1">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rPr>
        <w:t>10</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会同有关部门拟订科技人才队伍建设规划和政策，建立健全科技人才评价和激励机制，组织实施科技人才计划，推动高端科技创新人才队伍建设。</w:t>
      </w:r>
      <w:r>
        <w:rPr>
          <w:rFonts w:ascii="Times New Roman" w:hAnsi="Times New Roman" w:eastAsia="仿宋_GB2312" w:cs="Times New Roman"/>
          <w:kern w:val="2"/>
          <w:sz w:val="32"/>
          <w:szCs w:val="32"/>
        </w:rPr>
        <w:t xml:space="preserve"> </w:t>
      </w:r>
    </w:p>
    <w:p w14:paraId="5FDB5706">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rPr>
        <w:t>11</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负责科技监督评价体系建设和相关科技评估管理，指导科技评价机制改革，统筹科研诚信建设。组织实施全市创新调查和科技报告制度，指导全市科技保密相关工作。</w:t>
      </w:r>
      <w:r>
        <w:rPr>
          <w:rFonts w:ascii="Times New Roman" w:hAnsi="Times New Roman" w:eastAsia="仿宋_GB2312" w:cs="Times New Roman"/>
          <w:kern w:val="2"/>
          <w:sz w:val="32"/>
          <w:szCs w:val="32"/>
        </w:rPr>
        <w:t xml:space="preserve"> </w:t>
      </w:r>
    </w:p>
    <w:p w14:paraId="0F8A40C1">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rPr>
        <w:t>12</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拟订科技对外交流与创新能力开放合作的规划和政策措施，组织开展对外科技合作与科技人才交流。指导县（区）和相关部门对外科技合作与科技人才交流工作。负责有关科技博览展会参展推广的组织协调工作。</w:t>
      </w:r>
      <w:r>
        <w:rPr>
          <w:rFonts w:ascii="Times New Roman" w:hAnsi="Times New Roman" w:eastAsia="仿宋_GB2312" w:cs="Times New Roman"/>
          <w:kern w:val="2"/>
          <w:sz w:val="32"/>
          <w:szCs w:val="32"/>
        </w:rPr>
        <w:t xml:space="preserve"> </w:t>
      </w:r>
    </w:p>
    <w:p w14:paraId="433A2344">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rPr>
        <w:t>13</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负责引进国外智力工作。拟订全市重点引进外国专家总体规划、计划并组织实施，建立外国顶尖专家、团队吸引集聚机制和重点外国专家联系服务机制。拟订出国（境）培训总体规划、政策和年度计划并监督实施。会同有关部门制定外国人来攀工作政策、办理相关外国人工作许可。</w:t>
      </w:r>
      <w:r>
        <w:rPr>
          <w:rFonts w:ascii="Times New Roman" w:hAnsi="Times New Roman" w:eastAsia="仿宋_GB2312" w:cs="Times New Roman"/>
          <w:kern w:val="2"/>
          <w:sz w:val="32"/>
          <w:szCs w:val="32"/>
        </w:rPr>
        <w:t xml:space="preserve"> </w:t>
      </w:r>
    </w:p>
    <w:p w14:paraId="02EB4717">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rPr>
        <w:t>14</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负责职责范围内的安全生产和职业健康、生态环境保护、审批服务便民化等工作。</w:t>
      </w:r>
      <w:r>
        <w:rPr>
          <w:rFonts w:ascii="Times New Roman" w:hAnsi="Times New Roman" w:eastAsia="仿宋_GB2312" w:cs="Times New Roman"/>
          <w:kern w:val="2"/>
          <w:sz w:val="32"/>
          <w:szCs w:val="32"/>
        </w:rPr>
        <w:t xml:space="preserve"> </w:t>
      </w:r>
    </w:p>
    <w:p w14:paraId="29EA920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kern w:val="2"/>
          <w:sz w:val="32"/>
          <w:szCs w:val="32"/>
        </w:rPr>
      </w:pPr>
      <w:r>
        <w:rPr>
          <w:rFonts w:ascii="Times New Roman" w:hAnsi="Times New Roman" w:eastAsia="仿宋_GB2312" w:cs="Times New Roman"/>
          <w:kern w:val="2"/>
          <w:sz w:val="32"/>
          <w:szCs w:val="32"/>
        </w:rPr>
        <w:t>15</w:t>
      </w:r>
      <w:r>
        <w:rPr>
          <w:rFonts w:hint="eastAsia" w:cs="Times New Roman"/>
          <w:kern w:val="2"/>
          <w:sz w:val="32"/>
          <w:szCs w:val="32"/>
          <w:lang w:val="en-US" w:eastAsia="zh-CN"/>
        </w:rPr>
        <w:t>.</w:t>
      </w:r>
      <w:r>
        <w:rPr>
          <w:rFonts w:hint="default" w:ascii="Times New Roman" w:hAnsi="Times New Roman" w:eastAsia="仿宋_GB2312" w:cs="Times New Roman"/>
          <w:kern w:val="2"/>
          <w:sz w:val="32"/>
          <w:szCs w:val="32"/>
        </w:rPr>
        <w:t>完成市委、市政府交办的其他任务。</w:t>
      </w:r>
    </w:p>
    <w:p w14:paraId="0A581208">
      <w:pPr>
        <w:keepNext w:val="0"/>
        <w:keepLines w:val="0"/>
        <w:pageBreakBefore w:val="0"/>
        <w:widowControl/>
        <w:kinsoku/>
        <w:wordWrap/>
        <w:overflowPunct/>
        <w:topLinePunct w:val="0"/>
        <w:autoSpaceDE/>
        <w:autoSpaceDN/>
        <w:bidi w:val="0"/>
        <w:adjustRightInd w:val="0"/>
        <w:snapToGrid/>
        <w:spacing w:line="560" w:lineRule="exact"/>
        <w:ind w:firstLine="643" w:firstLineChars="200"/>
        <w:jc w:val="left"/>
        <w:textAlignment w:val="auto"/>
        <w:rPr>
          <w:rFonts w:hint="default" w:ascii="Times New Roman" w:hAnsi="Times New Roman" w:eastAsia="仿宋_GB2312" w:cs="Times New Roman"/>
          <w:kern w:val="2"/>
          <w:sz w:val="32"/>
          <w:szCs w:val="32"/>
        </w:rPr>
      </w:pPr>
      <w:r>
        <w:rPr>
          <w:rFonts w:hint="eastAsia" w:ascii="楷体_GB2312" w:hAnsi="楷体_GB2312" w:eastAsia="楷体_GB2312" w:cs="楷体_GB2312"/>
          <w:b/>
          <w:bCs/>
          <w:kern w:val="0"/>
          <w:sz w:val="32"/>
          <w:szCs w:val="32"/>
          <w:shd w:val="clear" w:color="auto" w:fill="FFFFFF"/>
          <w:lang w:val="zh-CN"/>
        </w:rPr>
        <w:t>人员概况：</w:t>
      </w:r>
      <w:r>
        <w:rPr>
          <w:rFonts w:hint="default" w:ascii="Times New Roman" w:hAnsi="Times New Roman" w:eastAsia="仿宋_GB2312" w:cs="Times New Roman"/>
          <w:kern w:val="2"/>
          <w:sz w:val="32"/>
          <w:szCs w:val="32"/>
        </w:rPr>
        <w:t>攀枝花市</w:t>
      </w:r>
      <w:r>
        <w:rPr>
          <w:rFonts w:hint="eastAsia" w:ascii="Times New Roman" w:hAnsi="Times New Roman" w:eastAsia="仿宋_GB2312" w:cs="Times New Roman"/>
          <w:kern w:val="2"/>
          <w:sz w:val="32"/>
          <w:szCs w:val="32"/>
          <w:lang w:eastAsia="zh-CN"/>
        </w:rPr>
        <w:t>科学技术</w:t>
      </w:r>
      <w:r>
        <w:rPr>
          <w:rFonts w:hint="default" w:ascii="Times New Roman" w:hAnsi="Times New Roman" w:eastAsia="仿宋_GB2312" w:cs="Times New Roman"/>
          <w:kern w:val="2"/>
          <w:sz w:val="32"/>
          <w:szCs w:val="32"/>
        </w:rPr>
        <w:t>局</w:t>
      </w:r>
      <w:r>
        <w:rPr>
          <w:rFonts w:hint="eastAsia" w:ascii="Times New Roman" w:hAnsi="Times New Roman" w:eastAsia="仿宋_GB2312" w:cs="Times New Roman"/>
          <w:kern w:val="2"/>
          <w:sz w:val="32"/>
          <w:szCs w:val="32"/>
          <w:lang w:eastAsia="zh-CN"/>
        </w:rPr>
        <w:t>（简称市科技）</w:t>
      </w:r>
      <w:r>
        <w:rPr>
          <w:rFonts w:hint="default" w:ascii="Times New Roman" w:hAnsi="Times New Roman" w:eastAsia="仿宋_GB2312" w:cs="Times New Roman"/>
          <w:kern w:val="2"/>
          <w:sz w:val="32"/>
          <w:szCs w:val="32"/>
        </w:rPr>
        <w:t>属于财政拨款行政</w:t>
      </w:r>
      <w:r>
        <w:rPr>
          <w:rFonts w:hint="eastAsia" w:ascii="Times New Roman" w:hAnsi="Times New Roman" w:eastAsia="仿宋_GB2312" w:cs="Times New Roman"/>
          <w:kern w:val="2"/>
          <w:sz w:val="32"/>
          <w:szCs w:val="32"/>
          <w:lang w:eastAsia="zh-CN"/>
        </w:rPr>
        <w:t>单位</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eastAsia="zh-CN"/>
        </w:rPr>
        <w:t>下属独立核算事业单位</w:t>
      </w:r>
      <w:r>
        <w:rPr>
          <w:rFonts w:hint="eastAsia" w:ascii="Times New Roman" w:hAnsi="Times New Roman" w:eastAsia="仿宋_GB2312" w:cs="Times New Roman"/>
          <w:kern w:val="2"/>
          <w:sz w:val="32"/>
          <w:szCs w:val="32"/>
          <w:lang w:val="en-US" w:eastAsia="zh-CN"/>
        </w:rPr>
        <w:t>3个</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行政编制21个，</w:t>
      </w:r>
      <w:r>
        <w:rPr>
          <w:rFonts w:hint="eastAsia" w:ascii="Times New Roman" w:hAnsi="Times New Roman" w:eastAsia="仿宋_GB2312" w:cs="Times New Roman"/>
          <w:kern w:val="2"/>
          <w:sz w:val="32"/>
          <w:szCs w:val="32"/>
          <w:lang w:eastAsia="zh-CN"/>
        </w:rPr>
        <w:t>事业编制</w:t>
      </w:r>
      <w:r>
        <w:rPr>
          <w:rFonts w:hint="eastAsia" w:ascii="Times New Roman" w:hAnsi="Times New Roman" w:eastAsia="仿宋_GB2312" w:cs="Times New Roman"/>
          <w:kern w:val="2"/>
          <w:sz w:val="32"/>
          <w:szCs w:val="32"/>
          <w:lang w:val="en-US" w:eastAsia="zh-CN"/>
        </w:rPr>
        <w:t>46个，</w:t>
      </w:r>
      <w:r>
        <w:rPr>
          <w:rFonts w:hint="default" w:ascii="Times New Roman" w:hAnsi="Times New Roman" w:eastAsia="仿宋_GB2312" w:cs="Times New Roman"/>
          <w:kern w:val="2"/>
          <w:sz w:val="32"/>
          <w:szCs w:val="32"/>
        </w:rPr>
        <w:t>工勤编制5个</w:t>
      </w:r>
      <w:r>
        <w:rPr>
          <w:rFonts w:hint="eastAsia" w:ascii="Times New Roman" w:hAnsi="Times New Roman" w:eastAsia="仿宋_GB2312" w:cs="Times New Roman"/>
          <w:kern w:val="2"/>
          <w:sz w:val="32"/>
          <w:szCs w:val="32"/>
          <w:lang w:eastAsia="zh-CN"/>
        </w:rPr>
        <w:t>。截止</w:t>
      </w:r>
      <w:r>
        <w:rPr>
          <w:rFonts w:hint="eastAsia" w:ascii="Times New Roman" w:hAnsi="Times New Roman" w:eastAsia="仿宋_GB2312" w:cs="Times New Roman"/>
          <w:kern w:val="2"/>
          <w:sz w:val="32"/>
          <w:szCs w:val="32"/>
          <w:lang w:val="en-US" w:eastAsia="zh-CN"/>
        </w:rPr>
        <w:t>2022年12月底，</w:t>
      </w:r>
      <w:r>
        <w:rPr>
          <w:rFonts w:hint="default" w:ascii="Times New Roman" w:hAnsi="Times New Roman" w:eastAsia="仿宋_GB2312" w:cs="Times New Roman"/>
          <w:kern w:val="2"/>
          <w:sz w:val="32"/>
          <w:szCs w:val="32"/>
        </w:rPr>
        <w:t>现有职工人数</w:t>
      </w:r>
      <w:r>
        <w:rPr>
          <w:rFonts w:hint="eastAsia" w:ascii="Times New Roman" w:hAnsi="Times New Roman" w:eastAsia="仿宋_GB2312" w:cs="Times New Roman"/>
          <w:kern w:val="2"/>
          <w:sz w:val="32"/>
          <w:szCs w:val="32"/>
          <w:lang w:val="en-US" w:eastAsia="zh-CN"/>
        </w:rPr>
        <w:t>66</w:t>
      </w:r>
      <w:r>
        <w:rPr>
          <w:rFonts w:hint="default" w:ascii="Times New Roman" w:hAnsi="Times New Roman" w:eastAsia="仿宋_GB2312" w:cs="Times New Roman"/>
          <w:kern w:val="2"/>
          <w:sz w:val="32"/>
          <w:szCs w:val="32"/>
        </w:rPr>
        <w:t>人(含工勤)，离休人员2人，退休</w:t>
      </w:r>
      <w:r>
        <w:rPr>
          <w:rFonts w:hint="eastAsia" w:ascii="Times New Roman" w:hAnsi="Times New Roman" w:eastAsia="仿宋_GB2312" w:cs="Times New Roman"/>
          <w:kern w:val="2"/>
          <w:sz w:val="32"/>
          <w:szCs w:val="32"/>
          <w:lang w:val="en-US" w:eastAsia="zh-CN"/>
        </w:rPr>
        <w:t>66</w:t>
      </w:r>
      <w:r>
        <w:rPr>
          <w:rFonts w:hint="default" w:ascii="Times New Roman" w:hAnsi="Times New Roman" w:eastAsia="仿宋_GB2312" w:cs="Times New Roman"/>
          <w:kern w:val="2"/>
          <w:sz w:val="32"/>
          <w:szCs w:val="32"/>
        </w:rPr>
        <w:t>人。</w:t>
      </w:r>
    </w:p>
    <w:p w14:paraId="4439C8B8">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（三）年度主要工作任务。</w:t>
      </w:r>
    </w:p>
    <w:p w14:paraId="0B29D71C">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1.科技攻关砥砺前行。成功开发出绿色低成本的钛合金化新型耐磨钢，填补了国内“转炉—板坯连铸”生产高钛钢技术空白。集成引进国内最大的真空悬浮炉，形成年产100吨以上钛铸件生产能力。开发出以Al-V-Mo-Cr为主要成分体系的特种型号装甲钛合金和基于TC4成分体系的低成本T4LCA装甲钛合金，完全满足陆军装备领域对轻质防护材料的要求。短流程钛合金管材制备新技术取得突破，成功试制出便携式轻型武器装备用TA15筒体。攀钢牵头完成国家两项“1025”材料研制任务（涉密项目），产品实物质量达到国际先进水平。科技不断赋能经济高质量发展。</w:t>
      </w:r>
    </w:p>
    <w:p w14:paraId="21730AD7">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2.创新机制不断优化。创新攻关“大生产组织+工厂化管理”和成果转化“跟投”机制，加速推动科技成果产业化进程，激发近200名参与人员内生动力。推进”揭榜挂帅”“赛马制”“包干制”等开放合作机制，汇聚战略科技力量，投入科研经费3000万元，突破关键技术10余项，实现成果转化5项，新型创新机制正进一步激活创新活力。</w:t>
      </w:r>
    </w:p>
    <w:p w14:paraId="402CE833">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3.创新影响日益扩大。9个项目获得2022年度省科技进步奖，其中一等奖1项，二等奖3项，三等奖5项。获市领导批示47次，获科技厅书面表扬2次，被科技厅官网采用信息30篇，《创新驱动要参》普刊采用信息5篇，《创新驱动要参》专刊采用信息1篇（正在编辑，待刊发）。</w:t>
      </w:r>
    </w:p>
    <w:p w14:paraId="37616951">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4.重要指标取得突破。2021年度全市R&amp;D经费投入18.3亿元，比上年增加2.7亿元，排全省第8位；投入强度1.62%，比上年提高0.12个百分点，位居全省第4位。科技型中小业企业评价入库167家，比2021年增加22家；预计高新技术企业可达74家，同比增长17%；技术合同成交额突破10亿元；实现“天府科创贷”零突破，累计9家企业获贷3445万元；四川钒钛产业技术研究院入选首批省级新型研发机构备案名单；高质量完成科研助理岗位开发工作，解决62个应届大学毕业生就业，任务完成率达248%，在全省排第7位，获科技厅通报表扬。</w:t>
      </w:r>
    </w:p>
    <w:p w14:paraId="52D7DAF9">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5.重大技术攻关推进卓有成效。一是持续开展技术布局。梳理出65项“卡脖子”技术，其中，既有布局、接续攻关的27项任务取得阶段性成果，需新布局的38项任务分层分批有序推进，2023年将全部启动实施。二是积极向上争取项目。凝练7项钒钛高端材料“卡脖子”技术攻关任务上报科技部，收到科技部正式函复：将在2023年度重点专项中，先期支持1—2个项目。实施了5批36项攀西试验区重大科技攻关项目，第六批6项项目通过专家评审，待科技厅审定。</w:t>
      </w:r>
    </w:p>
    <w:p w14:paraId="185F7F12">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6.创新平台建设进一步夯实。指导攀钢集团编制钒钛资源综合利用国家重点实验室重组方案，8月提交至科技部审核并参与答辩，待科技部公布结果。提升了攀钢技术中心和钒钛产业技术创新战略联盟建设能力。抓实了钒钛产业创新联合体组建工作，由攀钢集团牵头，联合省外企业和科研院所组建的四川省钒钛产业创新联合体于12月获批建设。</w:t>
      </w:r>
    </w:p>
    <w:p w14:paraId="6DF96C76">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7.种业高地和区域医疗健康服务高地打造初见成效。建设芒果、蔬菜等种质资源创新基地7个，引进种质资源188个。开展芒果、石榴、蔬菜等主导产业新品种选育工作，创制育种新材料600余份，开展区域性试验品种11个，2个芒果新品种权已通过农业农村部初审，正式进入实质审查阶段。 “四川科技兴村在线”平台实现市、县（区）两级全覆盖，获科技厅项目支持360万。组建5个科技特派员团队，实现了我市县（区）科技特派团全覆盖。力争仁和、米易省级农业科技园区保牌成功。持续推进3家重点医院医疗科技合作创新中心和市阳光康养产业技术研究院建设，组建我市首个医疗卫生重点实验室——“攀枝花市心肌病与心力衰竭重点实验室”，完成我市中医药转化医学暨中药制剂研发重点实验室现场考察评估，启动首批3个市级中西名医工作室培育计划。组建的首支钒钛领域高水平创新团队取得阶段性成效，选拔培养第二批“优才计划”攀枝花创新领军人才4名。2人入选2022年“天府EM计划创新领军人才”和“天府QC计划创新领军人才”，推荐17人申报省级人才专项。</w:t>
      </w:r>
    </w:p>
    <w:p w14:paraId="0AC7A956">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8.制定出台政策措施情况。配合市人才办新修订出台“人才兴攀”战略1+1+N系列配套文件，主要承担了《攀枝花市创新人才（团队）支持实施细则》的牵头制定工作和“柔性引进人才”“紧缺人才”“人才发展平台”等3个实施细则的联合修订发文工作；配合市人才办出台《关于加强和改进新时代人才工作的若干措施》。</w:t>
      </w:r>
    </w:p>
    <w:p w14:paraId="5E5E38E6">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（四）部门整体支出绩效目标。</w:t>
      </w:r>
    </w:p>
    <w:p w14:paraId="0906A620">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202</w:t>
      </w:r>
      <w:r>
        <w:rPr>
          <w:rFonts w:hint="eastAsia"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lang w:val="en-US" w:eastAsia="zh-CN"/>
        </w:rPr>
        <w:t>年</w:t>
      </w:r>
      <w:r>
        <w:rPr>
          <w:rFonts w:hint="eastAsia" w:eastAsia="仿宋_GB2312" w:cs="Times New Roman"/>
          <w:kern w:val="2"/>
          <w:sz w:val="32"/>
          <w:szCs w:val="32"/>
          <w:lang w:val="en-US" w:eastAsia="zh-CN"/>
        </w:rPr>
        <w:t>，市科技局系统</w:t>
      </w:r>
      <w:r>
        <w:rPr>
          <w:rFonts w:hint="default" w:ascii="Times New Roman" w:hAnsi="Times New Roman" w:eastAsia="仿宋_GB2312" w:cs="Times New Roman"/>
          <w:kern w:val="2"/>
          <w:sz w:val="32"/>
          <w:szCs w:val="32"/>
          <w:lang w:val="en-US" w:eastAsia="zh-CN"/>
        </w:rPr>
        <w:t>资金安排和使用，紧紧围绕市委、市政府确定的战略目标，按照加快科技发展的工作部署，主攻方向正确，方式方法可行，成果显著。在项目实施过程中，得到各级党委、政府，科研院所、高校和项目承担单位的高度重视，密切配合，科研任务顺利完成。资金安排使用情况基本达到预期绩效目标，取得了良好的经济、社会和生态效益，科技工作满意度得到社会广泛认可</w:t>
      </w:r>
      <w:r>
        <w:rPr>
          <w:rFonts w:hint="eastAsia" w:eastAsia="仿宋_GB2312" w:cs="Times New Roman"/>
          <w:kern w:val="2"/>
          <w:sz w:val="32"/>
          <w:szCs w:val="32"/>
          <w:lang w:val="en-US" w:eastAsia="zh-CN"/>
        </w:rPr>
        <w:t>。</w:t>
      </w:r>
    </w:p>
    <w:p w14:paraId="3B7563B2">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14:paraId="3C90D625">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14:paraId="276D4164">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rPr>
        <w:t>1.部门总体收入情况</w:t>
      </w:r>
      <w:r>
        <w:rPr>
          <w:rFonts w:hint="eastAsia" w:ascii="仿宋_GB2312" w:hAnsi="仿宋_GB2312" w:eastAsia="仿宋_GB2312" w:cs="仿宋_GB2312"/>
          <w:kern w:val="0"/>
          <w:sz w:val="32"/>
          <w:szCs w:val="32"/>
          <w:shd w:val="clear" w:color="auto" w:fill="FFFFFF"/>
          <w:lang w:eastAsia="zh-CN"/>
        </w:rPr>
        <w:t>。</w:t>
      </w:r>
    </w:p>
    <w:p w14:paraId="18CA20F9">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val="en-US" w:eastAsia="zh-CN"/>
        </w:rPr>
        <w:t>2022年初财政预算收入下达1676.74万元，年中各项人员公用经费追加下达30.72万元；项目经费追加下达146.01万元，2022年全年收入1853.47万元。</w:t>
      </w:r>
    </w:p>
    <w:p w14:paraId="6083C638">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rPr>
        <w:t>2.部门总体支出情况</w:t>
      </w:r>
      <w:r>
        <w:rPr>
          <w:rFonts w:hint="eastAsia" w:ascii="仿宋_GB2312" w:hAnsi="仿宋_GB2312" w:eastAsia="仿宋_GB2312" w:cs="仿宋_GB2312"/>
          <w:kern w:val="0"/>
          <w:sz w:val="32"/>
          <w:szCs w:val="32"/>
          <w:shd w:val="clear" w:color="auto" w:fill="FFFFFF"/>
          <w:lang w:eastAsia="zh-CN"/>
        </w:rPr>
        <w:t>。</w:t>
      </w:r>
    </w:p>
    <w:p w14:paraId="3DBA3849">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2022年，部门全年支出1892.07万元，其中人员经费支出1597.05万元，日常公用经费支出149.01万元，项目经费支出146.01万元。</w:t>
      </w:r>
    </w:p>
    <w:p w14:paraId="4BAE9E4E">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rPr>
        <w:t>3.部门总体结转结余情况</w:t>
      </w:r>
      <w:r>
        <w:rPr>
          <w:rFonts w:hint="eastAsia" w:ascii="仿宋_GB2312" w:hAnsi="仿宋_GB2312" w:eastAsia="仿宋_GB2312" w:cs="仿宋_GB2312"/>
          <w:kern w:val="0"/>
          <w:sz w:val="32"/>
          <w:szCs w:val="32"/>
          <w:shd w:val="clear" w:color="auto" w:fill="FFFFFF"/>
          <w:lang w:eastAsia="zh-CN"/>
        </w:rPr>
        <w:t>。</w:t>
      </w:r>
    </w:p>
    <w:p w14:paraId="61E81AD9">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2022年，年末结转和结余19.47万元。</w:t>
      </w:r>
    </w:p>
    <w:p w14:paraId="12C233F8">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（二）部门财政拨款收支情况。</w:t>
      </w:r>
    </w:p>
    <w:p w14:paraId="28DE3962">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rPr>
        <w:t>1.部门财政拨款收入情况</w:t>
      </w:r>
      <w:r>
        <w:rPr>
          <w:rFonts w:hint="eastAsia" w:ascii="仿宋_GB2312" w:hAnsi="仿宋_GB2312" w:eastAsia="仿宋_GB2312" w:cs="仿宋_GB2312"/>
          <w:kern w:val="0"/>
          <w:sz w:val="32"/>
          <w:szCs w:val="32"/>
          <w:shd w:val="clear" w:color="auto" w:fill="FFFFFF"/>
          <w:lang w:eastAsia="zh-CN"/>
        </w:rPr>
        <w:t>。</w:t>
      </w:r>
    </w:p>
    <w:p w14:paraId="0CB66C93">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val="en-US" w:eastAsia="zh-CN"/>
        </w:rPr>
        <w:t>2022年初财政预算收入下达1676.74万元，年中各项人员公用经费追加下达30.72万元；项目经费追加下达146.01万元，2022年全年收入1853.47万元。</w:t>
      </w:r>
    </w:p>
    <w:p w14:paraId="01D1C8D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2.部门财政拨款支出情况。</w:t>
      </w:r>
    </w:p>
    <w:p w14:paraId="42FF9E34">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bidi="ar-SA"/>
        </w:rPr>
        <w:t>2022年，部门财政拨款支出</w:t>
      </w:r>
      <w:r>
        <w:rPr>
          <w:rFonts w:hint="eastAsia" w:ascii="仿宋_GB2312" w:hAnsi="仿宋_GB2312" w:eastAsia="仿宋_GB2312" w:cs="仿宋_GB2312"/>
          <w:kern w:val="0"/>
          <w:sz w:val="32"/>
          <w:szCs w:val="32"/>
          <w:shd w:val="clear" w:color="auto" w:fill="FFFFFF"/>
          <w:lang w:val="en-US" w:eastAsia="zh-CN"/>
        </w:rPr>
        <w:t>1890.5万元，其中人员经费支出1597.05万元，日常公用经费支出144.44万元，项目经费支出146.01万元。</w:t>
      </w:r>
    </w:p>
    <w:p w14:paraId="7547BF9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3.部门财政拨款结转结余情况</w:t>
      </w:r>
    </w:p>
    <w:p w14:paraId="25346F4A">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2022年，部门年末财政拨款结转结余</w:t>
      </w:r>
      <w:r>
        <w:rPr>
          <w:rFonts w:hint="eastAsia" w:hAnsi="仿宋_GB2312" w:cs="仿宋_GB2312"/>
          <w:kern w:val="0"/>
          <w:sz w:val="32"/>
          <w:szCs w:val="32"/>
          <w:shd w:val="clear" w:color="auto" w:fill="FFFFFF"/>
          <w:lang w:val="en-US" w:eastAsia="zh-CN" w:bidi="ar-SA"/>
        </w:rPr>
        <w:t>14.99</w:t>
      </w:r>
      <w:r>
        <w:rPr>
          <w:rFonts w:hint="eastAsia" w:ascii="仿宋_GB2312" w:hAnsi="仿宋_GB2312" w:eastAsia="仿宋_GB2312" w:cs="仿宋_GB2312"/>
          <w:kern w:val="0"/>
          <w:sz w:val="32"/>
          <w:szCs w:val="32"/>
          <w:shd w:val="clear" w:color="auto" w:fill="FFFFFF"/>
          <w:lang w:val="en-US" w:eastAsia="zh-CN" w:bidi="ar-SA"/>
        </w:rPr>
        <w:t>万元。</w:t>
      </w:r>
    </w:p>
    <w:p w14:paraId="2C16EE70">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三、部门整体绩效分析（根据适用指标体系进行调整，涉及有专项资金预算项目的部门，专项资金预算项目自评报告作为本报告附件一并公开）</w:t>
      </w:r>
    </w:p>
    <w:p w14:paraId="498C3FB2">
      <w:pPr>
        <w:widowControl/>
        <w:adjustRightInd w:val="0"/>
        <w:snapToGrid w:val="0"/>
        <w:spacing w:line="560" w:lineRule="exact"/>
        <w:ind w:firstLine="643"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p>
    <w:p w14:paraId="37C73724">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1.人员类项目绩效分析</w:t>
      </w:r>
    </w:p>
    <w:p w14:paraId="7DC5578B">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严格执行相关政策，保障工资及时发放、足额发放，预算编制科学合理，无资金结余率和违规记录等情况。</w:t>
      </w:r>
    </w:p>
    <w:p w14:paraId="641E9711">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2.运转类项目绩效分析</w:t>
      </w:r>
    </w:p>
    <w:p w14:paraId="04A3741E">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严格执行相关政策，预算编制科学合理，保障单位水、电、办公等日常运转，无资金结余率和违规记录等情况。</w:t>
      </w:r>
    </w:p>
    <w:p w14:paraId="61A7E9D6">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3.特定目标类项目绩效分析</w:t>
      </w:r>
    </w:p>
    <w:p w14:paraId="090CBB19">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eastAsia="zh-CN"/>
        </w:rPr>
        <w:t>结合年度工作任务，申报项目经费，填写部门（单位）项目支出绩效目标表和项目支出绩效自评报告，确保项目资金使用合理合规，无违规记录。</w:t>
      </w:r>
    </w:p>
    <w:p w14:paraId="5E8B4593">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（二）部门整体履职绩效分析。</w:t>
      </w:r>
    </w:p>
    <w:p w14:paraId="3E3E3283">
      <w:pPr>
        <w:widowControl/>
        <w:adjustRightInd w:val="0"/>
        <w:snapToGrid w:val="0"/>
        <w:spacing w:line="560" w:lineRule="exact"/>
        <w:ind w:firstLine="640" w:firstLineChars="200"/>
        <w:contextualSpacing/>
        <w:jc w:val="left"/>
        <w:rPr>
          <w:rFonts w:hint="default"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市科技局</w:t>
      </w:r>
      <w:r>
        <w:rPr>
          <w:rFonts w:hint="default" w:ascii="仿宋_GB2312" w:hAnsi="仿宋_GB2312" w:eastAsia="仿宋_GB2312" w:cs="仿宋_GB2312"/>
          <w:kern w:val="0"/>
          <w:sz w:val="32"/>
          <w:szCs w:val="32"/>
          <w:shd w:val="clear" w:color="auto" w:fill="FFFFFF"/>
          <w:lang w:val="en-US" w:eastAsia="zh-CN"/>
        </w:rPr>
        <w:t>系统各单位严格</w:t>
      </w:r>
      <w:r>
        <w:rPr>
          <w:rFonts w:hint="eastAsia" w:ascii="仿宋_GB2312" w:hAnsi="仿宋_GB2312" w:eastAsia="仿宋_GB2312" w:cs="仿宋_GB2312"/>
          <w:kern w:val="0"/>
          <w:sz w:val="32"/>
          <w:szCs w:val="32"/>
          <w:shd w:val="clear" w:color="auto" w:fill="FFFFFF"/>
          <w:lang w:val="en-US" w:eastAsia="zh-CN"/>
        </w:rPr>
        <w:t>按照财政相关要求，正确编制年度预算</w:t>
      </w:r>
      <w:r>
        <w:rPr>
          <w:rFonts w:hint="default" w:ascii="仿宋_GB2312" w:hAnsi="仿宋_GB2312" w:eastAsia="仿宋_GB2312" w:cs="仿宋_GB2312"/>
          <w:kern w:val="0"/>
          <w:sz w:val="32"/>
          <w:szCs w:val="32"/>
          <w:shd w:val="clear" w:color="auto" w:fill="FFFFFF"/>
          <w:lang w:val="en-US" w:eastAsia="zh-CN"/>
        </w:rPr>
        <w:t>，制定绩效目标，</w:t>
      </w:r>
      <w:r>
        <w:rPr>
          <w:rFonts w:hint="eastAsia" w:ascii="仿宋_GB2312" w:hAnsi="仿宋_GB2312" w:eastAsia="仿宋_GB2312" w:cs="仿宋_GB2312"/>
          <w:kern w:val="0"/>
          <w:sz w:val="32"/>
          <w:szCs w:val="32"/>
          <w:shd w:val="clear" w:color="auto" w:fill="FFFFFF"/>
          <w:lang w:val="en-US" w:eastAsia="zh-CN"/>
        </w:rPr>
        <w:t>在基本公用支出和项目支出过程中，及时进行科目调剂，确保资金实际使用情况与财务科目相符，提高预算执行与绩效目标的匹配度。</w:t>
      </w:r>
    </w:p>
    <w:p w14:paraId="49E228A9">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（三）结果应用情况。</w:t>
      </w:r>
    </w:p>
    <w:p w14:paraId="0AAA9FF4">
      <w:pPr>
        <w:widowControl/>
        <w:adjustRightInd w:val="0"/>
        <w:snapToGrid w:val="0"/>
        <w:spacing w:line="560"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default" w:ascii="仿宋_GB2312" w:hAnsi="仿宋_GB2312" w:eastAsia="仿宋_GB2312" w:cs="仿宋_GB2312"/>
          <w:kern w:val="0"/>
          <w:sz w:val="32"/>
          <w:szCs w:val="32"/>
          <w:shd w:val="clear" w:color="auto" w:fill="FFFFFF"/>
          <w:lang w:val="en-US" w:eastAsia="zh-CN"/>
        </w:rPr>
        <w:t>市</w:t>
      </w:r>
      <w:r>
        <w:rPr>
          <w:rFonts w:hint="eastAsia" w:ascii="仿宋_GB2312" w:hAnsi="仿宋_GB2312" w:eastAsia="仿宋_GB2312" w:cs="仿宋_GB2312"/>
          <w:kern w:val="0"/>
          <w:sz w:val="32"/>
          <w:szCs w:val="32"/>
          <w:shd w:val="clear" w:color="auto" w:fill="FFFFFF"/>
          <w:lang w:val="en-US" w:eastAsia="zh-CN"/>
        </w:rPr>
        <w:t>科技局</w:t>
      </w:r>
      <w:r>
        <w:rPr>
          <w:rFonts w:hint="default" w:ascii="仿宋_GB2312" w:hAnsi="仿宋_GB2312" w:eastAsia="仿宋_GB2312" w:cs="仿宋_GB2312"/>
          <w:kern w:val="0"/>
          <w:sz w:val="32"/>
          <w:szCs w:val="32"/>
          <w:shd w:val="clear" w:color="auto" w:fill="FFFFFF"/>
          <w:lang w:val="en-US" w:eastAsia="zh-CN"/>
        </w:rPr>
        <w:t>系统充分重视绩效自评结果，将结果应用在绩效制定的过程中，不断完善绩效制定水平，提高绩效编制的准确性。</w:t>
      </w:r>
    </w:p>
    <w:p w14:paraId="06BA18E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en-US" w:eastAsia="zh-CN"/>
        </w:rPr>
        <w:t>（四）</w:t>
      </w:r>
      <w:r>
        <w:rPr>
          <w:rFonts w:hint="eastAsia" w:ascii="楷体_GB2312" w:hAnsi="楷体_GB2312" w:eastAsia="楷体_GB2312" w:cs="楷体_GB2312"/>
          <w:b/>
          <w:bCs/>
          <w:kern w:val="0"/>
          <w:sz w:val="32"/>
          <w:szCs w:val="32"/>
          <w:shd w:val="clear" w:color="auto" w:fill="FFFFFF"/>
          <w:lang w:val="zh-CN"/>
        </w:rPr>
        <w:t>自评质量。</w:t>
      </w:r>
    </w:p>
    <w:p w14:paraId="2E83FEF6">
      <w:pPr>
        <w:pStyle w:val="10"/>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default" w:ascii="仿宋_GB2312" w:hAnsi="仿宋_GB2312" w:eastAsia="仿宋_GB2312" w:cs="仿宋_GB2312"/>
          <w:b w:val="0"/>
          <w:bCs w:val="0"/>
          <w:kern w:val="0"/>
          <w:sz w:val="32"/>
          <w:szCs w:val="32"/>
          <w:shd w:val="clear" w:color="auto" w:fill="FFFFFF"/>
          <w:lang w:val="en-US" w:eastAsia="zh-CN" w:bidi="ar-SA"/>
        </w:rPr>
      </w:pPr>
      <w:r>
        <w:rPr>
          <w:rFonts w:hint="default" w:ascii="仿宋_GB2312" w:hAnsi="仿宋_GB2312" w:eastAsia="仿宋_GB2312" w:cs="仿宋_GB2312"/>
          <w:b w:val="0"/>
          <w:bCs w:val="0"/>
          <w:kern w:val="0"/>
          <w:sz w:val="32"/>
          <w:szCs w:val="32"/>
          <w:shd w:val="clear" w:color="auto" w:fill="FFFFFF"/>
          <w:lang w:val="en-US" w:eastAsia="zh-CN" w:bidi="ar-SA"/>
        </w:rPr>
        <w:t>按项目实际支出和项目申报绩效目标进行对比分析</w:t>
      </w:r>
      <w:r>
        <w:rPr>
          <w:rFonts w:hint="eastAsia" w:ascii="仿宋_GB2312" w:hAnsi="仿宋_GB2312" w:eastAsia="仿宋_GB2312" w:cs="仿宋_GB2312"/>
          <w:b w:val="0"/>
          <w:bCs w:val="0"/>
          <w:kern w:val="0"/>
          <w:sz w:val="32"/>
          <w:szCs w:val="32"/>
          <w:shd w:val="clear" w:color="auto" w:fill="FFFFFF"/>
          <w:lang w:val="en-US" w:eastAsia="zh-CN" w:bidi="ar-SA"/>
        </w:rPr>
        <w:t>，市科技局</w:t>
      </w:r>
      <w:r>
        <w:rPr>
          <w:rFonts w:hint="default" w:ascii="仿宋_GB2312" w:hAnsi="仿宋_GB2312" w:eastAsia="仿宋_GB2312" w:cs="仿宋_GB2312"/>
          <w:b w:val="0"/>
          <w:bCs w:val="0"/>
          <w:kern w:val="0"/>
          <w:sz w:val="32"/>
          <w:szCs w:val="32"/>
          <w:shd w:val="clear" w:color="auto" w:fill="FFFFFF"/>
          <w:lang w:val="en-US" w:eastAsia="zh-CN" w:bidi="ar-SA"/>
        </w:rPr>
        <w:t>部门支出绩效指标达到了预期设定的目标值，绩效目标完成较好</w:t>
      </w:r>
      <w:r>
        <w:rPr>
          <w:rFonts w:hint="eastAsia" w:ascii="仿宋_GB2312" w:hAnsi="仿宋_GB2312" w:eastAsia="仿宋_GB2312" w:cs="仿宋_GB2312"/>
          <w:b w:val="0"/>
          <w:bCs w:val="0"/>
          <w:kern w:val="0"/>
          <w:sz w:val="32"/>
          <w:szCs w:val="32"/>
          <w:shd w:val="clear" w:color="auto" w:fill="FFFFFF"/>
          <w:lang w:val="en-US" w:eastAsia="zh-CN" w:bidi="ar-SA"/>
        </w:rPr>
        <w:t>，</w:t>
      </w:r>
      <w:r>
        <w:rPr>
          <w:rFonts w:hint="default" w:ascii="仿宋_GB2312" w:hAnsi="仿宋_GB2312" w:eastAsia="仿宋_GB2312" w:cs="仿宋_GB2312"/>
          <w:b w:val="0"/>
          <w:bCs w:val="0"/>
          <w:kern w:val="0"/>
          <w:sz w:val="32"/>
          <w:szCs w:val="32"/>
          <w:shd w:val="clear" w:color="auto" w:fill="FFFFFF"/>
          <w:lang w:val="en-US" w:eastAsia="zh-CN" w:bidi="ar-SA"/>
        </w:rPr>
        <w:t>所有</w:t>
      </w:r>
      <w:r>
        <w:rPr>
          <w:rFonts w:hint="eastAsia" w:ascii="仿宋_GB2312" w:hAnsi="仿宋_GB2312" w:eastAsia="仿宋_GB2312" w:cs="仿宋_GB2312"/>
          <w:b w:val="0"/>
          <w:bCs w:val="0"/>
          <w:kern w:val="0"/>
          <w:sz w:val="32"/>
          <w:szCs w:val="32"/>
          <w:shd w:val="clear" w:color="auto" w:fill="FFFFFF"/>
          <w:lang w:val="en-US" w:eastAsia="zh-CN" w:bidi="ar-SA"/>
        </w:rPr>
        <w:t>经费使用范围</w:t>
      </w:r>
      <w:r>
        <w:rPr>
          <w:rFonts w:hint="default" w:ascii="仿宋_GB2312" w:hAnsi="仿宋_GB2312" w:eastAsia="仿宋_GB2312" w:cs="仿宋_GB2312"/>
          <w:b w:val="0"/>
          <w:bCs w:val="0"/>
          <w:kern w:val="0"/>
          <w:sz w:val="32"/>
          <w:szCs w:val="32"/>
          <w:shd w:val="clear" w:color="auto" w:fill="FFFFFF"/>
          <w:lang w:val="en-US" w:eastAsia="zh-CN" w:bidi="ar-SA"/>
        </w:rPr>
        <w:t>均与批复下达相符。</w:t>
      </w:r>
    </w:p>
    <w:p w14:paraId="5E6FC643">
      <w:pPr>
        <w:keepNext w:val="0"/>
        <w:keepLines w:val="0"/>
        <w:pageBreakBefore w:val="0"/>
        <w:widowControl w:val="0"/>
        <w:pBdr>
          <w:top w:val="single" w:color="FFFFFF" w:sz="4" w:space="0"/>
          <w:left w:val="single" w:color="FFFFFF" w:sz="4" w:space="0"/>
          <w:bottom w:val="single" w:color="FFFFFF" w:sz="4" w:space="31"/>
          <w:right w:val="single" w:color="FFFFFF" w:sz="4" w:space="0"/>
        </w:pBdr>
        <w:kinsoku/>
        <w:wordWrap/>
        <w:overflowPunct/>
        <w:topLinePunct w:val="0"/>
        <w:autoSpaceDE/>
        <w:autoSpaceDN/>
        <w:bidi w:val="0"/>
        <w:adjustRightInd w:val="0"/>
        <w:snapToGrid w:val="0"/>
        <w:spacing w:line="560" w:lineRule="exact"/>
        <w:ind w:firstLine="641"/>
        <w:textAlignment w:val="auto"/>
        <w:rPr>
          <w:rFonts w:hint="eastAsia"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14:paraId="5FD3E220">
      <w:pPr>
        <w:keepNext w:val="0"/>
        <w:keepLines w:val="0"/>
        <w:pageBreakBefore w:val="0"/>
        <w:pBdr>
          <w:top w:val="single" w:color="FFFFFF" w:sz="4" w:space="0"/>
          <w:left w:val="single" w:color="FFFFFF" w:sz="4" w:space="0"/>
          <w:bottom w:val="single" w:color="FFFFFF" w:sz="4" w:space="31"/>
          <w:right w:val="single" w:color="FFFFFF" w:sz="4" w:space="0"/>
        </w:pBdr>
        <w:kinsoku/>
        <w:wordWrap/>
        <w:overflowPunct/>
        <w:topLinePunct w:val="0"/>
        <w:autoSpaceDE/>
        <w:autoSpaceDN/>
        <w:bidi w:val="0"/>
        <w:adjustRightInd w:val="0"/>
        <w:snapToGrid w:val="0"/>
        <w:spacing w:line="560" w:lineRule="exact"/>
        <w:ind w:firstLine="643"/>
        <w:textAlignment w:val="auto"/>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14:paraId="640F0851">
      <w:pPr>
        <w:keepNext w:val="0"/>
        <w:keepLines w:val="0"/>
        <w:pageBreakBefore w:val="0"/>
        <w:pBdr>
          <w:top w:val="single" w:color="FFFFFF" w:sz="4" w:space="0"/>
          <w:left w:val="single" w:color="FFFFFF" w:sz="4" w:space="0"/>
          <w:bottom w:val="single" w:color="FFFFFF" w:sz="4" w:space="31"/>
          <w:right w:val="single" w:color="FFFFFF" w:sz="4" w:space="0"/>
        </w:pBdr>
        <w:kinsoku/>
        <w:wordWrap/>
        <w:overflowPunct/>
        <w:topLinePunct w:val="0"/>
        <w:autoSpaceDE/>
        <w:autoSpaceDN/>
        <w:bidi w:val="0"/>
        <w:adjustRightInd w:val="0"/>
        <w:snapToGrid w:val="0"/>
        <w:spacing w:line="560" w:lineRule="exact"/>
        <w:ind w:firstLine="643"/>
        <w:textAlignment w:val="auto"/>
        <w:rPr>
          <w:rFonts w:hint="default" w:ascii="仿宋_GB2312" w:hAnsi="仿宋_GB2312" w:eastAsia="仿宋_GB2312" w:cs="仿宋_GB2312"/>
          <w:kern w:val="0"/>
          <w:sz w:val="32"/>
          <w:szCs w:val="32"/>
          <w:shd w:val="clear" w:color="auto" w:fill="FFFFFF"/>
          <w:lang w:val="en-US" w:eastAsia="zh-CN"/>
        </w:rPr>
      </w:pPr>
      <w:r>
        <w:rPr>
          <w:rFonts w:hint="default" w:ascii="仿宋_GB2312" w:hAnsi="仿宋_GB2312" w:eastAsia="仿宋_GB2312" w:cs="仿宋_GB2312"/>
          <w:kern w:val="0"/>
          <w:sz w:val="32"/>
          <w:szCs w:val="32"/>
          <w:shd w:val="clear" w:color="auto" w:fill="FFFFFF"/>
        </w:rPr>
        <w:t>202</w:t>
      </w:r>
      <w:r>
        <w:rPr>
          <w:rFonts w:hint="eastAsia" w:ascii="仿宋_GB2312" w:hAnsi="仿宋_GB2312" w:eastAsia="仿宋_GB2312" w:cs="仿宋_GB2312"/>
          <w:kern w:val="0"/>
          <w:sz w:val="32"/>
          <w:szCs w:val="32"/>
          <w:shd w:val="clear" w:color="auto" w:fill="FFFFFF"/>
          <w:lang w:val="en-US" w:eastAsia="zh-CN"/>
        </w:rPr>
        <w:t>2</w:t>
      </w:r>
      <w:r>
        <w:rPr>
          <w:rFonts w:hint="default" w:ascii="仿宋_GB2312" w:hAnsi="仿宋_GB2312" w:eastAsia="仿宋_GB2312" w:cs="仿宋_GB2312"/>
          <w:kern w:val="0"/>
          <w:sz w:val="32"/>
          <w:szCs w:val="32"/>
          <w:shd w:val="clear" w:color="auto" w:fill="FFFFFF"/>
        </w:rPr>
        <w:t>年，</w:t>
      </w:r>
      <w:r>
        <w:rPr>
          <w:rFonts w:hint="default" w:ascii="仿宋_GB2312" w:hAnsi="仿宋_GB2312" w:eastAsia="仿宋_GB2312" w:cs="仿宋_GB2312"/>
          <w:kern w:val="0"/>
          <w:sz w:val="32"/>
          <w:szCs w:val="32"/>
          <w:shd w:val="clear" w:color="auto" w:fill="FFFFFF"/>
          <w:lang w:val="en-US" w:eastAsia="zh-CN"/>
        </w:rPr>
        <w:t>我局持续深入实施创新驱动发展战略，以提高自主创新能力为核心，大力推动“卡脖子”技术攻关，</w:t>
      </w:r>
      <w:r>
        <w:rPr>
          <w:rFonts w:hint="eastAsia" w:ascii="仿宋_GB2312" w:hAnsi="仿宋_GB2312" w:eastAsia="仿宋_GB2312" w:cs="仿宋_GB2312"/>
          <w:kern w:val="0"/>
          <w:sz w:val="32"/>
          <w:szCs w:val="32"/>
          <w:shd w:val="clear" w:color="auto" w:fill="FFFFFF"/>
          <w:lang w:val="en-US" w:eastAsia="zh-CN"/>
        </w:rPr>
        <w:t>推进“揭榜挂帅”“赛马制”“包干制”等开放合作机制</w:t>
      </w:r>
      <w:r>
        <w:rPr>
          <w:rFonts w:hint="default" w:ascii="仿宋_GB2312" w:hAnsi="仿宋_GB2312" w:eastAsia="仿宋_GB2312" w:cs="仿宋_GB2312"/>
          <w:kern w:val="0"/>
          <w:sz w:val="32"/>
          <w:szCs w:val="32"/>
          <w:shd w:val="clear" w:color="auto" w:fill="FFFFFF"/>
          <w:lang w:val="en-US" w:eastAsia="zh-CN"/>
        </w:rPr>
        <w:t>，积极搭建科</w:t>
      </w:r>
      <w:r>
        <w:rPr>
          <w:rFonts w:hint="default" w:ascii="仿宋_GB2312" w:hAnsi="仿宋_GB2312" w:eastAsia="仿宋_GB2312" w:cs="仿宋_GB2312"/>
          <w:kern w:val="0"/>
          <w:sz w:val="32"/>
          <w:szCs w:val="32"/>
          <w:shd w:val="clear" w:color="auto" w:fill="FFFFFF"/>
        </w:rPr>
        <w:t>技创新联合体，不断开创科技创新工作新局面。</w:t>
      </w:r>
      <w:r>
        <w:rPr>
          <w:rFonts w:hint="default" w:ascii="仿宋_GB2312" w:hAnsi="仿宋_GB2312" w:eastAsia="仿宋_GB2312" w:cs="仿宋_GB2312"/>
          <w:kern w:val="0"/>
          <w:sz w:val="32"/>
          <w:szCs w:val="32"/>
          <w:shd w:val="clear" w:color="auto" w:fill="FFFFFF"/>
          <w:lang w:val="en-US" w:eastAsia="zh-CN"/>
        </w:rPr>
        <w:t xml:space="preserve">在项目实施过程中，项目资金预算编制准确，部门整体绩效目标编制完整、合理，项目绩效目标编制明确，执行预算制度到位，基绩效目标，取得了良好的经济、社会和生态效益，有力助推了攀枝花市科技创新工作的持续高效开展。 </w:t>
      </w:r>
    </w:p>
    <w:p w14:paraId="44AB8E53">
      <w:pPr>
        <w:keepNext w:val="0"/>
        <w:keepLines w:val="0"/>
        <w:pageBreakBefore w:val="0"/>
        <w:pBdr>
          <w:top w:val="single" w:color="FFFFFF" w:sz="4" w:space="0"/>
          <w:left w:val="single" w:color="FFFFFF" w:sz="4" w:space="0"/>
          <w:bottom w:val="single" w:color="FFFFFF" w:sz="4" w:space="31"/>
          <w:right w:val="single" w:color="FFFFFF" w:sz="4" w:space="0"/>
        </w:pBdr>
        <w:kinsoku/>
        <w:wordWrap/>
        <w:overflowPunct/>
        <w:topLinePunct w:val="0"/>
        <w:autoSpaceDE/>
        <w:autoSpaceDN/>
        <w:bidi w:val="0"/>
        <w:adjustRightInd w:val="0"/>
        <w:snapToGrid w:val="0"/>
        <w:spacing w:line="560" w:lineRule="exact"/>
        <w:ind w:firstLine="643"/>
        <w:textAlignment w:val="auto"/>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（二）存在问题。</w:t>
      </w:r>
    </w:p>
    <w:p w14:paraId="2911223A">
      <w:pPr>
        <w:keepNext w:val="0"/>
        <w:keepLines w:val="0"/>
        <w:pageBreakBefore w:val="0"/>
        <w:pBdr>
          <w:top w:val="single" w:color="FFFFFF" w:sz="4" w:space="0"/>
          <w:left w:val="single" w:color="FFFFFF" w:sz="4" w:space="0"/>
          <w:bottom w:val="single" w:color="FFFFFF" w:sz="4" w:space="31"/>
          <w:right w:val="single" w:color="FFFFFF" w:sz="4" w:space="0"/>
        </w:pBdr>
        <w:kinsoku/>
        <w:wordWrap/>
        <w:overflowPunct/>
        <w:topLinePunct w:val="0"/>
        <w:autoSpaceDE/>
        <w:autoSpaceDN/>
        <w:bidi w:val="0"/>
        <w:adjustRightInd w:val="0"/>
        <w:snapToGrid w:val="0"/>
        <w:spacing w:line="560" w:lineRule="exact"/>
        <w:ind w:firstLine="643"/>
        <w:textAlignment w:val="auto"/>
        <w:rPr>
          <w:rFonts w:hint="eastAsia" w:ascii="Times New Roman" w:hAnsi="Times New Roman" w:eastAsia="仿宋_GB2312" w:cs="Times New Roman"/>
          <w:b w:val="0"/>
          <w:bCs w:val="0"/>
          <w:kern w:val="2"/>
          <w:sz w:val="32"/>
          <w:szCs w:val="32"/>
          <w:lang w:val="zh-CN" w:eastAsia="zh-CN" w:bidi="ar-SA"/>
        </w:rPr>
      </w:pPr>
      <w:r>
        <w:rPr>
          <w:rFonts w:hint="eastAsia" w:ascii="Times New Roman" w:hAnsi="Times New Roman" w:eastAsia="仿宋_GB2312" w:cs="Times New Roman"/>
          <w:b w:val="0"/>
          <w:bCs w:val="0"/>
          <w:kern w:val="2"/>
          <w:sz w:val="32"/>
          <w:szCs w:val="32"/>
          <w:lang w:val="zh-CN" w:eastAsia="zh-CN" w:bidi="ar-SA"/>
        </w:rPr>
        <w:t>无。</w:t>
      </w:r>
    </w:p>
    <w:p w14:paraId="0973FAD6">
      <w:pPr>
        <w:keepNext w:val="0"/>
        <w:keepLines w:val="0"/>
        <w:pageBreakBefore w:val="0"/>
        <w:pBdr>
          <w:top w:val="single" w:color="FFFFFF" w:sz="4" w:space="0"/>
          <w:left w:val="single" w:color="FFFFFF" w:sz="4" w:space="0"/>
          <w:bottom w:val="single" w:color="FFFFFF" w:sz="4" w:space="31"/>
          <w:right w:val="single" w:color="FFFFFF" w:sz="4" w:space="0"/>
        </w:pBdr>
        <w:kinsoku/>
        <w:wordWrap/>
        <w:overflowPunct/>
        <w:topLinePunct w:val="0"/>
        <w:autoSpaceDE/>
        <w:autoSpaceDN/>
        <w:bidi w:val="0"/>
        <w:adjustRightInd w:val="0"/>
        <w:snapToGrid w:val="0"/>
        <w:spacing w:line="560" w:lineRule="exact"/>
        <w:ind w:firstLine="643"/>
        <w:textAlignment w:val="auto"/>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（三）改进建议。</w:t>
      </w:r>
    </w:p>
    <w:p w14:paraId="22815A8F">
      <w:pPr>
        <w:keepNext w:val="0"/>
        <w:keepLines w:val="0"/>
        <w:pageBreakBefore w:val="0"/>
        <w:pBdr>
          <w:top w:val="single" w:color="FFFFFF" w:sz="4" w:space="0"/>
          <w:left w:val="single" w:color="FFFFFF" w:sz="4" w:space="0"/>
          <w:bottom w:val="single" w:color="FFFFFF" w:sz="4" w:space="31"/>
          <w:right w:val="single" w:color="FFFFFF" w:sz="4" w:space="0"/>
        </w:pBdr>
        <w:kinsoku/>
        <w:wordWrap/>
        <w:overflowPunct/>
        <w:topLinePunct w:val="0"/>
        <w:autoSpaceDE/>
        <w:autoSpaceDN/>
        <w:bidi w:val="0"/>
        <w:adjustRightInd w:val="0"/>
        <w:snapToGrid w:val="0"/>
        <w:spacing w:line="560" w:lineRule="exact"/>
        <w:ind w:firstLine="643"/>
        <w:textAlignment w:val="auto"/>
        <w:rPr>
          <w:rFonts w:hint="default" w:ascii="Times New Roman" w:hAnsi="Times New Roman" w:eastAsia="仿宋_GB2312" w:cs="Times New Roman"/>
          <w:b w:val="0"/>
          <w:bCs w:val="0"/>
          <w:kern w:val="2"/>
          <w:sz w:val="32"/>
          <w:szCs w:val="32"/>
          <w:lang w:val="zh-CN" w:eastAsia="zh-CN" w:bidi="ar-SA"/>
        </w:rPr>
      </w:pPr>
      <w:r>
        <w:rPr>
          <w:rFonts w:hint="eastAsia" w:ascii="Times New Roman" w:hAnsi="Times New Roman" w:eastAsia="仿宋_GB2312" w:cs="Times New Roman"/>
          <w:b w:val="0"/>
          <w:bCs w:val="0"/>
          <w:kern w:val="2"/>
          <w:sz w:val="32"/>
          <w:szCs w:val="32"/>
          <w:lang w:val="zh-CN" w:eastAsia="zh-CN" w:bidi="ar-SA"/>
        </w:rPr>
        <w:t>无。</w:t>
      </w:r>
    </w:p>
    <w:p w14:paraId="2F2C6DD2">
      <w:pPr>
        <w:pStyle w:val="17"/>
        <w:spacing w:line="560" w:lineRule="exact"/>
        <w:ind w:left="0" w:leftChars="0" w:firstLine="640"/>
        <w:rPr>
          <w:rFonts w:hint="eastAsia" w:hAnsi="仿宋_GB2312" w:eastAsia="仿宋_GB2312" w:cs="仿宋_GB2312"/>
          <w:sz w:val="32"/>
          <w:lang w:val="zh-CN" w:eastAsia="zh-CN"/>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部门预算项目支出绩效自评表（2022年度）见附件</w:t>
      </w:r>
      <w:r>
        <w:rPr>
          <w:rFonts w:hint="eastAsia" w:hAnsi="仿宋_GB2312" w:eastAsia="仿宋_GB2312" w:cs="仿宋_GB2312"/>
          <w:sz w:val="32"/>
          <w:lang w:val="en-US" w:eastAsia="zh-CN"/>
        </w:rPr>
        <w:t>1</w:t>
      </w:r>
    </w:p>
    <w:p w14:paraId="7A731C07">
      <w:pPr>
        <w:pStyle w:val="17"/>
        <w:spacing w:line="560" w:lineRule="exact"/>
        <w:ind w:left="0" w:leftChars="0" w:firstLine="640"/>
        <w:rPr>
          <w:rFonts w:hAnsi="仿宋_GB2312" w:eastAsia="仿宋_GB2312" w:cs="仿宋_GB2312"/>
          <w:sz w:val="32"/>
          <w:lang w:val="zh-CN"/>
        </w:rPr>
      </w:pPr>
    </w:p>
    <w:p w14:paraId="7574D232">
      <w:pPr>
        <w:pStyle w:val="17"/>
        <w:spacing w:line="560" w:lineRule="exact"/>
        <w:ind w:left="0" w:leftChars="0" w:firstLine="0" w:firstLineChars="0"/>
        <w:rPr>
          <w:sz w:val="32"/>
          <w:lang w:val="zh-CN"/>
        </w:rPr>
      </w:pPr>
    </w:p>
    <w:p w14:paraId="4A05E43D">
      <w:pPr>
        <w:pStyle w:val="2"/>
        <w:spacing w:before="93"/>
        <w:rPr>
          <w:rFonts w:hAnsi="宋体" w:cs="宋体"/>
          <w:sz w:val="32"/>
          <w:szCs w:val="32"/>
          <w:shd w:val="clear" w:color="auto" w:fill="FFFFFF"/>
          <w:lang w:val="zh-CN"/>
        </w:rPr>
      </w:pPr>
    </w:p>
    <w:p w14:paraId="7E6A2963">
      <w:pPr>
        <w:rPr>
          <w:rFonts w:hint="eastAsia" w:hAnsi="宋体" w:cs="宋体"/>
          <w:sz w:val="32"/>
          <w:szCs w:val="32"/>
          <w:shd w:val="clear" w:color="auto" w:fill="FFFFFF"/>
          <w:lang w:val="zh-CN"/>
        </w:rPr>
      </w:pPr>
      <w:r>
        <w:rPr>
          <w:rFonts w:hint="eastAsia" w:hAnsi="宋体" w:cs="宋体"/>
          <w:sz w:val="32"/>
          <w:szCs w:val="32"/>
          <w:shd w:val="clear" w:color="auto" w:fill="FFFFFF"/>
          <w:lang w:val="zh-CN"/>
        </w:rPr>
        <w:br w:type="page"/>
      </w:r>
    </w:p>
    <w:p w14:paraId="5EBFA4AA">
      <w:pPr>
        <w:pStyle w:val="38"/>
        <w:spacing w:line="578"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2023年市级专项资金预算项目绩效自评报告</w:t>
      </w:r>
    </w:p>
    <w:p w14:paraId="1F4699FE">
      <w:pPr>
        <w:pStyle w:val="38"/>
        <w:spacing w:line="578" w:lineRule="exact"/>
        <w:jc w:val="center"/>
        <w:rPr>
          <w:rFonts w:hint="eastAsia"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eastAsia="zh-CN"/>
        </w:rPr>
        <w:t>（“低成本高强韧钛合金材料制备关键技术研究”）</w:t>
      </w:r>
    </w:p>
    <w:p w14:paraId="1789288B">
      <w:pPr>
        <w:adjustRightInd w:val="0"/>
        <w:snapToGrid w:val="0"/>
        <w:spacing w:line="578" w:lineRule="exact"/>
        <w:ind w:firstLine="720"/>
        <w:rPr>
          <w:rFonts w:hint="eastAsia" w:ascii="黑体" w:hAnsi="宋体" w:eastAsia="黑体"/>
          <w:sz w:val="32"/>
          <w:szCs w:val="32"/>
        </w:rPr>
      </w:pPr>
    </w:p>
    <w:p w14:paraId="4E820836">
      <w:pPr>
        <w:adjustRightInd w:val="0"/>
        <w:snapToGrid w:val="0"/>
        <w:spacing w:line="600" w:lineRule="exact"/>
        <w:ind w:firstLine="720"/>
        <w:rPr>
          <w:rFonts w:eastAsia="黑体"/>
          <w:sz w:val="32"/>
          <w:szCs w:val="32"/>
          <w:lang w:val="zh-CN"/>
        </w:rPr>
      </w:pPr>
      <w:r>
        <w:rPr>
          <w:rFonts w:eastAsia="黑体"/>
          <w:sz w:val="32"/>
          <w:szCs w:val="32"/>
        </w:rPr>
        <w:t>一、</w:t>
      </w:r>
      <w:r>
        <w:rPr>
          <w:rFonts w:eastAsia="黑体"/>
          <w:sz w:val="32"/>
          <w:szCs w:val="32"/>
          <w:lang w:val="zh-CN"/>
        </w:rPr>
        <w:t>项目概况</w:t>
      </w:r>
    </w:p>
    <w:p w14:paraId="0FAAB982">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（一）项目基本情况。</w:t>
      </w:r>
    </w:p>
    <w:p w14:paraId="1DFCCE9C">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1．说明项目主管部门（单位）在该项目管理中的职能。</w:t>
      </w:r>
    </w:p>
    <w:p w14:paraId="4AD64F14">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攀枝花市科学技术局作为“</w:t>
      </w:r>
      <w:r>
        <w:rPr>
          <w:rFonts w:hint="eastAsia" w:ascii="仿宋_GB2312" w:hAnsi="仿宋_GB2312" w:eastAsia="仿宋_GB2312" w:cs="仿宋_GB2312"/>
          <w:sz w:val="32"/>
          <w:szCs w:val="32"/>
        </w:rPr>
        <w:t>低成本高强韧钛合金材料制备关键技术研究</w:t>
      </w:r>
      <w:r>
        <w:rPr>
          <w:rFonts w:hint="eastAsia" w:ascii="仿宋_GB2312" w:hAnsi="仿宋_GB2312" w:eastAsia="仿宋_GB2312" w:cs="仿宋_GB2312"/>
          <w:sz w:val="32"/>
          <w:szCs w:val="32"/>
          <w:lang w:eastAsia="zh-CN"/>
        </w:rPr>
        <w:t>”项目的主管单位，在项目管理中的职能主要有：一是加强项目监督管理。采用定期与不定期相结合的方式，到项目现场检查项目推进情况、安全管理等内容，督促项目实施按计划任务推进。二是加强项目实施指导。帮助项目承担单位协调解决项目实施过程中遇到的困难及问题，邀请相关领域专家为项目答疑解惑，指导项目顺利实施。三是加强沟通交流。建立联系机制，与项目承担单位保持畅通联系，了解项目承担单位需求，随时掌握项目推进情况，提高项目管理效率。</w:t>
      </w:r>
    </w:p>
    <w:p w14:paraId="1CD237EC">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2.项目立项、资金申报的依据。</w:t>
      </w:r>
    </w:p>
    <w:p w14:paraId="754A66D9">
      <w:pPr>
        <w:autoSpaceDE w:val="0"/>
        <w:autoSpaceDN w:val="0"/>
        <w:adjustRightInd w:val="0"/>
        <w:spacing w:line="600" w:lineRule="exact"/>
        <w:ind w:firstLine="4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（1）立项依据</w:t>
      </w:r>
    </w:p>
    <w:p w14:paraId="5AF2C271">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航空航天工业是世界各经济军事强国的重要战略性产业，是体现一个国家经济实力和工业化水平高低的重要标志。它不仅对一个国家的经济发展具有重要意义，也是国防实力的重要支撑。而航空材料无疑成为世界各国发展航空航天事业的秘密武器和重点发展方向之一。钛及钛合金具有密度小、强度高、耐腐蚀等优点，被广泛应用于航空航天领域，是制造航空发动机、火箭和导弹的重要结构材料,被誉为“第三金属”、“太空金属”等，已经成为重要的战略金属材料。在实现轻量化设计的目标下，钛合金无疑成为取代镍基高温合金的首选合金。据报道，如果用Ti-47Al-2Cr-2Nb合金取代传统镍基合金，重量仅有镍基合金的55%左右。</w:t>
      </w:r>
    </w:p>
    <w:p w14:paraId="1DCA4CE9">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航空航天工业的迅速发展，满足发动机低油耗、大推重比和高可靠性的设计目标，未来航空飞行器对钛合金的需求应该是兼具更高强度、更高韧性和更高耐高温性能。然而，传统结构用钛合金室温下延伸率低以及高温强度不足已经无法满足上述要求。作为工程技术上适用的基础材料，特别是长期服役于严苛环境中的结构材料，必须不断适应产品更新换代过程中对材料提出的更高的性能要求。本项目提出在bccβ-Ti基体中共格析出有序bccB2-Ti(Fe,Al)纳米相，通过调控基体和纳米析出相间元素分配，实现纳米析出相的高密度均匀析出，使钛合金获得良好的强度塑性匹配。实现钛合金强韧一体化的性能要求，同时降低钛合金成本，满足航空航天、武器装备等领域的应用需求，具有重要的理论和实际意义。</w:t>
      </w:r>
    </w:p>
    <w:p w14:paraId="07CCF8CF">
      <w:pPr>
        <w:autoSpaceDE w:val="0"/>
        <w:autoSpaceDN w:val="0"/>
        <w:adjustRightInd w:val="0"/>
        <w:spacing w:line="600" w:lineRule="exact"/>
        <w:ind w:firstLine="4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（2）资金申报依据</w:t>
      </w:r>
    </w:p>
    <w:p w14:paraId="7478AE39">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项目资金申报严格按照《四川省科技计划项目专项资金管理办法》（川财规[2019]10号）《攀枝花市科技专项资金管理暂行办法》（攀财教［2018］1号）</w:t>
      </w:r>
      <w:r>
        <w:rPr>
          <w:rFonts w:hint="eastAsia" w:ascii="仿宋" w:hAnsi="仿宋" w:eastAsia="仿宋" w:cs="仿宋"/>
          <w:color w:val="auto"/>
          <w:sz w:val="32"/>
          <w:szCs w:val="32"/>
          <w:lang w:eastAsia="zh-CN"/>
        </w:rPr>
        <w:t>《关于下达</w:t>
      </w:r>
      <w:r>
        <w:rPr>
          <w:rFonts w:hint="eastAsia" w:ascii="仿宋" w:hAnsi="仿宋" w:eastAsia="仿宋" w:cs="仿宋"/>
          <w:color w:val="auto"/>
          <w:sz w:val="32"/>
          <w:szCs w:val="32"/>
          <w:lang w:val="en-US" w:eastAsia="zh-CN"/>
        </w:rPr>
        <w:t>2020年度第二批攀枝花市市级科技计划项目和财政科技专项资金计划的通知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攀科发〔2020〕74号</w:t>
      </w:r>
      <w:r>
        <w:rPr>
          <w:rFonts w:hint="eastAsia" w:ascii="仿宋" w:hAnsi="仿宋" w:eastAsia="仿宋" w:cs="仿宋"/>
          <w:color w:val="auto"/>
          <w:sz w:val="32"/>
          <w:szCs w:val="32"/>
          <w:lang w:eastAsia="zh-CN"/>
        </w:rPr>
        <w:t>）</w:t>
      </w:r>
      <w:r>
        <w:rPr>
          <w:rFonts w:hint="eastAsia" w:ascii="仿宋_GB2312" w:hAnsi="仿宋_GB2312" w:eastAsia="仿宋_GB2312" w:cs="仿宋_GB2312"/>
          <w:sz w:val="32"/>
          <w:szCs w:val="32"/>
        </w:rPr>
        <w:t>规定的资金使用范围和标准，在项目立项后重新编制资金概算总表。</w:t>
      </w:r>
    </w:p>
    <w:p w14:paraId="326CFB49">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3．资金管理办法制定情况，资金支持具体项目的条件、范围与支持方式概况。</w:t>
      </w:r>
    </w:p>
    <w:p w14:paraId="08E05680">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bookmarkStart w:id="57" w:name="_Hlk69045313"/>
      <w:r>
        <w:rPr>
          <w:rFonts w:hint="eastAsia" w:ascii="仿宋_GB2312" w:hAnsi="仿宋_GB2312" w:eastAsia="仿宋_GB2312" w:cs="仿宋_GB2312"/>
          <w:sz w:val="32"/>
          <w:szCs w:val="32"/>
        </w:rPr>
        <w:t>四川钒钛产业技术研究院</w:t>
      </w:r>
      <w:bookmarkEnd w:id="57"/>
      <w:r>
        <w:rPr>
          <w:rFonts w:hint="eastAsia" w:ascii="仿宋_GB2312" w:hAnsi="仿宋_GB2312" w:eastAsia="仿宋_GB2312" w:cs="仿宋_GB2312"/>
          <w:sz w:val="32"/>
          <w:szCs w:val="32"/>
          <w:lang w:eastAsia="zh-CN"/>
        </w:rPr>
        <w:t>作为项目承担</w:t>
      </w:r>
      <w:r>
        <w:rPr>
          <w:rFonts w:hint="eastAsia" w:ascii="仿宋_GB2312" w:hAnsi="仿宋_GB2312" w:eastAsia="仿宋_GB2312" w:cs="仿宋_GB2312"/>
          <w:sz w:val="32"/>
          <w:szCs w:val="32"/>
        </w:rPr>
        <w:t>单位，根据《四川省科技计划项目专项资金管理办法》（川财规[2019]10号）</w:t>
      </w:r>
      <w:bookmarkStart w:id="58" w:name="_Hlk69047463"/>
      <w:r>
        <w:rPr>
          <w:rFonts w:hint="eastAsia" w:ascii="仿宋_GB2312" w:hAnsi="仿宋_GB2312" w:eastAsia="仿宋_GB2312" w:cs="仿宋_GB2312"/>
          <w:sz w:val="32"/>
          <w:szCs w:val="32"/>
        </w:rPr>
        <w:t>《攀枝花市科技专项资金管理暂行办法》（攀财教［2018］1号）</w:t>
      </w:r>
      <w:bookmarkEnd w:id="58"/>
      <w:r>
        <w:rPr>
          <w:rFonts w:hint="eastAsia" w:ascii="仿宋" w:hAnsi="仿宋" w:eastAsia="仿宋" w:cs="仿宋"/>
          <w:color w:val="auto"/>
          <w:sz w:val="32"/>
          <w:szCs w:val="32"/>
          <w:lang w:eastAsia="zh-CN"/>
        </w:rPr>
        <w:t>《关于下达</w:t>
      </w:r>
      <w:r>
        <w:rPr>
          <w:rFonts w:hint="eastAsia" w:ascii="仿宋" w:hAnsi="仿宋" w:eastAsia="仿宋" w:cs="仿宋"/>
          <w:color w:val="auto"/>
          <w:sz w:val="32"/>
          <w:szCs w:val="32"/>
          <w:lang w:val="en-US" w:eastAsia="zh-CN"/>
        </w:rPr>
        <w:t>2020年度第二批攀枝花市市级科技计划项目和财政科技专项资金计划的通知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攀科发〔2020〕74号</w:t>
      </w:r>
      <w:r>
        <w:rPr>
          <w:rFonts w:hint="eastAsia" w:ascii="仿宋" w:hAnsi="仿宋" w:eastAsia="仿宋" w:cs="仿宋"/>
          <w:color w:val="auto"/>
          <w:sz w:val="32"/>
          <w:szCs w:val="32"/>
          <w:lang w:eastAsia="zh-CN"/>
        </w:rPr>
        <w:t>）</w:t>
      </w:r>
      <w:r>
        <w:rPr>
          <w:rFonts w:hint="eastAsia" w:ascii="仿宋_GB2312" w:hAnsi="仿宋_GB2312" w:eastAsia="仿宋_GB2312" w:cs="仿宋_GB2312"/>
          <w:sz w:val="32"/>
          <w:szCs w:val="32"/>
        </w:rPr>
        <w:t>制定了</w:t>
      </w:r>
      <w:bookmarkStart w:id="59" w:name="_Hlk69047493"/>
      <w:r>
        <w:rPr>
          <w:rFonts w:hint="eastAsia" w:ascii="仿宋_GB2312" w:hAnsi="仿宋_GB2312" w:eastAsia="仿宋_GB2312" w:cs="仿宋_GB2312"/>
          <w:sz w:val="32"/>
          <w:szCs w:val="32"/>
        </w:rPr>
        <w:t>《四川钒钛产业技术研究院科技专项资金管理暂行办法》</w:t>
      </w:r>
    </w:p>
    <w:bookmarkEnd w:id="59"/>
    <w:p w14:paraId="3EC99C6A">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本项目资金采用前补助支持，资金开支范围包括直接费用和间接费用两部分。《低成</w:t>
      </w:r>
      <w:r>
        <w:rPr>
          <w:rFonts w:hint="eastAsia" w:ascii="仿宋_GB2312" w:hAnsi="仿宋_GB2312" w:eastAsia="仿宋_GB2312" w:cs="仿宋_GB2312"/>
          <w:sz w:val="32"/>
          <w:szCs w:val="32"/>
        </w:rPr>
        <w:t>本高强韧钛合金材料制备关键技术研究》属于应用基础研究，聚焦攀枝花市钛产业发展，实现钛合金强韧一体化，延伸钛产业链，满足资金支持条件。</w:t>
      </w:r>
    </w:p>
    <w:p w14:paraId="450581F5">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4.资金分配的原则及考虑因素。</w:t>
      </w:r>
    </w:p>
    <w:p w14:paraId="4C1A0025">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本项目</w:t>
      </w:r>
      <w:r>
        <w:rPr>
          <w:rFonts w:hint="eastAsia" w:ascii="仿宋_GB2312" w:hAnsi="仿宋_GB2312" w:eastAsia="仿宋_GB2312" w:cs="仿宋_GB2312"/>
          <w:sz w:val="32"/>
          <w:szCs w:val="32"/>
        </w:rPr>
        <w:t>资金分配和使用原则严格按照《攀枝花市科技专项资金管理暂行办法》（攀财教［2018］1号）</w:t>
      </w:r>
      <w:r>
        <w:rPr>
          <w:rFonts w:hint="eastAsia" w:ascii="仿宋" w:hAnsi="仿宋" w:eastAsia="仿宋" w:cs="仿宋"/>
          <w:color w:val="auto"/>
          <w:sz w:val="32"/>
          <w:szCs w:val="32"/>
          <w:lang w:eastAsia="zh-CN"/>
        </w:rPr>
        <w:t>《关于下达</w:t>
      </w:r>
      <w:r>
        <w:rPr>
          <w:rFonts w:hint="eastAsia" w:ascii="仿宋" w:hAnsi="仿宋" w:eastAsia="仿宋" w:cs="仿宋"/>
          <w:color w:val="auto"/>
          <w:sz w:val="32"/>
          <w:szCs w:val="32"/>
          <w:lang w:val="en-US" w:eastAsia="zh-CN"/>
        </w:rPr>
        <w:t>2020年度第二批攀枝花市市级科技计划项目和财政科技专项资金计划的通知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攀科发〔2020〕74号</w:t>
      </w:r>
      <w:r>
        <w:rPr>
          <w:rFonts w:hint="eastAsia" w:ascii="仿宋" w:hAnsi="仿宋" w:eastAsia="仿宋" w:cs="仿宋"/>
          <w:color w:val="auto"/>
          <w:sz w:val="32"/>
          <w:szCs w:val="32"/>
          <w:lang w:eastAsia="zh-CN"/>
        </w:rPr>
        <w:t>）</w:t>
      </w:r>
      <w:r>
        <w:rPr>
          <w:rFonts w:hint="eastAsia" w:ascii="仿宋_GB2312" w:hAnsi="仿宋_GB2312" w:eastAsia="仿宋_GB2312" w:cs="仿宋_GB2312"/>
          <w:sz w:val="32"/>
          <w:szCs w:val="32"/>
        </w:rPr>
        <w:t>及《四川钒钛产业技术研究院科技专项资金管理暂行办法》等办法执行。资金分配上考虑把资金更多放在直接费用上，提高资金使用效率。在具体实施过程中，资金总额为20万元，直接费用为14.8万元，其中材料费5万元、检测费4万元。</w:t>
      </w:r>
    </w:p>
    <w:p w14:paraId="486DB506">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（二）项目绩效目标。</w:t>
      </w:r>
    </w:p>
    <w:p w14:paraId="01B999D8">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14:paraId="1E500908">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(1)钛合金共格析出的设计及热力学平衡计算</w:t>
      </w:r>
    </w:p>
    <w:p w14:paraId="56CEE68E">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高温条件下Ti-Fe-X三元系之间物相组成、相结构和相平衡规律,建立B2析出相含量、析出温度和元素成分、含量的变化关系，确定B2析出相析出条件研究溶质元素对β-Ti基体和B2析出相间的分配行为，研究明确合金元素、溶质元素对相结构稳定性的影响规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(2)B2-Ti(Fe,X)纳米相析出行为及制备关键技术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研究元素和工艺参数对析出物形成和微观组织结构演变规律，工艺参数包括热处理温度、时间、冷却速度等；研究元素在相内的分配行为和扩散行为，揭示元素分配行为对析出相形核、长大的影响机制，建立B2析出动力学数学模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(3)界面的结构演变规律及性能研究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研究析出相形核生长过程中界面结构、微观形态的演化规律， 揭示界面结构、取向关系、成分分布及界面原子排列特征；研究析出相数量、形貌、粒度、工艺参数等对钛合金力学性能的影响规律；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(4)钛合金强韧化机理及调控机制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研究相特征、界面状态、近界面微区结构与宏观力学性能的耦合规律，获得析出相含量、粒度、相边界处的偏析、局部成分波动以及界面结构演化对力学性能的影响规律；研究位错与界面的交互作用机制，揭示位错在各个相内和界面处的形成、组织演变和运动规律。研究影响B2纳米析出相高密度稳定析出的关键技术因素，形成共格界面作用下的纳米析出调控机制</w:t>
      </w:r>
    </w:p>
    <w:p w14:paraId="36D535D0">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2.项目应实现的具体绩效目标，包括目标的量化、细化情况以及项目实施进度计划等。</w:t>
      </w:r>
    </w:p>
    <w:p w14:paraId="5D013F6A">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项目应实现的具体目标如下：</w:t>
      </w:r>
    </w:p>
    <w:p w14:paraId="5B13B2B4">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低成本高强韧钛合金性能指标：强度达到1300 MPa-1500MPa，延伸率10-20%。</w:t>
      </w:r>
    </w:p>
    <w:p w14:paraId="43E32F14">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2.知识产权指标：申请专利1-2项； </w:t>
      </w:r>
    </w:p>
    <w:p w14:paraId="117E3563">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3.论文发表：发表高水平SCI学术论文3-4篇；</w:t>
      </w:r>
    </w:p>
    <w:p w14:paraId="0616BCC0">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4.人才培养：培养硕士研究生2-3名，本科生2-3名</w:t>
      </w:r>
    </w:p>
    <w:p w14:paraId="3B887A4E">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经济社会效益：通过本项目实施，可以提高项目成员的研发能力，推动当地经济社会的发展。另外，本项目研发的新材料主要应用在飞机机匣、整体叶环以及活塞杆等关键结构部位，有望实现发动机更高的推重比，从而为进一步提高我国航空航天技术的发展水平做出贡献。本研究发表的学术论文和申请的发明专利可为相关研究提供借鉴，促进科技进步。</w:t>
      </w:r>
    </w:p>
    <w:p w14:paraId="45D031B7">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项目实施进度计划：</w:t>
      </w:r>
    </w:p>
    <w:p w14:paraId="46431338">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2022年1月-2022第6月：采用 Thermal-Cale、FactSage等热力学软件结合相应数据库进行热力学计算，研究组织结构、相组成分数及凝固路径；获得温度和化学成分对相形成的影响规律，确定析出相提出条件。通过分配系数研究溶质元素的分配行为和对合金的强化效果。</w:t>
      </w:r>
    </w:p>
    <w:p w14:paraId="0920364A">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预期目标：获得钛合金析出相的形成、结构和相平衡规律；培养本科生1名。</w:t>
      </w:r>
    </w:p>
    <w:p w14:paraId="24A8E1FB">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7月-2022第12月：基于以上理论计算，确定一定合金和工艺参数范围，通过实验分析析出相的形貌特征来获得合金成分、冷却速度、热处理温度、保温时间下对析出物微观组织形貌的影响规律。采用扫描电镜SEM、透射电镜TEM观察析出物的整体分布、微观形貌、尺寸和数量。析出相的尺寸以及体积分数采用Image-Pro Plus 图像分析软件进行统计。对钛合金样品进行不同温度和时间的热处理， 对不同样品采用三维原子探针APT 观察，分析纳米析出相的三维尺寸、分布及元素成分随热处理时间和温度的演变规律。另外，还可以采用同步辐射技术原位观察纳米相的析出行为。</w:t>
      </w:r>
    </w:p>
    <w:p w14:paraId="09E61BE4">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预期目标：获得工艺参数对析出物的形貌、成分、数量和粒度分布的影响规律；发表SCI论文1-2篇，申请专利1项；培养硕士研究生1名，本科生1名，年度报告1份。</w:t>
      </w:r>
    </w:p>
    <w:p w14:paraId="10001A49">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2023年1月-2023第6月：采用高角环形暗场扫描透射电子显微镜(HAADF-STEM)、高分辨透射电镜(HRTEM)、选区电子衍射分析(SAED)等原子结构表征技术研究析出相与基体之间的界面结构信息， 包括晶体学取向关系、晶格失配度，界面元素分布等界面信息。根据以上实验表征结果采用第一性原理计算方法建立β-Ti 基体和 B2 共格界面，通过计算界面结合能、界面能等结合分析分波态密度、差分电荷密度等揭示共格界面的界面结合强度、稳定性及作用机制。利用透射电镜 TEM结合元素分析EDS分析界面处元素的分布规律， 三维原子探针技术APT研究近原子尺度的浓度分布表征，获得化学界面元素形成规律。利用FIB技术提取钛合金相界面微区，采用原位透射电镜TEM原位观察钛合金在进行压缩和拉伸过程中的界面的原子尺度变形过程，通过双球差透射电镜对样品实时成像，记录过程中的微观结构演变。</w:t>
      </w:r>
    </w:p>
    <w:p w14:paraId="31C21044">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预期目标：获得析出相尺度与界面结构、微观形态的演化规律；培养硕士研究生1名，本科生1名。</w:t>
      </w:r>
    </w:p>
    <w:p w14:paraId="62BCEE26">
      <w:pPr>
        <w:autoSpaceDE w:val="0"/>
        <w:autoSpaceDN w:val="0"/>
        <w:adjustRightInd w:val="0"/>
        <w:spacing w:line="60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2023年7月-2023第12月：对钛合金变形前后分别采用 EBSD 中 KAM 技术研究变形前后局部取向错配。对于界面状态、近界面微区结构与力学性能的耦合规律主要采用FIB 技术提取钛合金相应界面微区，采用原位透射电镜TEM 对微区样品原位加载，记录原位拉压过程中的载荷时间曲线，界面微区微观形貌通过STM 表征，界面成分通过能谱微区元素分析，从而获得界面结构、 相界面处成分波动等对力学性能的响应机制。通过原位透射拉伸实验，观察合金变形过程中位错在各个相内和相界面处的形核、湮灭过程。基于以上研究结果，获得影响B2纳米析出相高密度稳定析出的关键技术因素，形成共格界面作用下的纳米析出调控机制。</w:t>
      </w:r>
    </w:p>
    <w:p w14:paraId="262EF830">
      <w:pPr>
        <w:autoSpaceDE w:val="0"/>
        <w:autoSpaceDN w:val="0"/>
        <w:adjustRightInd w:val="0"/>
        <w:spacing w:line="60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预期目标：获得强韧化机制及调控析出机制；制备钛合金强度达到1300 MPa - 1500MPa；延伸率10-20%；发表SCI论文1篇；结题报告1份。</w:t>
      </w:r>
    </w:p>
    <w:p w14:paraId="0084CF90">
      <w:pPr>
        <w:numPr>
          <w:ilvl w:val="0"/>
          <w:numId w:val="0"/>
        </w:numPr>
        <w:adjustRightInd w:val="0"/>
        <w:snapToGrid w:val="0"/>
        <w:spacing w:line="60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lang w:val="zh-CN"/>
        </w:rPr>
        <w:t>分析评价申报内容是否与实际相符，申报目标是否合理可行。</w:t>
      </w:r>
    </w:p>
    <w:p w14:paraId="16109C73">
      <w:pPr>
        <w:numPr>
          <w:ilvl w:val="0"/>
          <w:numId w:val="0"/>
        </w:numPr>
        <w:adjustRightInd w:val="0"/>
        <w:snapToGrid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本项目申报内容与实际情况相符，申报目标合理可行。</w:t>
      </w:r>
    </w:p>
    <w:p w14:paraId="3A4C9291">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（三）项目自评步骤及方法。</w:t>
      </w:r>
    </w:p>
    <w:p w14:paraId="3A5CCAD6">
      <w:pPr>
        <w:autoSpaceDE w:val="0"/>
        <w:autoSpaceDN w:val="0"/>
        <w:adjustRightInd w:val="0"/>
        <w:spacing w:line="600" w:lineRule="exact"/>
        <w:jc w:val="left"/>
        <w:rPr>
          <w:rFonts w:hint="eastAsia" w:ascii="仿宋_GB2312" w:hAnsi="仿宋_GB2312" w:eastAsia="仿宋_GB2312" w:cs="仿宋_GB2312"/>
          <w:sz w:val="32"/>
          <w:szCs w:val="32"/>
          <w:lang w:val="en-US" w:eastAsia="zh-CN"/>
        </w:rPr>
      </w:pPr>
      <w:r>
        <w:rPr>
          <w:rFonts w:hint="eastAsia" w:eastAsia="楷体_GB2312"/>
          <w:kern w:val="0"/>
          <w:sz w:val="32"/>
          <w:szCs w:val="32"/>
          <w:lang w:val="en-US" w:eastAsia="zh-CN"/>
        </w:rPr>
        <w:t xml:space="preserve">    </w:t>
      </w:r>
      <w:r>
        <w:rPr>
          <w:rFonts w:hint="eastAsia" w:ascii="仿宋_GB2312" w:hAnsi="仿宋_GB2312" w:eastAsia="仿宋_GB2312" w:cs="仿宋_GB2312"/>
          <w:sz w:val="32"/>
          <w:szCs w:val="32"/>
          <w:lang w:val="en-US" w:eastAsia="zh-CN"/>
        </w:rPr>
        <w:t>本项目自评采用项目任务书目标逐项目标进行核的实施步骤；采用严格围绕任务书目标要求与研究内容和进展进行核对的方法。</w:t>
      </w:r>
    </w:p>
    <w:p w14:paraId="68307BF0">
      <w:pPr>
        <w:adjustRightInd w:val="0"/>
        <w:snapToGrid w:val="0"/>
        <w:spacing w:line="600" w:lineRule="exact"/>
        <w:ind w:firstLine="720"/>
        <w:rPr>
          <w:rFonts w:eastAsia="黑体"/>
          <w:sz w:val="32"/>
          <w:szCs w:val="32"/>
        </w:rPr>
      </w:pPr>
      <w:r>
        <w:rPr>
          <w:rFonts w:eastAsia="黑体"/>
          <w:sz w:val="32"/>
          <w:szCs w:val="32"/>
        </w:rPr>
        <w:t>二、项目资金申报及使用情况</w:t>
      </w:r>
    </w:p>
    <w:p w14:paraId="49FAFD9A">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（一）项目资金申报及批复情况。</w:t>
      </w:r>
    </w:p>
    <w:p w14:paraId="1BF572E9">
      <w:pPr>
        <w:autoSpaceDE w:val="0"/>
        <w:autoSpaceDN w:val="0"/>
        <w:adjustRightInd w:val="0"/>
        <w:spacing w:line="600" w:lineRule="exact"/>
        <w:jc w:val="left"/>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本项目申报资金20万元，批复资金20万元。表1、表2分别为</w:t>
      </w:r>
      <w:bookmarkStart w:id="60" w:name="_Hlk69062595"/>
      <w:r>
        <w:rPr>
          <w:rFonts w:hint="eastAsia" w:ascii="仿宋_GB2312" w:hAnsi="仿宋_GB2312" w:eastAsia="仿宋_GB2312" w:cs="仿宋_GB2312"/>
          <w:sz w:val="32"/>
          <w:szCs w:val="32"/>
          <w:lang w:val="en-US" w:eastAsia="zh-CN"/>
        </w:rPr>
        <w:t>申报资金预算表</w:t>
      </w:r>
      <w:bookmarkEnd w:id="60"/>
      <w:r>
        <w:rPr>
          <w:rFonts w:hint="eastAsia" w:ascii="仿宋_GB2312" w:hAnsi="仿宋_GB2312" w:eastAsia="仿宋_GB2312" w:cs="仿宋_GB2312"/>
          <w:sz w:val="32"/>
          <w:szCs w:val="32"/>
          <w:lang w:val="en-US" w:eastAsia="zh-CN"/>
        </w:rPr>
        <w:t>和批复资金预算表</w:t>
      </w:r>
      <w:r>
        <w:rPr>
          <w:rFonts w:hint="eastAsia" w:ascii="仿宋_GB2312" w:hAnsi="仿宋_GB2312" w:cs="仿宋_GB2312"/>
          <w:sz w:val="32"/>
          <w:szCs w:val="32"/>
          <w:lang w:val="en-US" w:eastAsia="zh-CN"/>
        </w:rPr>
        <w:t>。</w:t>
      </w:r>
    </w:p>
    <w:p w14:paraId="4E891C87">
      <w:pPr>
        <w:autoSpaceDE w:val="0"/>
        <w:autoSpaceDN w:val="0"/>
        <w:adjustRightInd w:val="0"/>
        <w:spacing w:line="600" w:lineRule="exact"/>
        <w:ind w:firstLine="4800" w:firstLineChars="1500"/>
        <w:jc w:val="left"/>
        <w:rPr>
          <w:rFonts w:hint="eastAsia" w:ascii="方正仿宋_GBK" w:hAnsi="Calibri" w:eastAsia="方正仿宋_GBK"/>
          <w:sz w:val="32"/>
          <w:szCs w:val="32"/>
        </w:rPr>
      </w:pPr>
      <w:bookmarkStart w:id="61" w:name="_Hlk69062652"/>
      <w:r>
        <w:rPr>
          <w:rFonts w:hint="eastAsia" w:ascii="方正仿宋_GBK" w:hAnsi="Calibri" w:eastAsia="方正仿宋_GBK"/>
          <w:sz w:val="32"/>
          <w:szCs w:val="32"/>
        </w:rPr>
        <w:t>表1申报资金预算</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8"/>
        <w:gridCol w:w="1659"/>
        <w:gridCol w:w="1659"/>
        <w:gridCol w:w="1660"/>
      </w:tblGrid>
      <w:tr w14:paraId="0D47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4B2553CE">
            <w:pPr>
              <w:widowControl/>
              <w:jc w:val="center"/>
              <w:rPr>
                <w:rFonts w:hint="eastAsia" w:eastAsia="仿宋"/>
                <w:sz w:val="32"/>
                <w:szCs w:val="32"/>
              </w:rPr>
            </w:pPr>
            <w:r>
              <w:rPr>
                <w:rFonts w:eastAsia="仿宋"/>
                <w:sz w:val="32"/>
                <w:szCs w:val="32"/>
              </w:rPr>
              <w:t>科目名称</w:t>
            </w:r>
          </w:p>
        </w:tc>
        <w:tc>
          <w:tcPr>
            <w:tcW w:w="1659" w:type="dxa"/>
          </w:tcPr>
          <w:p w14:paraId="277D60F9">
            <w:pPr>
              <w:widowControl/>
              <w:jc w:val="center"/>
              <w:rPr>
                <w:rFonts w:hint="eastAsia" w:eastAsia="仿宋"/>
                <w:sz w:val="32"/>
                <w:szCs w:val="32"/>
              </w:rPr>
            </w:pPr>
            <w:r>
              <w:rPr>
                <w:rFonts w:hint="eastAsia" w:eastAsia="仿宋"/>
                <w:sz w:val="32"/>
                <w:szCs w:val="32"/>
              </w:rPr>
              <w:t>专项</w:t>
            </w:r>
            <w:r>
              <w:rPr>
                <w:rFonts w:eastAsia="仿宋"/>
                <w:sz w:val="32"/>
                <w:szCs w:val="32"/>
              </w:rPr>
              <w:t>经费</w:t>
            </w:r>
          </w:p>
        </w:tc>
        <w:tc>
          <w:tcPr>
            <w:tcW w:w="1659" w:type="dxa"/>
          </w:tcPr>
          <w:p w14:paraId="30CCA05B">
            <w:pPr>
              <w:jc w:val="center"/>
              <w:rPr>
                <w:rFonts w:hint="eastAsia" w:eastAsia="仿宋"/>
                <w:sz w:val="32"/>
                <w:szCs w:val="32"/>
              </w:rPr>
            </w:pPr>
            <w:r>
              <w:rPr>
                <w:rFonts w:eastAsia="仿宋"/>
                <w:sz w:val="32"/>
                <w:szCs w:val="32"/>
              </w:rPr>
              <w:t xml:space="preserve">自筹经费 </w:t>
            </w:r>
          </w:p>
        </w:tc>
        <w:tc>
          <w:tcPr>
            <w:tcW w:w="1660" w:type="dxa"/>
          </w:tcPr>
          <w:p w14:paraId="5C903B2E">
            <w:pPr>
              <w:jc w:val="center"/>
              <w:rPr>
                <w:rFonts w:hint="eastAsia" w:eastAsia="仿宋"/>
                <w:sz w:val="32"/>
                <w:szCs w:val="32"/>
              </w:rPr>
            </w:pPr>
            <w:r>
              <w:rPr>
                <w:rFonts w:hint="eastAsia" w:eastAsia="仿宋"/>
                <w:sz w:val="32"/>
                <w:szCs w:val="32"/>
              </w:rPr>
              <w:t>合计</w:t>
            </w:r>
          </w:p>
        </w:tc>
      </w:tr>
      <w:tr w14:paraId="565D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14E0F499">
            <w:pPr>
              <w:widowControl/>
              <w:jc w:val="center"/>
              <w:rPr>
                <w:rFonts w:hint="eastAsia" w:eastAsia="宋体"/>
                <w:kern w:val="0"/>
                <w:sz w:val="32"/>
                <w:szCs w:val="32"/>
              </w:rPr>
            </w:pPr>
            <w:r>
              <w:rPr>
                <w:rStyle w:val="54"/>
                <w:rFonts w:hint="default"/>
                <w:sz w:val="32"/>
                <w:szCs w:val="32"/>
              </w:rPr>
              <w:t>间接费用</w:t>
            </w:r>
          </w:p>
        </w:tc>
        <w:tc>
          <w:tcPr>
            <w:tcW w:w="1659" w:type="dxa"/>
          </w:tcPr>
          <w:p w14:paraId="5EB8314F">
            <w:pPr>
              <w:widowControl/>
              <w:jc w:val="center"/>
              <w:rPr>
                <w:rFonts w:eastAsia="仿宋"/>
                <w:sz w:val="32"/>
                <w:szCs w:val="32"/>
              </w:rPr>
            </w:pPr>
            <w:r>
              <w:rPr>
                <w:rFonts w:hint="eastAsia" w:eastAsia="仿宋"/>
                <w:sz w:val="32"/>
                <w:szCs w:val="32"/>
              </w:rPr>
              <w:t>5</w:t>
            </w:r>
            <w:r>
              <w:rPr>
                <w:rFonts w:eastAsia="仿宋"/>
                <w:sz w:val="32"/>
                <w:szCs w:val="32"/>
              </w:rPr>
              <w:t>.2</w:t>
            </w:r>
          </w:p>
        </w:tc>
        <w:tc>
          <w:tcPr>
            <w:tcW w:w="1659" w:type="dxa"/>
          </w:tcPr>
          <w:p w14:paraId="6B180E92">
            <w:pPr>
              <w:jc w:val="center"/>
              <w:rPr>
                <w:rFonts w:eastAsia="仿宋"/>
                <w:sz w:val="32"/>
                <w:szCs w:val="32"/>
              </w:rPr>
            </w:pPr>
            <w:r>
              <w:rPr>
                <w:rFonts w:hint="eastAsia" w:eastAsia="仿宋"/>
                <w:sz w:val="32"/>
                <w:szCs w:val="32"/>
              </w:rPr>
              <w:t>0</w:t>
            </w:r>
          </w:p>
        </w:tc>
        <w:tc>
          <w:tcPr>
            <w:tcW w:w="1660" w:type="dxa"/>
          </w:tcPr>
          <w:p w14:paraId="3C2DB95A">
            <w:pPr>
              <w:jc w:val="center"/>
              <w:rPr>
                <w:rFonts w:hint="eastAsia" w:eastAsia="仿宋"/>
                <w:sz w:val="32"/>
                <w:szCs w:val="32"/>
              </w:rPr>
            </w:pPr>
            <w:r>
              <w:rPr>
                <w:rFonts w:hint="eastAsia" w:eastAsia="仿宋"/>
                <w:sz w:val="32"/>
                <w:szCs w:val="32"/>
              </w:rPr>
              <w:t>5</w:t>
            </w:r>
            <w:r>
              <w:rPr>
                <w:rFonts w:eastAsia="仿宋"/>
                <w:sz w:val="32"/>
                <w:szCs w:val="32"/>
              </w:rPr>
              <w:t>.2</w:t>
            </w:r>
          </w:p>
        </w:tc>
      </w:tr>
      <w:tr w14:paraId="4F32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50AE3176">
            <w:pPr>
              <w:widowControl/>
              <w:jc w:val="center"/>
              <w:rPr>
                <w:rStyle w:val="54"/>
                <w:rFonts w:ascii="Times New Roman" w:hAnsi="Times New Roman" w:eastAsia="宋体"/>
                <w:color w:val="auto"/>
                <w:kern w:val="0"/>
                <w:sz w:val="32"/>
                <w:szCs w:val="32"/>
              </w:rPr>
            </w:pPr>
            <w:r>
              <w:rPr>
                <w:rStyle w:val="54"/>
                <w:rFonts w:hint="default"/>
                <w:sz w:val="32"/>
                <w:szCs w:val="32"/>
              </w:rPr>
              <w:t>其中：绩效支出</w:t>
            </w:r>
          </w:p>
        </w:tc>
        <w:tc>
          <w:tcPr>
            <w:tcW w:w="1659" w:type="dxa"/>
          </w:tcPr>
          <w:p w14:paraId="4B806E2E">
            <w:pPr>
              <w:widowControl/>
              <w:jc w:val="center"/>
              <w:rPr>
                <w:rFonts w:hint="eastAsia" w:eastAsia="仿宋"/>
                <w:sz w:val="32"/>
                <w:szCs w:val="32"/>
              </w:rPr>
            </w:pPr>
            <w:r>
              <w:rPr>
                <w:rFonts w:hint="eastAsia" w:eastAsia="仿宋"/>
                <w:sz w:val="32"/>
                <w:szCs w:val="32"/>
              </w:rPr>
              <w:t>3</w:t>
            </w:r>
            <w:r>
              <w:rPr>
                <w:rFonts w:eastAsia="仿宋"/>
                <w:sz w:val="32"/>
                <w:szCs w:val="32"/>
              </w:rPr>
              <w:t>.2</w:t>
            </w:r>
          </w:p>
        </w:tc>
        <w:tc>
          <w:tcPr>
            <w:tcW w:w="1659" w:type="dxa"/>
          </w:tcPr>
          <w:p w14:paraId="20D35670">
            <w:pPr>
              <w:jc w:val="center"/>
              <w:rPr>
                <w:rFonts w:hint="eastAsia" w:eastAsia="仿宋"/>
                <w:sz w:val="32"/>
                <w:szCs w:val="32"/>
              </w:rPr>
            </w:pPr>
            <w:r>
              <w:rPr>
                <w:rFonts w:hint="eastAsia" w:eastAsia="仿宋"/>
                <w:sz w:val="32"/>
                <w:szCs w:val="32"/>
              </w:rPr>
              <w:t>0</w:t>
            </w:r>
          </w:p>
        </w:tc>
        <w:tc>
          <w:tcPr>
            <w:tcW w:w="1660" w:type="dxa"/>
          </w:tcPr>
          <w:p w14:paraId="78750159">
            <w:pPr>
              <w:jc w:val="center"/>
              <w:rPr>
                <w:rFonts w:hint="eastAsia" w:eastAsia="仿宋"/>
                <w:sz w:val="32"/>
                <w:szCs w:val="32"/>
              </w:rPr>
            </w:pPr>
            <w:r>
              <w:rPr>
                <w:rFonts w:eastAsia="仿宋"/>
                <w:sz w:val="32"/>
                <w:szCs w:val="32"/>
              </w:rPr>
              <w:t>3.2</w:t>
            </w:r>
          </w:p>
        </w:tc>
      </w:tr>
      <w:tr w14:paraId="407A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6BF6F7B5">
            <w:pPr>
              <w:widowControl/>
              <w:jc w:val="center"/>
              <w:rPr>
                <w:rStyle w:val="54"/>
                <w:rFonts w:ascii="Times New Roman" w:hAnsi="Times New Roman" w:eastAsia="宋体"/>
                <w:color w:val="auto"/>
                <w:kern w:val="0"/>
                <w:sz w:val="32"/>
                <w:szCs w:val="32"/>
              </w:rPr>
            </w:pPr>
            <w:r>
              <w:rPr>
                <w:rStyle w:val="54"/>
                <w:rFonts w:hint="default"/>
                <w:sz w:val="32"/>
                <w:szCs w:val="32"/>
              </w:rPr>
              <w:t>直接费用</w:t>
            </w:r>
          </w:p>
        </w:tc>
        <w:tc>
          <w:tcPr>
            <w:tcW w:w="1659" w:type="dxa"/>
          </w:tcPr>
          <w:p w14:paraId="59013BF0">
            <w:pPr>
              <w:widowControl/>
              <w:jc w:val="center"/>
              <w:rPr>
                <w:rFonts w:hint="eastAsia" w:eastAsia="仿宋"/>
                <w:sz w:val="32"/>
                <w:szCs w:val="32"/>
              </w:rPr>
            </w:pPr>
            <w:r>
              <w:rPr>
                <w:rFonts w:eastAsia="仿宋"/>
                <w:sz w:val="32"/>
                <w:szCs w:val="32"/>
              </w:rPr>
              <w:t>14.8</w:t>
            </w:r>
          </w:p>
        </w:tc>
        <w:tc>
          <w:tcPr>
            <w:tcW w:w="1659" w:type="dxa"/>
          </w:tcPr>
          <w:p w14:paraId="71994C09">
            <w:pPr>
              <w:jc w:val="center"/>
              <w:rPr>
                <w:rFonts w:hint="eastAsia" w:eastAsia="仿宋"/>
                <w:sz w:val="32"/>
                <w:szCs w:val="32"/>
              </w:rPr>
            </w:pPr>
            <w:r>
              <w:rPr>
                <w:rFonts w:hint="eastAsia" w:eastAsia="仿宋"/>
                <w:sz w:val="32"/>
                <w:szCs w:val="32"/>
              </w:rPr>
              <w:t>0</w:t>
            </w:r>
          </w:p>
        </w:tc>
        <w:tc>
          <w:tcPr>
            <w:tcW w:w="1660" w:type="dxa"/>
          </w:tcPr>
          <w:p w14:paraId="7399AB96">
            <w:pPr>
              <w:jc w:val="center"/>
              <w:rPr>
                <w:rFonts w:hint="eastAsia" w:eastAsia="仿宋"/>
                <w:sz w:val="32"/>
                <w:szCs w:val="32"/>
              </w:rPr>
            </w:pPr>
            <w:r>
              <w:rPr>
                <w:rFonts w:eastAsia="仿宋"/>
                <w:sz w:val="32"/>
                <w:szCs w:val="32"/>
              </w:rPr>
              <w:t>14.8</w:t>
            </w:r>
          </w:p>
        </w:tc>
      </w:tr>
      <w:tr w14:paraId="0705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1DDA4C98">
            <w:pPr>
              <w:widowControl/>
              <w:jc w:val="center"/>
              <w:rPr>
                <w:rStyle w:val="54"/>
                <w:rFonts w:ascii="Times New Roman" w:hAnsi="Times New Roman" w:eastAsia="宋体"/>
                <w:color w:val="auto"/>
                <w:kern w:val="0"/>
                <w:sz w:val="32"/>
                <w:szCs w:val="32"/>
              </w:rPr>
            </w:pPr>
            <w:r>
              <w:rPr>
                <w:rStyle w:val="54"/>
                <w:rFonts w:hint="default"/>
                <w:sz w:val="32"/>
                <w:szCs w:val="32"/>
              </w:rPr>
              <w:t>设备费</w:t>
            </w:r>
          </w:p>
        </w:tc>
        <w:tc>
          <w:tcPr>
            <w:tcW w:w="1659" w:type="dxa"/>
          </w:tcPr>
          <w:p w14:paraId="2CBAE37D">
            <w:pPr>
              <w:widowControl/>
              <w:jc w:val="center"/>
              <w:rPr>
                <w:rFonts w:hint="eastAsia" w:eastAsia="仿宋"/>
                <w:sz w:val="32"/>
                <w:szCs w:val="32"/>
              </w:rPr>
            </w:pPr>
            <w:r>
              <w:rPr>
                <w:rFonts w:hint="eastAsia" w:eastAsia="仿宋"/>
                <w:sz w:val="32"/>
                <w:szCs w:val="32"/>
              </w:rPr>
              <w:t>0</w:t>
            </w:r>
          </w:p>
        </w:tc>
        <w:tc>
          <w:tcPr>
            <w:tcW w:w="1659" w:type="dxa"/>
          </w:tcPr>
          <w:p w14:paraId="73C6E2D6">
            <w:pPr>
              <w:jc w:val="center"/>
              <w:rPr>
                <w:rFonts w:hint="eastAsia" w:eastAsia="仿宋"/>
                <w:sz w:val="32"/>
                <w:szCs w:val="32"/>
              </w:rPr>
            </w:pPr>
            <w:r>
              <w:rPr>
                <w:rFonts w:hint="eastAsia" w:eastAsia="仿宋"/>
                <w:sz w:val="32"/>
                <w:szCs w:val="32"/>
              </w:rPr>
              <w:t>0</w:t>
            </w:r>
          </w:p>
        </w:tc>
        <w:tc>
          <w:tcPr>
            <w:tcW w:w="1660" w:type="dxa"/>
          </w:tcPr>
          <w:p w14:paraId="6B0333DC">
            <w:pPr>
              <w:jc w:val="center"/>
              <w:rPr>
                <w:rFonts w:hint="eastAsia" w:eastAsia="仿宋"/>
                <w:sz w:val="32"/>
                <w:szCs w:val="32"/>
              </w:rPr>
            </w:pPr>
            <w:r>
              <w:rPr>
                <w:rFonts w:hint="eastAsia" w:eastAsia="仿宋"/>
                <w:sz w:val="32"/>
                <w:szCs w:val="32"/>
              </w:rPr>
              <w:t>0</w:t>
            </w:r>
          </w:p>
        </w:tc>
      </w:tr>
      <w:tr w14:paraId="3C40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35616149">
            <w:pPr>
              <w:widowControl/>
              <w:jc w:val="center"/>
              <w:rPr>
                <w:rStyle w:val="54"/>
                <w:rFonts w:ascii="Times New Roman" w:hAnsi="Times New Roman" w:eastAsia="宋体"/>
                <w:color w:val="auto"/>
                <w:kern w:val="0"/>
                <w:sz w:val="32"/>
                <w:szCs w:val="32"/>
              </w:rPr>
            </w:pPr>
            <w:r>
              <w:rPr>
                <w:rStyle w:val="54"/>
                <w:rFonts w:hint="default"/>
                <w:sz w:val="32"/>
                <w:szCs w:val="32"/>
              </w:rPr>
              <w:t>购置设备费</w:t>
            </w:r>
          </w:p>
        </w:tc>
        <w:tc>
          <w:tcPr>
            <w:tcW w:w="1659" w:type="dxa"/>
          </w:tcPr>
          <w:p w14:paraId="1600F648">
            <w:pPr>
              <w:widowControl/>
              <w:jc w:val="center"/>
              <w:rPr>
                <w:rFonts w:hint="eastAsia" w:eastAsia="仿宋"/>
                <w:sz w:val="32"/>
                <w:szCs w:val="32"/>
              </w:rPr>
            </w:pPr>
            <w:r>
              <w:rPr>
                <w:rFonts w:hint="eastAsia" w:eastAsia="仿宋"/>
                <w:sz w:val="32"/>
                <w:szCs w:val="32"/>
              </w:rPr>
              <w:t>0</w:t>
            </w:r>
          </w:p>
        </w:tc>
        <w:tc>
          <w:tcPr>
            <w:tcW w:w="1659" w:type="dxa"/>
          </w:tcPr>
          <w:p w14:paraId="6265C999">
            <w:pPr>
              <w:jc w:val="center"/>
              <w:rPr>
                <w:rFonts w:hint="eastAsia" w:eastAsia="仿宋"/>
                <w:sz w:val="32"/>
                <w:szCs w:val="32"/>
              </w:rPr>
            </w:pPr>
            <w:r>
              <w:rPr>
                <w:rFonts w:hint="eastAsia" w:eastAsia="仿宋"/>
                <w:sz w:val="32"/>
                <w:szCs w:val="32"/>
              </w:rPr>
              <w:t>0</w:t>
            </w:r>
          </w:p>
        </w:tc>
        <w:tc>
          <w:tcPr>
            <w:tcW w:w="1660" w:type="dxa"/>
          </w:tcPr>
          <w:p w14:paraId="32E726E2">
            <w:pPr>
              <w:jc w:val="center"/>
              <w:rPr>
                <w:rFonts w:hint="eastAsia" w:eastAsia="仿宋"/>
                <w:sz w:val="32"/>
                <w:szCs w:val="32"/>
              </w:rPr>
            </w:pPr>
            <w:r>
              <w:rPr>
                <w:rFonts w:hint="eastAsia" w:eastAsia="仿宋"/>
                <w:sz w:val="32"/>
                <w:szCs w:val="32"/>
              </w:rPr>
              <w:t>0</w:t>
            </w:r>
          </w:p>
        </w:tc>
      </w:tr>
      <w:tr w14:paraId="3247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0294B0FC">
            <w:pPr>
              <w:widowControl/>
              <w:jc w:val="center"/>
              <w:rPr>
                <w:rStyle w:val="54"/>
                <w:rFonts w:ascii="Times New Roman" w:hAnsi="Times New Roman" w:eastAsia="宋体"/>
                <w:color w:val="auto"/>
                <w:kern w:val="0"/>
                <w:sz w:val="32"/>
                <w:szCs w:val="32"/>
              </w:rPr>
            </w:pPr>
            <w:r>
              <w:rPr>
                <w:rStyle w:val="54"/>
                <w:rFonts w:hint="default"/>
                <w:sz w:val="32"/>
                <w:szCs w:val="32"/>
              </w:rPr>
              <w:t>设备试制、改造、租赁费</w:t>
            </w:r>
          </w:p>
        </w:tc>
        <w:tc>
          <w:tcPr>
            <w:tcW w:w="1659" w:type="dxa"/>
          </w:tcPr>
          <w:p w14:paraId="3A1FF5F9">
            <w:pPr>
              <w:widowControl/>
              <w:jc w:val="center"/>
              <w:rPr>
                <w:rFonts w:hint="eastAsia" w:eastAsia="仿宋"/>
                <w:sz w:val="32"/>
                <w:szCs w:val="32"/>
              </w:rPr>
            </w:pPr>
            <w:r>
              <w:rPr>
                <w:rFonts w:hint="eastAsia" w:eastAsia="仿宋"/>
                <w:sz w:val="32"/>
                <w:szCs w:val="32"/>
              </w:rPr>
              <w:t>0</w:t>
            </w:r>
          </w:p>
        </w:tc>
        <w:tc>
          <w:tcPr>
            <w:tcW w:w="1659" w:type="dxa"/>
          </w:tcPr>
          <w:p w14:paraId="0771D569">
            <w:pPr>
              <w:jc w:val="center"/>
              <w:rPr>
                <w:rFonts w:hint="eastAsia" w:eastAsia="仿宋"/>
                <w:sz w:val="32"/>
                <w:szCs w:val="32"/>
              </w:rPr>
            </w:pPr>
            <w:r>
              <w:rPr>
                <w:rFonts w:hint="eastAsia" w:eastAsia="仿宋"/>
                <w:sz w:val="32"/>
                <w:szCs w:val="32"/>
              </w:rPr>
              <w:t>0</w:t>
            </w:r>
          </w:p>
        </w:tc>
        <w:tc>
          <w:tcPr>
            <w:tcW w:w="1660" w:type="dxa"/>
          </w:tcPr>
          <w:p w14:paraId="7B752B2C">
            <w:pPr>
              <w:jc w:val="center"/>
              <w:rPr>
                <w:rFonts w:hint="eastAsia" w:eastAsia="仿宋"/>
                <w:sz w:val="32"/>
                <w:szCs w:val="32"/>
              </w:rPr>
            </w:pPr>
            <w:r>
              <w:rPr>
                <w:rFonts w:hint="eastAsia" w:eastAsia="仿宋"/>
                <w:sz w:val="32"/>
                <w:szCs w:val="32"/>
              </w:rPr>
              <w:t>0</w:t>
            </w:r>
          </w:p>
        </w:tc>
      </w:tr>
      <w:tr w14:paraId="6768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11A6352E">
            <w:pPr>
              <w:widowControl/>
              <w:jc w:val="center"/>
              <w:rPr>
                <w:rStyle w:val="54"/>
                <w:rFonts w:ascii="Times New Roman" w:hAnsi="Times New Roman" w:eastAsia="宋体"/>
                <w:color w:val="auto"/>
                <w:kern w:val="0"/>
                <w:sz w:val="32"/>
                <w:szCs w:val="32"/>
              </w:rPr>
            </w:pPr>
            <w:r>
              <w:rPr>
                <w:rStyle w:val="54"/>
                <w:rFonts w:hint="default"/>
                <w:sz w:val="32"/>
                <w:szCs w:val="32"/>
              </w:rPr>
              <w:t>材料费</w:t>
            </w:r>
          </w:p>
        </w:tc>
        <w:tc>
          <w:tcPr>
            <w:tcW w:w="1659" w:type="dxa"/>
          </w:tcPr>
          <w:p w14:paraId="6E12969B">
            <w:pPr>
              <w:widowControl/>
              <w:jc w:val="center"/>
              <w:rPr>
                <w:rFonts w:hint="eastAsia" w:eastAsia="仿宋"/>
                <w:sz w:val="32"/>
                <w:szCs w:val="32"/>
              </w:rPr>
            </w:pPr>
            <w:r>
              <w:rPr>
                <w:rFonts w:hint="eastAsia" w:eastAsia="仿宋"/>
                <w:sz w:val="32"/>
                <w:szCs w:val="32"/>
              </w:rPr>
              <w:t>5</w:t>
            </w:r>
          </w:p>
        </w:tc>
        <w:tc>
          <w:tcPr>
            <w:tcW w:w="1659" w:type="dxa"/>
          </w:tcPr>
          <w:p w14:paraId="71B63291">
            <w:pPr>
              <w:jc w:val="center"/>
              <w:rPr>
                <w:rFonts w:hint="eastAsia" w:eastAsia="仿宋"/>
                <w:sz w:val="32"/>
                <w:szCs w:val="32"/>
              </w:rPr>
            </w:pPr>
            <w:r>
              <w:rPr>
                <w:rFonts w:hint="eastAsia" w:eastAsia="仿宋"/>
                <w:sz w:val="32"/>
                <w:szCs w:val="32"/>
              </w:rPr>
              <w:t>0</w:t>
            </w:r>
          </w:p>
        </w:tc>
        <w:tc>
          <w:tcPr>
            <w:tcW w:w="1660" w:type="dxa"/>
          </w:tcPr>
          <w:p w14:paraId="7E870900">
            <w:pPr>
              <w:jc w:val="center"/>
              <w:rPr>
                <w:rFonts w:hint="eastAsia" w:eastAsia="仿宋"/>
                <w:sz w:val="32"/>
                <w:szCs w:val="32"/>
              </w:rPr>
            </w:pPr>
            <w:r>
              <w:rPr>
                <w:rFonts w:hint="eastAsia" w:eastAsia="仿宋"/>
                <w:sz w:val="32"/>
                <w:szCs w:val="32"/>
              </w:rPr>
              <w:t>5</w:t>
            </w:r>
          </w:p>
        </w:tc>
      </w:tr>
      <w:tr w14:paraId="4A9B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77C26320">
            <w:pPr>
              <w:widowControl/>
              <w:jc w:val="center"/>
              <w:rPr>
                <w:rStyle w:val="54"/>
                <w:rFonts w:ascii="Times New Roman" w:hAnsi="Times New Roman" w:eastAsia="宋体"/>
                <w:color w:val="auto"/>
                <w:kern w:val="0"/>
                <w:sz w:val="32"/>
                <w:szCs w:val="32"/>
              </w:rPr>
            </w:pPr>
            <w:r>
              <w:rPr>
                <w:rStyle w:val="54"/>
                <w:rFonts w:hint="default"/>
                <w:sz w:val="32"/>
                <w:szCs w:val="32"/>
              </w:rPr>
              <w:t>测试化验加工费</w:t>
            </w:r>
          </w:p>
        </w:tc>
        <w:tc>
          <w:tcPr>
            <w:tcW w:w="1659" w:type="dxa"/>
          </w:tcPr>
          <w:p w14:paraId="74C261EC">
            <w:pPr>
              <w:widowControl/>
              <w:jc w:val="center"/>
              <w:rPr>
                <w:rFonts w:hint="eastAsia" w:eastAsia="仿宋"/>
                <w:sz w:val="32"/>
                <w:szCs w:val="32"/>
              </w:rPr>
            </w:pPr>
            <w:r>
              <w:rPr>
                <w:rFonts w:hint="eastAsia" w:eastAsia="仿宋"/>
                <w:sz w:val="32"/>
                <w:szCs w:val="32"/>
              </w:rPr>
              <w:t>4</w:t>
            </w:r>
          </w:p>
        </w:tc>
        <w:tc>
          <w:tcPr>
            <w:tcW w:w="1659" w:type="dxa"/>
          </w:tcPr>
          <w:p w14:paraId="739F2F3B">
            <w:pPr>
              <w:jc w:val="center"/>
              <w:rPr>
                <w:rFonts w:hint="eastAsia" w:eastAsia="仿宋"/>
                <w:sz w:val="32"/>
                <w:szCs w:val="32"/>
              </w:rPr>
            </w:pPr>
            <w:r>
              <w:rPr>
                <w:rFonts w:hint="eastAsia" w:eastAsia="仿宋"/>
                <w:sz w:val="32"/>
                <w:szCs w:val="32"/>
              </w:rPr>
              <w:t>0</w:t>
            </w:r>
          </w:p>
        </w:tc>
        <w:tc>
          <w:tcPr>
            <w:tcW w:w="1660" w:type="dxa"/>
          </w:tcPr>
          <w:p w14:paraId="7C86B91C">
            <w:pPr>
              <w:jc w:val="center"/>
              <w:rPr>
                <w:rFonts w:hint="eastAsia" w:eastAsia="仿宋"/>
                <w:sz w:val="32"/>
                <w:szCs w:val="32"/>
              </w:rPr>
            </w:pPr>
            <w:r>
              <w:rPr>
                <w:rFonts w:hint="eastAsia" w:eastAsia="仿宋"/>
                <w:sz w:val="32"/>
                <w:szCs w:val="32"/>
              </w:rPr>
              <w:t>4</w:t>
            </w:r>
          </w:p>
        </w:tc>
      </w:tr>
      <w:tr w14:paraId="5EB6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5099C1BF">
            <w:pPr>
              <w:widowControl/>
              <w:jc w:val="center"/>
              <w:rPr>
                <w:rStyle w:val="54"/>
                <w:rFonts w:ascii="Times New Roman" w:hAnsi="Times New Roman" w:eastAsia="宋体"/>
                <w:color w:val="auto"/>
                <w:kern w:val="0"/>
                <w:sz w:val="32"/>
                <w:szCs w:val="32"/>
              </w:rPr>
            </w:pPr>
            <w:r>
              <w:rPr>
                <w:rStyle w:val="54"/>
                <w:rFonts w:hint="default"/>
                <w:sz w:val="32"/>
                <w:szCs w:val="32"/>
              </w:rPr>
              <w:t>燃料动力费</w:t>
            </w:r>
          </w:p>
        </w:tc>
        <w:tc>
          <w:tcPr>
            <w:tcW w:w="1659" w:type="dxa"/>
          </w:tcPr>
          <w:p w14:paraId="3D770768">
            <w:pPr>
              <w:widowControl/>
              <w:jc w:val="center"/>
              <w:rPr>
                <w:rFonts w:hint="eastAsia" w:eastAsia="仿宋"/>
                <w:sz w:val="32"/>
                <w:szCs w:val="32"/>
              </w:rPr>
            </w:pPr>
            <w:r>
              <w:rPr>
                <w:rFonts w:hint="eastAsia" w:eastAsia="仿宋"/>
                <w:sz w:val="32"/>
                <w:szCs w:val="32"/>
              </w:rPr>
              <w:t>0</w:t>
            </w:r>
          </w:p>
        </w:tc>
        <w:tc>
          <w:tcPr>
            <w:tcW w:w="1659" w:type="dxa"/>
          </w:tcPr>
          <w:p w14:paraId="5BF154A1">
            <w:pPr>
              <w:jc w:val="center"/>
              <w:rPr>
                <w:rFonts w:hint="eastAsia" w:eastAsia="仿宋"/>
                <w:sz w:val="32"/>
                <w:szCs w:val="32"/>
              </w:rPr>
            </w:pPr>
            <w:r>
              <w:rPr>
                <w:rFonts w:hint="eastAsia" w:eastAsia="仿宋"/>
                <w:sz w:val="32"/>
                <w:szCs w:val="32"/>
              </w:rPr>
              <w:t>0</w:t>
            </w:r>
          </w:p>
        </w:tc>
        <w:tc>
          <w:tcPr>
            <w:tcW w:w="1660" w:type="dxa"/>
          </w:tcPr>
          <w:p w14:paraId="449D1D7C">
            <w:pPr>
              <w:jc w:val="center"/>
              <w:rPr>
                <w:rFonts w:hint="eastAsia" w:eastAsia="仿宋"/>
                <w:sz w:val="32"/>
                <w:szCs w:val="32"/>
              </w:rPr>
            </w:pPr>
            <w:r>
              <w:rPr>
                <w:rFonts w:hint="eastAsia" w:eastAsia="仿宋"/>
                <w:sz w:val="32"/>
                <w:szCs w:val="32"/>
              </w:rPr>
              <w:t>0</w:t>
            </w:r>
          </w:p>
        </w:tc>
      </w:tr>
      <w:tr w14:paraId="442C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0F436B7A">
            <w:pPr>
              <w:widowControl/>
              <w:jc w:val="center"/>
              <w:rPr>
                <w:rStyle w:val="54"/>
                <w:rFonts w:ascii="Times New Roman" w:hAnsi="Times New Roman" w:eastAsia="宋体"/>
                <w:color w:val="auto"/>
                <w:kern w:val="0"/>
                <w:sz w:val="32"/>
                <w:szCs w:val="32"/>
              </w:rPr>
            </w:pPr>
            <w:r>
              <w:rPr>
                <w:rStyle w:val="54"/>
                <w:rFonts w:hint="default"/>
                <w:sz w:val="32"/>
                <w:szCs w:val="32"/>
              </w:rPr>
              <w:t>差旅费/会议费/国际合作与交流费</w:t>
            </w:r>
          </w:p>
        </w:tc>
        <w:tc>
          <w:tcPr>
            <w:tcW w:w="1659" w:type="dxa"/>
          </w:tcPr>
          <w:p w14:paraId="13B21D1F">
            <w:pPr>
              <w:widowControl/>
              <w:jc w:val="center"/>
              <w:rPr>
                <w:rFonts w:hint="eastAsia" w:eastAsia="仿宋"/>
                <w:sz w:val="32"/>
                <w:szCs w:val="32"/>
              </w:rPr>
            </w:pPr>
            <w:r>
              <w:rPr>
                <w:rFonts w:hint="eastAsia" w:eastAsia="仿宋"/>
                <w:sz w:val="32"/>
                <w:szCs w:val="32"/>
              </w:rPr>
              <w:t>0</w:t>
            </w:r>
            <w:r>
              <w:rPr>
                <w:rFonts w:eastAsia="仿宋"/>
                <w:sz w:val="32"/>
                <w:szCs w:val="32"/>
              </w:rPr>
              <w:t>.5</w:t>
            </w:r>
          </w:p>
        </w:tc>
        <w:tc>
          <w:tcPr>
            <w:tcW w:w="1659" w:type="dxa"/>
          </w:tcPr>
          <w:p w14:paraId="0729D0CF">
            <w:pPr>
              <w:jc w:val="center"/>
              <w:rPr>
                <w:rFonts w:hint="eastAsia" w:eastAsia="仿宋"/>
                <w:sz w:val="32"/>
                <w:szCs w:val="32"/>
              </w:rPr>
            </w:pPr>
            <w:r>
              <w:rPr>
                <w:rFonts w:hint="eastAsia" w:eastAsia="仿宋"/>
                <w:sz w:val="32"/>
                <w:szCs w:val="32"/>
              </w:rPr>
              <w:t>0</w:t>
            </w:r>
          </w:p>
        </w:tc>
        <w:tc>
          <w:tcPr>
            <w:tcW w:w="1660" w:type="dxa"/>
          </w:tcPr>
          <w:p w14:paraId="05C02845">
            <w:pPr>
              <w:jc w:val="center"/>
              <w:rPr>
                <w:rFonts w:hint="eastAsia" w:eastAsia="仿宋"/>
                <w:sz w:val="32"/>
                <w:szCs w:val="32"/>
              </w:rPr>
            </w:pPr>
            <w:r>
              <w:rPr>
                <w:rFonts w:hint="eastAsia" w:eastAsia="仿宋"/>
                <w:sz w:val="32"/>
                <w:szCs w:val="32"/>
              </w:rPr>
              <w:t>0</w:t>
            </w:r>
            <w:r>
              <w:rPr>
                <w:rFonts w:eastAsia="仿宋"/>
                <w:sz w:val="32"/>
                <w:szCs w:val="32"/>
              </w:rPr>
              <w:t>.5</w:t>
            </w:r>
          </w:p>
        </w:tc>
      </w:tr>
      <w:tr w14:paraId="1696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0113AFAC">
            <w:pPr>
              <w:widowControl/>
              <w:jc w:val="center"/>
              <w:rPr>
                <w:rStyle w:val="54"/>
                <w:rFonts w:ascii="Times New Roman" w:hAnsi="Times New Roman" w:eastAsia="宋体"/>
                <w:color w:val="auto"/>
                <w:kern w:val="0"/>
                <w:sz w:val="32"/>
                <w:szCs w:val="32"/>
              </w:rPr>
            </w:pPr>
            <w:r>
              <w:rPr>
                <w:rStyle w:val="54"/>
                <w:rFonts w:hint="default"/>
                <w:sz w:val="32"/>
                <w:szCs w:val="32"/>
              </w:rPr>
              <w:t>出版/文献/信息传播/知识产权事务费</w:t>
            </w:r>
          </w:p>
        </w:tc>
        <w:tc>
          <w:tcPr>
            <w:tcW w:w="1659" w:type="dxa"/>
          </w:tcPr>
          <w:p w14:paraId="06325839">
            <w:pPr>
              <w:widowControl/>
              <w:jc w:val="center"/>
              <w:rPr>
                <w:rFonts w:hint="eastAsia" w:eastAsia="仿宋"/>
                <w:sz w:val="32"/>
                <w:szCs w:val="32"/>
              </w:rPr>
            </w:pPr>
            <w:r>
              <w:rPr>
                <w:rFonts w:hint="eastAsia" w:eastAsia="仿宋"/>
                <w:sz w:val="32"/>
                <w:szCs w:val="32"/>
              </w:rPr>
              <w:t>0</w:t>
            </w:r>
          </w:p>
        </w:tc>
        <w:tc>
          <w:tcPr>
            <w:tcW w:w="1659" w:type="dxa"/>
          </w:tcPr>
          <w:p w14:paraId="09846B53">
            <w:pPr>
              <w:jc w:val="center"/>
              <w:rPr>
                <w:rFonts w:hint="eastAsia" w:eastAsia="仿宋"/>
                <w:sz w:val="32"/>
                <w:szCs w:val="32"/>
              </w:rPr>
            </w:pPr>
            <w:r>
              <w:rPr>
                <w:rFonts w:hint="eastAsia" w:eastAsia="仿宋"/>
                <w:sz w:val="32"/>
                <w:szCs w:val="32"/>
              </w:rPr>
              <w:t>0</w:t>
            </w:r>
          </w:p>
        </w:tc>
        <w:tc>
          <w:tcPr>
            <w:tcW w:w="1660" w:type="dxa"/>
          </w:tcPr>
          <w:p w14:paraId="2FD76949">
            <w:pPr>
              <w:jc w:val="center"/>
              <w:rPr>
                <w:rFonts w:hint="eastAsia" w:eastAsia="仿宋"/>
                <w:sz w:val="32"/>
                <w:szCs w:val="32"/>
              </w:rPr>
            </w:pPr>
            <w:r>
              <w:rPr>
                <w:rFonts w:hint="eastAsia" w:eastAsia="仿宋"/>
                <w:sz w:val="32"/>
                <w:szCs w:val="32"/>
              </w:rPr>
              <w:t>0</w:t>
            </w:r>
          </w:p>
        </w:tc>
      </w:tr>
      <w:tr w14:paraId="6D4D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3E192B7C">
            <w:pPr>
              <w:widowControl/>
              <w:jc w:val="center"/>
              <w:rPr>
                <w:rStyle w:val="54"/>
                <w:rFonts w:ascii="Times New Roman" w:hAnsi="Times New Roman" w:eastAsia="宋体"/>
                <w:color w:val="auto"/>
                <w:kern w:val="0"/>
                <w:sz w:val="32"/>
                <w:szCs w:val="32"/>
              </w:rPr>
            </w:pPr>
            <w:r>
              <w:rPr>
                <w:rStyle w:val="54"/>
                <w:rFonts w:hint="default"/>
                <w:sz w:val="32"/>
                <w:szCs w:val="32"/>
              </w:rPr>
              <w:t>劳务费</w:t>
            </w:r>
          </w:p>
        </w:tc>
        <w:tc>
          <w:tcPr>
            <w:tcW w:w="1659" w:type="dxa"/>
          </w:tcPr>
          <w:p w14:paraId="4DD9D153">
            <w:pPr>
              <w:widowControl/>
              <w:jc w:val="center"/>
              <w:rPr>
                <w:rFonts w:hint="eastAsia" w:eastAsia="仿宋"/>
                <w:sz w:val="32"/>
                <w:szCs w:val="32"/>
              </w:rPr>
            </w:pPr>
            <w:r>
              <w:rPr>
                <w:rFonts w:hint="eastAsia" w:eastAsia="仿宋"/>
                <w:sz w:val="32"/>
                <w:szCs w:val="32"/>
              </w:rPr>
              <w:t>5</w:t>
            </w:r>
            <w:r>
              <w:rPr>
                <w:rFonts w:eastAsia="仿宋"/>
                <w:sz w:val="32"/>
                <w:szCs w:val="32"/>
              </w:rPr>
              <w:t>.3</w:t>
            </w:r>
          </w:p>
        </w:tc>
        <w:tc>
          <w:tcPr>
            <w:tcW w:w="1659" w:type="dxa"/>
          </w:tcPr>
          <w:p w14:paraId="0FF8923C">
            <w:pPr>
              <w:jc w:val="center"/>
              <w:rPr>
                <w:rFonts w:hint="eastAsia" w:eastAsia="仿宋"/>
                <w:sz w:val="32"/>
                <w:szCs w:val="32"/>
              </w:rPr>
            </w:pPr>
            <w:r>
              <w:rPr>
                <w:rFonts w:hint="eastAsia" w:eastAsia="仿宋"/>
                <w:sz w:val="32"/>
                <w:szCs w:val="32"/>
              </w:rPr>
              <w:t>0</w:t>
            </w:r>
          </w:p>
        </w:tc>
        <w:tc>
          <w:tcPr>
            <w:tcW w:w="1660" w:type="dxa"/>
          </w:tcPr>
          <w:p w14:paraId="76B11247">
            <w:pPr>
              <w:jc w:val="center"/>
              <w:rPr>
                <w:rFonts w:hint="eastAsia" w:eastAsia="仿宋"/>
                <w:sz w:val="32"/>
                <w:szCs w:val="32"/>
              </w:rPr>
            </w:pPr>
            <w:r>
              <w:rPr>
                <w:rFonts w:hint="eastAsia" w:eastAsia="仿宋"/>
                <w:sz w:val="32"/>
                <w:szCs w:val="32"/>
              </w:rPr>
              <w:t>5</w:t>
            </w:r>
            <w:r>
              <w:rPr>
                <w:rFonts w:eastAsia="仿宋"/>
                <w:sz w:val="32"/>
                <w:szCs w:val="32"/>
              </w:rPr>
              <w:t>.3</w:t>
            </w:r>
          </w:p>
        </w:tc>
      </w:tr>
      <w:tr w14:paraId="673F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2BB2B349">
            <w:pPr>
              <w:widowControl/>
              <w:jc w:val="center"/>
              <w:rPr>
                <w:rStyle w:val="54"/>
                <w:rFonts w:ascii="Times New Roman" w:hAnsi="Times New Roman" w:eastAsia="宋体"/>
                <w:color w:val="auto"/>
                <w:kern w:val="0"/>
                <w:sz w:val="32"/>
                <w:szCs w:val="32"/>
              </w:rPr>
            </w:pPr>
            <w:r>
              <w:rPr>
                <w:rStyle w:val="54"/>
                <w:rFonts w:hint="default"/>
                <w:sz w:val="32"/>
                <w:szCs w:val="32"/>
              </w:rPr>
              <w:t>专家咨询费</w:t>
            </w:r>
          </w:p>
        </w:tc>
        <w:tc>
          <w:tcPr>
            <w:tcW w:w="1659" w:type="dxa"/>
          </w:tcPr>
          <w:p w14:paraId="00A39EAC">
            <w:pPr>
              <w:widowControl/>
              <w:jc w:val="center"/>
              <w:rPr>
                <w:rFonts w:hint="eastAsia" w:eastAsia="仿宋"/>
                <w:sz w:val="32"/>
                <w:szCs w:val="32"/>
              </w:rPr>
            </w:pPr>
            <w:r>
              <w:rPr>
                <w:rFonts w:hint="eastAsia" w:eastAsia="仿宋"/>
                <w:sz w:val="32"/>
                <w:szCs w:val="32"/>
              </w:rPr>
              <w:t>0</w:t>
            </w:r>
          </w:p>
        </w:tc>
        <w:tc>
          <w:tcPr>
            <w:tcW w:w="1659" w:type="dxa"/>
          </w:tcPr>
          <w:p w14:paraId="3453676C">
            <w:pPr>
              <w:jc w:val="center"/>
              <w:rPr>
                <w:rFonts w:hint="eastAsia" w:eastAsia="仿宋"/>
                <w:sz w:val="32"/>
                <w:szCs w:val="32"/>
              </w:rPr>
            </w:pPr>
            <w:r>
              <w:rPr>
                <w:rFonts w:hint="eastAsia" w:eastAsia="仿宋"/>
                <w:sz w:val="32"/>
                <w:szCs w:val="32"/>
              </w:rPr>
              <w:t>0</w:t>
            </w:r>
          </w:p>
        </w:tc>
        <w:tc>
          <w:tcPr>
            <w:tcW w:w="1660" w:type="dxa"/>
          </w:tcPr>
          <w:p w14:paraId="3881BFE3">
            <w:pPr>
              <w:jc w:val="center"/>
              <w:rPr>
                <w:rFonts w:hint="eastAsia" w:eastAsia="仿宋"/>
                <w:sz w:val="32"/>
                <w:szCs w:val="32"/>
              </w:rPr>
            </w:pPr>
            <w:r>
              <w:rPr>
                <w:rFonts w:hint="eastAsia" w:eastAsia="仿宋"/>
                <w:sz w:val="32"/>
                <w:szCs w:val="32"/>
              </w:rPr>
              <w:t>0</w:t>
            </w:r>
          </w:p>
        </w:tc>
      </w:tr>
      <w:tr w14:paraId="7AFD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03CE8F88">
            <w:pPr>
              <w:widowControl/>
              <w:jc w:val="center"/>
              <w:rPr>
                <w:rStyle w:val="54"/>
                <w:rFonts w:ascii="Times New Roman" w:hAnsi="Times New Roman" w:eastAsia="宋体"/>
                <w:color w:val="auto"/>
                <w:kern w:val="0"/>
                <w:sz w:val="32"/>
                <w:szCs w:val="32"/>
              </w:rPr>
            </w:pPr>
            <w:r>
              <w:rPr>
                <w:rStyle w:val="54"/>
                <w:rFonts w:hint="default"/>
                <w:sz w:val="32"/>
                <w:szCs w:val="32"/>
              </w:rPr>
              <w:t>其他费用</w:t>
            </w:r>
          </w:p>
        </w:tc>
        <w:tc>
          <w:tcPr>
            <w:tcW w:w="1659" w:type="dxa"/>
          </w:tcPr>
          <w:p w14:paraId="51F3E3A5">
            <w:pPr>
              <w:widowControl/>
              <w:jc w:val="center"/>
              <w:rPr>
                <w:rFonts w:hint="eastAsia" w:eastAsia="仿宋"/>
                <w:sz w:val="32"/>
                <w:szCs w:val="32"/>
              </w:rPr>
            </w:pPr>
            <w:r>
              <w:rPr>
                <w:rFonts w:hint="eastAsia" w:eastAsia="仿宋"/>
                <w:sz w:val="32"/>
                <w:szCs w:val="32"/>
              </w:rPr>
              <w:t>0</w:t>
            </w:r>
          </w:p>
        </w:tc>
        <w:tc>
          <w:tcPr>
            <w:tcW w:w="1659" w:type="dxa"/>
          </w:tcPr>
          <w:p w14:paraId="2A34CB63">
            <w:pPr>
              <w:jc w:val="center"/>
              <w:rPr>
                <w:rFonts w:hint="eastAsia" w:eastAsia="仿宋"/>
                <w:sz w:val="32"/>
                <w:szCs w:val="32"/>
              </w:rPr>
            </w:pPr>
            <w:r>
              <w:rPr>
                <w:rFonts w:hint="eastAsia" w:eastAsia="仿宋"/>
                <w:sz w:val="32"/>
                <w:szCs w:val="32"/>
              </w:rPr>
              <w:t>0</w:t>
            </w:r>
          </w:p>
        </w:tc>
        <w:tc>
          <w:tcPr>
            <w:tcW w:w="1660" w:type="dxa"/>
          </w:tcPr>
          <w:p w14:paraId="4A06EB85">
            <w:pPr>
              <w:jc w:val="center"/>
              <w:rPr>
                <w:rFonts w:hint="eastAsia" w:eastAsia="仿宋"/>
                <w:sz w:val="32"/>
                <w:szCs w:val="32"/>
              </w:rPr>
            </w:pPr>
            <w:r>
              <w:rPr>
                <w:rFonts w:hint="eastAsia" w:eastAsia="仿宋"/>
                <w:sz w:val="32"/>
                <w:szCs w:val="32"/>
              </w:rPr>
              <w:t>0</w:t>
            </w:r>
          </w:p>
        </w:tc>
      </w:tr>
    </w:tbl>
    <w:p w14:paraId="77D53AB5">
      <w:pPr>
        <w:autoSpaceDE w:val="0"/>
        <w:autoSpaceDN w:val="0"/>
        <w:adjustRightInd w:val="0"/>
        <w:spacing w:line="600" w:lineRule="exact"/>
        <w:jc w:val="left"/>
        <w:rPr>
          <w:rFonts w:hint="eastAsia" w:ascii="方正仿宋_GBK" w:hAnsi="Calibri" w:eastAsia="方正仿宋_GBK"/>
          <w:sz w:val="32"/>
          <w:szCs w:val="32"/>
        </w:rPr>
      </w:pPr>
    </w:p>
    <w:p w14:paraId="44C8EC2B">
      <w:pPr>
        <w:autoSpaceDE w:val="0"/>
        <w:autoSpaceDN w:val="0"/>
        <w:adjustRightInd w:val="0"/>
        <w:spacing w:line="600" w:lineRule="exact"/>
        <w:jc w:val="left"/>
        <w:rPr>
          <w:rFonts w:hint="eastAsia" w:ascii="方正仿宋_GBK" w:hAnsi="Calibri" w:eastAsia="方正仿宋_GBK"/>
          <w:sz w:val="32"/>
          <w:szCs w:val="32"/>
        </w:rPr>
      </w:pPr>
    </w:p>
    <w:p w14:paraId="5879139C">
      <w:pPr>
        <w:autoSpaceDE w:val="0"/>
        <w:autoSpaceDN w:val="0"/>
        <w:adjustRightInd w:val="0"/>
        <w:spacing w:line="600" w:lineRule="exact"/>
        <w:jc w:val="left"/>
        <w:rPr>
          <w:rFonts w:hint="eastAsia" w:ascii="方正仿宋_GBK" w:hAnsi="Calibri" w:eastAsia="方正仿宋_GBK"/>
          <w:sz w:val="32"/>
          <w:szCs w:val="32"/>
        </w:rPr>
      </w:pPr>
    </w:p>
    <w:bookmarkEnd w:id="61"/>
    <w:p w14:paraId="37967069">
      <w:pPr>
        <w:autoSpaceDE w:val="0"/>
        <w:autoSpaceDN w:val="0"/>
        <w:adjustRightInd w:val="0"/>
        <w:spacing w:line="600" w:lineRule="exact"/>
        <w:ind w:firstLine="4480" w:firstLineChars="1400"/>
        <w:jc w:val="left"/>
        <w:rPr>
          <w:rFonts w:ascii="方正仿宋_GBK" w:hAnsi="Calibri" w:eastAsia="方正仿宋_GBK"/>
          <w:sz w:val="32"/>
          <w:szCs w:val="32"/>
        </w:rPr>
      </w:pPr>
      <w:r>
        <w:rPr>
          <w:rFonts w:hint="eastAsia" w:ascii="方正仿宋_GBK" w:hAnsi="Calibri" w:eastAsia="方正仿宋_GBK"/>
          <w:sz w:val="32"/>
          <w:szCs w:val="32"/>
        </w:rPr>
        <w:t>表</w:t>
      </w:r>
      <w:r>
        <w:rPr>
          <w:rFonts w:ascii="方正仿宋_GBK" w:hAnsi="Calibri" w:eastAsia="方正仿宋_GBK"/>
          <w:sz w:val="32"/>
          <w:szCs w:val="32"/>
        </w:rPr>
        <w:t>2</w:t>
      </w:r>
      <w:r>
        <w:rPr>
          <w:rFonts w:hint="eastAsia" w:ascii="方正仿宋_GBK" w:hAnsi="Calibri" w:eastAsia="方正仿宋_GBK"/>
          <w:sz w:val="32"/>
          <w:szCs w:val="32"/>
        </w:rPr>
        <w:t>批复资金预算</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8"/>
        <w:gridCol w:w="1659"/>
        <w:gridCol w:w="1659"/>
        <w:gridCol w:w="1660"/>
      </w:tblGrid>
      <w:tr w14:paraId="4037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54B669B2">
            <w:pPr>
              <w:widowControl/>
              <w:jc w:val="center"/>
              <w:rPr>
                <w:rFonts w:hint="eastAsia" w:eastAsia="仿宋"/>
                <w:sz w:val="32"/>
                <w:szCs w:val="32"/>
              </w:rPr>
            </w:pPr>
            <w:r>
              <w:rPr>
                <w:rFonts w:eastAsia="仿宋"/>
                <w:sz w:val="32"/>
                <w:szCs w:val="32"/>
              </w:rPr>
              <w:t>科目名称</w:t>
            </w:r>
          </w:p>
        </w:tc>
        <w:tc>
          <w:tcPr>
            <w:tcW w:w="1659" w:type="dxa"/>
          </w:tcPr>
          <w:p w14:paraId="6DF6A84D">
            <w:pPr>
              <w:widowControl/>
              <w:jc w:val="center"/>
              <w:rPr>
                <w:rFonts w:hint="eastAsia" w:eastAsia="仿宋"/>
                <w:sz w:val="32"/>
                <w:szCs w:val="32"/>
              </w:rPr>
            </w:pPr>
            <w:r>
              <w:rPr>
                <w:rFonts w:hint="eastAsia" w:eastAsia="仿宋"/>
                <w:sz w:val="32"/>
                <w:szCs w:val="32"/>
              </w:rPr>
              <w:t>专项</w:t>
            </w:r>
            <w:r>
              <w:rPr>
                <w:rFonts w:eastAsia="仿宋"/>
                <w:sz w:val="32"/>
                <w:szCs w:val="32"/>
              </w:rPr>
              <w:t>经费</w:t>
            </w:r>
          </w:p>
        </w:tc>
        <w:tc>
          <w:tcPr>
            <w:tcW w:w="1659" w:type="dxa"/>
          </w:tcPr>
          <w:p w14:paraId="04C498BF">
            <w:pPr>
              <w:jc w:val="center"/>
              <w:rPr>
                <w:rFonts w:hint="eastAsia" w:eastAsia="仿宋"/>
                <w:sz w:val="32"/>
                <w:szCs w:val="32"/>
              </w:rPr>
            </w:pPr>
            <w:r>
              <w:rPr>
                <w:rFonts w:eastAsia="仿宋"/>
                <w:sz w:val="32"/>
                <w:szCs w:val="32"/>
              </w:rPr>
              <w:t xml:space="preserve">自筹经费 </w:t>
            </w:r>
          </w:p>
        </w:tc>
        <w:tc>
          <w:tcPr>
            <w:tcW w:w="1660" w:type="dxa"/>
          </w:tcPr>
          <w:p w14:paraId="1340F92E">
            <w:pPr>
              <w:jc w:val="center"/>
              <w:rPr>
                <w:rFonts w:hint="eastAsia" w:eastAsia="仿宋"/>
                <w:sz w:val="32"/>
                <w:szCs w:val="32"/>
              </w:rPr>
            </w:pPr>
            <w:r>
              <w:rPr>
                <w:rFonts w:hint="eastAsia" w:eastAsia="仿宋"/>
                <w:sz w:val="32"/>
                <w:szCs w:val="32"/>
              </w:rPr>
              <w:t>合计</w:t>
            </w:r>
          </w:p>
        </w:tc>
      </w:tr>
      <w:tr w14:paraId="34CB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0F073F91">
            <w:pPr>
              <w:widowControl/>
              <w:jc w:val="center"/>
              <w:rPr>
                <w:rFonts w:hint="eastAsia" w:eastAsia="宋体"/>
                <w:kern w:val="0"/>
                <w:sz w:val="32"/>
                <w:szCs w:val="32"/>
              </w:rPr>
            </w:pPr>
            <w:r>
              <w:rPr>
                <w:rStyle w:val="54"/>
                <w:rFonts w:hint="default"/>
                <w:sz w:val="32"/>
                <w:szCs w:val="32"/>
              </w:rPr>
              <w:t>间接费用</w:t>
            </w:r>
          </w:p>
        </w:tc>
        <w:tc>
          <w:tcPr>
            <w:tcW w:w="1659" w:type="dxa"/>
          </w:tcPr>
          <w:p w14:paraId="36D6F9F7">
            <w:pPr>
              <w:widowControl/>
              <w:jc w:val="center"/>
              <w:rPr>
                <w:rFonts w:eastAsia="仿宋"/>
                <w:sz w:val="32"/>
                <w:szCs w:val="32"/>
              </w:rPr>
            </w:pPr>
            <w:r>
              <w:rPr>
                <w:rFonts w:hint="eastAsia" w:eastAsia="仿宋"/>
                <w:sz w:val="32"/>
                <w:szCs w:val="32"/>
              </w:rPr>
              <w:t>5</w:t>
            </w:r>
            <w:r>
              <w:rPr>
                <w:rFonts w:eastAsia="仿宋"/>
                <w:sz w:val="32"/>
                <w:szCs w:val="32"/>
              </w:rPr>
              <w:t>.2</w:t>
            </w:r>
          </w:p>
        </w:tc>
        <w:tc>
          <w:tcPr>
            <w:tcW w:w="1659" w:type="dxa"/>
          </w:tcPr>
          <w:p w14:paraId="17BF70A2">
            <w:pPr>
              <w:jc w:val="center"/>
              <w:rPr>
                <w:rFonts w:eastAsia="仿宋"/>
                <w:sz w:val="32"/>
                <w:szCs w:val="32"/>
              </w:rPr>
            </w:pPr>
            <w:r>
              <w:rPr>
                <w:rFonts w:hint="eastAsia" w:eastAsia="仿宋"/>
                <w:sz w:val="32"/>
                <w:szCs w:val="32"/>
              </w:rPr>
              <w:t>0</w:t>
            </w:r>
          </w:p>
        </w:tc>
        <w:tc>
          <w:tcPr>
            <w:tcW w:w="1660" w:type="dxa"/>
          </w:tcPr>
          <w:p w14:paraId="3E29C302">
            <w:pPr>
              <w:jc w:val="center"/>
              <w:rPr>
                <w:rFonts w:hint="eastAsia" w:eastAsia="仿宋"/>
                <w:sz w:val="32"/>
                <w:szCs w:val="32"/>
              </w:rPr>
            </w:pPr>
            <w:r>
              <w:rPr>
                <w:rFonts w:hint="eastAsia" w:eastAsia="仿宋"/>
                <w:sz w:val="32"/>
                <w:szCs w:val="32"/>
              </w:rPr>
              <w:t>5</w:t>
            </w:r>
            <w:r>
              <w:rPr>
                <w:rFonts w:eastAsia="仿宋"/>
                <w:sz w:val="32"/>
                <w:szCs w:val="32"/>
              </w:rPr>
              <w:t>.2</w:t>
            </w:r>
          </w:p>
        </w:tc>
      </w:tr>
      <w:tr w14:paraId="0538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1DE5C884">
            <w:pPr>
              <w:widowControl/>
              <w:jc w:val="center"/>
              <w:rPr>
                <w:rStyle w:val="54"/>
                <w:rFonts w:ascii="Times New Roman" w:hAnsi="Times New Roman" w:eastAsia="宋体"/>
                <w:color w:val="auto"/>
                <w:kern w:val="0"/>
                <w:sz w:val="32"/>
                <w:szCs w:val="32"/>
              </w:rPr>
            </w:pPr>
            <w:r>
              <w:rPr>
                <w:rStyle w:val="54"/>
                <w:rFonts w:hint="default"/>
                <w:sz w:val="32"/>
                <w:szCs w:val="32"/>
              </w:rPr>
              <w:t>其中：绩效支出</w:t>
            </w:r>
          </w:p>
        </w:tc>
        <w:tc>
          <w:tcPr>
            <w:tcW w:w="1659" w:type="dxa"/>
          </w:tcPr>
          <w:p w14:paraId="038722DE">
            <w:pPr>
              <w:widowControl/>
              <w:jc w:val="center"/>
              <w:rPr>
                <w:rFonts w:hint="eastAsia" w:eastAsia="仿宋"/>
                <w:sz w:val="32"/>
                <w:szCs w:val="32"/>
              </w:rPr>
            </w:pPr>
            <w:r>
              <w:rPr>
                <w:rFonts w:hint="eastAsia" w:eastAsia="仿宋"/>
                <w:sz w:val="32"/>
                <w:szCs w:val="32"/>
              </w:rPr>
              <w:t>3</w:t>
            </w:r>
            <w:r>
              <w:rPr>
                <w:rFonts w:eastAsia="仿宋"/>
                <w:sz w:val="32"/>
                <w:szCs w:val="32"/>
              </w:rPr>
              <w:t>.2</w:t>
            </w:r>
          </w:p>
        </w:tc>
        <w:tc>
          <w:tcPr>
            <w:tcW w:w="1659" w:type="dxa"/>
          </w:tcPr>
          <w:p w14:paraId="72251CEB">
            <w:pPr>
              <w:jc w:val="center"/>
              <w:rPr>
                <w:rFonts w:hint="eastAsia" w:eastAsia="仿宋"/>
                <w:sz w:val="32"/>
                <w:szCs w:val="32"/>
              </w:rPr>
            </w:pPr>
            <w:r>
              <w:rPr>
                <w:rFonts w:hint="eastAsia" w:eastAsia="仿宋"/>
                <w:sz w:val="32"/>
                <w:szCs w:val="32"/>
              </w:rPr>
              <w:t>0</w:t>
            </w:r>
          </w:p>
        </w:tc>
        <w:tc>
          <w:tcPr>
            <w:tcW w:w="1660" w:type="dxa"/>
          </w:tcPr>
          <w:p w14:paraId="3A41B4AF">
            <w:pPr>
              <w:jc w:val="center"/>
              <w:rPr>
                <w:rFonts w:hint="eastAsia" w:eastAsia="仿宋"/>
                <w:sz w:val="32"/>
                <w:szCs w:val="32"/>
              </w:rPr>
            </w:pPr>
            <w:r>
              <w:rPr>
                <w:rFonts w:eastAsia="仿宋"/>
                <w:sz w:val="32"/>
                <w:szCs w:val="32"/>
              </w:rPr>
              <w:t>3.2</w:t>
            </w:r>
          </w:p>
        </w:tc>
      </w:tr>
      <w:tr w14:paraId="03FB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211FAF05">
            <w:pPr>
              <w:widowControl/>
              <w:jc w:val="center"/>
              <w:rPr>
                <w:rStyle w:val="54"/>
                <w:rFonts w:ascii="Times New Roman" w:hAnsi="Times New Roman" w:eastAsia="宋体"/>
                <w:color w:val="auto"/>
                <w:kern w:val="0"/>
                <w:sz w:val="32"/>
                <w:szCs w:val="32"/>
              </w:rPr>
            </w:pPr>
            <w:r>
              <w:rPr>
                <w:rStyle w:val="54"/>
                <w:rFonts w:hint="default"/>
                <w:sz w:val="32"/>
                <w:szCs w:val="32"/>
              </w:rPr>
              <w:t>直接费用</w:t>
            </w:r>
          </w:p>
        </w:tc>
        <w:tc>
          <w:tcPr>
            <w:tcW w:w="1659" w:type="dxa"/>
          </w:tcPr>
          <w:p w14:paraId="39A706B2">
            <w:pPr>
              <w:widowControl/>
              <w:jc w:val="center"/>
              <w:rPr>
                <w:rFonts w:hint="eastAsia" w:eastAsia="仿宋"/>
                <w:sz w:val="32"/>
                <w:szCs w:val="32"/>
              </w:rPr>
            </w:pPr>
            <w:r>
              <w:rPr>
                <w:rFonts w:eastAsia="仿宋"/>
                <w:sz w:val="32"/>
                <w:szCs w:val="32"/>
              </w:rPr>
              <w:t>14.8</w:t>
            </w:r>
          </w:p>
        </w:tc>
        <w:tc>
          <w:tcPr>
            <w:tcW w:w="1659" w:type="dxa"/>
          </w:tcPr>
          <w:p w14:paraId="1B658B5B">
            <w:pPr>
              <w:jc w:val="center"/>
              <w:rPr>
                <w:rFonts w:hint="eastAsia" w:eastAsia="仿宋"/>
                <w:sz w:val="32"/>
                <w:szCs w:val="32"/>
              </w:rPr>
            </w:pPr>
            <w:r>
              <w:rPr>
                <w:rFonts w:hint="eastAsia" w:eastAsia="仿宋"/>
                <w:sz w:val="32"/>
                <w:szCs w:val="32"/>
              </w:rPr>
              <w:t>0</w:t>
            </w:r>
          </w:p>
        </w:tc>
        <w:tc>
          <w:tcPr>
            <w:tcW w:w="1660" w:type="dxa"/>
          </w:tcPr>
          <w:p w14:paraId="699E2C96">
            <w:pPr>
              <w:jc w:val="center"/>
              <w:rPr>
                <w:rFonts w:hint="eastAsia" w:eastAsia="仿宋"/>
                <w:sz w:val="32"/>
                <w:szCs w:val="32"/>
              </w:rPr>
            </w:pPr>
            <w:r>
              <w:rPr>
                <w:rFonts w:eastAsia="仿宋"/>
                <w:sz w:val="32"/>
                <w:szCs w:val="32"/>
              </w:rPr>
              <w:t>14.8</w:t>
            </w:r>
          </w:p>
        </w:tc>
      </w:tr>
      <w:tr w14:paraId="400D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20D5F725">
            <w:pPr>
              <w:widowControl/>
              <w:jc w:val="center"/>
              <w:rPr>
                <w:rStyle w:val="54"/>
                <w:rFonts w:ascii="Times New Roman" w:hAnsi="Times New Roman" w:eastAsia="宋体"/>
                <w:color w:val="auto"/>
                <w:kern w:val="0"/>
                <w:sz w:val="32"/>
                <w:szCs w:val="32"/>
              </w:rPr>
            </w:pPr>
            <w:r>
              <w:rPr>
                <w:rStyle w:val="54"/>
                <w:rFonts w:hint="default"/>
                <w:sz w:val="32"/>
                <w:szCs w:val="32"/>
              </w:rPr>
              <w:t>设备费</w:t>
            </w:r>
          </w:p>
        </w:tc>
        <w:tc>
          <w:tcPr>
            <w:tcW w:w="1659" w:type="dxa"/>
          </w:tcPr>
          <w:p w14:paraId="04832A48">
            <w:pPr>
              <w:widowControl/>
              <w:jc w:val="center"/>
              <w:rPr>
                <w:rFonts w:hint="eastAsia" w:eastAsia="仿宋"/>
                <w:sz w:val="32"/>
                <w:szCs w:val="32"/>
              </w:rPr>
            </w:pPr>
            <w:r>
              <w:rPr>
                <w:rFonts w:hint="eastAsia" w:eastAsia="仿宋"/>
                <w:sz w:val="32"/>
                <w:szCs w:val="32"/>
              </w:rPr>
              <w:t>0</w:t>
            </w:r>
          </w:p>
        </w:tc>
        <w:tc>
          <w:tcPr>
            <w:tcW w:w="1659" w:type="dxa"/>
          </w:tcPr>
          <w:p w14:paraId="7F36B3D9">
            <w:pPr>
              <w:jc w:val="center"/>
              <w:rPr>
                <w:rFonts w:hint="eastAsia" w:eastAsia="仿宋"/>
                <w:sz w:val="32"/>
                <w:szCs w:val="32"/>
              </w:rPr>
            </w:pPr>
            <w:r>
              <w:rPr>
                <w:rFonts w:hint="eastAsia" w:eastAsia="仿宋"/>
                <w:sz w:val="32"/>
                <w:szCs w:val="32"/>
              </w:rPr>
              <w:t>0</w:t>
            </w:r>
          </w:p>
        </w:tc>
        <w:tc>
          <w:tcPr>
            <w:tcW w:w="1660" w:type="dxa"/>
          </w:tcPr>
          <w:p w14:paraId="0D11D063">
            <w:pPr>
              <w:jc w:val="center"/>
              <w:rPr>
                <w:rFonts w:hint="eastAsia" w:eastAsia="仿宋"/>
                <w:sz w:val="32"/>
                <w:szCs w:val="32"/>
              </w:rPr>
            </w:pPr>
            <w:r>
              <w:rPr>
                <w:rFonts w:hint="eastAsia" w:eastAsia="仿宋"/>
                <w:sz w:val="32"/>
                <w:szCs w:val="32"/>
              </w:rPr>
              <w:t>0</w:t>
            </w:r>
          </w:p>
        </w:tc>
      </w:tr>
      <w:tr w14:paraId="4BA8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02CF0F44">
            <w:pPr>
              <w:widowControl/>
              <w:jc w:val="center"/>
              <w:rPr>
                <w:rStyle w:val="54"/>
                <w:rFonts w:ascii="Times New Roman" w:hAnsi="Times New Roman" w:eastAsia="宋体"/>
                <w:color w:val="auto"/>
                <w:kern w:val="0"/>
                <w:sz w:val="32"/>
                <w:szCs w:val="32"/>
              </w:rPr>
            </w:pPr>
            <w:r>
              <w:rPr>
                <w:rStyle w:val="54"/>
                <w:rFonts w:hint="default"/>
                <w:sz w:val="32"/>
                <w:szCs w:val="32"/>
              </w:rPr>
              <w:t>购置设备费</w:t>
            </w:r>
          </w:p>
        </w:tc>
        <w:tc>
          <w:tcPr>
            <w:tcW w:w="1659" w:type="dxa"/>
          </w:tcPr>
          <w:p w14:paraId="1935C041">
            <w:pPr>
              <w:widowControl/>
              <w:jc w:val="center"/>
              <w:rPr>
                <w:rFonts w:hint="eastAsia" w:eastAsia="仿宋"/>
                <w:sz w:val="32"/>
                <w:szCs w:val="32"/>
              </w:rPr>
            </w:pPr>
            <w:r>
              <w:rPr>
                <w:rFonts w:hint="eastAsia" w:eastAsia="仿宋"/>
                <w:sz w:val="32"/>
                <w:szCs w:val="32"/>
              </w:rPr>
              <w:t>0</w:t>
            </w:r>
          </w:p>
        </w:tc>
        <w:tc>
          <w:tcPr>
            <w:tcW w:w="1659" w:type="dxa"/>
          </w:tcPr>
          <w:p w14:paraId="6E347BE3">
            <w:pPr>
              <w:jc w:val="center"/>
              <w:rPr>
                <w:rFonts w:hint="eastAsia" w:eastAsia="仿宋"/>
                <w:sz w:val="32"/>
                <w:szCs w:val="32"/>
              </w:rPr>
            </w:pPr>
            <w:r>
              <w:rPr>
                <w:rFonts w:hint="eastAsia" w:eastAsia="仿宋"/>
                <w:sz w:val="32"/>
                <w:szCs w:val="32"/>
              </w:rPr>
              <w:t>0</w:t>
            </w:r>
          </w:p>
        </w:tc>
        <w:tc>
          <w:tcPr>
            <w:tcW w:w="1660" w:type="dxa"/>
          </w:tcPr>
          <w:p w14:paraId="2CB925A5">
            <w:pPr>
              <w:jc w:val="center"/>
              <w:rPr>
                <w:rFonts w:hint="eastAsia" w:eastAsia="仿宋"/>
                <w:sz w:val="32"/>
                <w:szCs w:val="32"/>
              </w:rPr>
            </w:pPr>
            <w:r>
              <w:rPr>
                <w:rFonts w:hint="eastAsia" w:eastAsia="仿宋"/>
                <w:sz w:val="32"/>
                <w:szCs w:val="32"/>
              </w:rPr>
              <w:t>0</w:t>
            </w:r>
          </w:p>
        </w:tc>
      </w:tr>
      <w:tr w14:paraId="6755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75B29AB3">
            <w:pPr>
              <w:widowControl/>
              <w:jc w:val="center"/>
              <w:rPr>
                <w:rStyle w:val="54"/>
                <w:rFonts w:ascii="Times New Roman" w:hAnsi="Times New Roman" w:eastAsia="宋体"/>
                <w:color w:val="auto"/>
                <w:kern w:val="0"/>
                <w:sz w:val="32"/>
                <w:szCs w:val="32"/>
              </w:rPr>
            </w:pPr>
            <w:r>
              <w:rPr>
                <w:rStyle w:val="54"/>
                <w:rFonts w:hint="default"/>
                <w:sz w:val="32"/>
                <w:szCs w:val="32"/>
              </w:rPr>
              <w:t>设备试制、改造、租赁费</w:t>
            </w:r>
          </w:p>
        </w:tc>
        <w:tc>
          <w:tcPr>
            <w:tcW w:w="1659" w:type="dxa"/>
          </w:tcPr>
          <w:p w14:paraId="6A1A2524">
            <w:pPr>
              <w:widowControl/>
              <w:jc w:val="center"/>
              <w:rPr>
                <w:rFonts w:hint="eastAsia" w:eastAsia="仿宋"/>
                <w:sz w:val="32"/>
                <w:szCs w:val="32"/>
              </w:rPr>
            </w:pPr>
            <w:r>
              <w:rPr>
                <w:rFonts w:hint="eastAsia" w:eastAsia="仿宋"/>
                <w:sz w:val="32"/>
                <w:szCs w:val="32"/>
              </w:rPr>
              <w:t>0</w:t>
            </w:r>
          </w:p>
        </w:tc>
        <w:tc>
          <w:tcPr>
            <w:tcW w:w="1659" w:type="dxa"/>
          </w:tcPr>
          <w:p w14:paraId="28A6A24B">
            <w:pPr>
              <w:jc w:val="center"/>
              <w:rPr>
                <w:rFonts w:hint="eastAsia" w:eastAsia="仿宋"/>
                <w:sz w:val="32"/>
                <w:szCs w:val="32"/>
              </w:rPr>
            </w:pPr>
            <w:r>
              <w:rPr>
                <w:rFonts w:hint="eastAsia" w:eastAsia="仿宋"/>
                <w:sz w:val="32"/>
                <w:szCs w:val="32"/>
              </w:rPr>
              <w:t>0</w:t>
            </w:r>
          </w:p>
        </w:tc>
        <w:tc>
          <w:tcPr>
            <w:tcW w:w="1660" w:type="dxa"/>
          </w:tcPr>
          <w:p w14:paraId="0F8799BD">
            <w:pPr>
              <w:jc w:val="center"/>
              <w:rPr>
                <w:rFonts w:hint="eastAsia" w:eastAsia="仿宋"/>
                <w:sz w:val="32"/>
                <w:szCs w:val="32"/>
              </w:rPr>
            </w:pPr>
            <w:r>
              <w:rPr>
                <w:rFonts w:hint="eastAsia" w:eastAsia="仿宋"/>
                <w:sz w:val="32"/>
                <w:szCs w:val="32"/>
              </w:rPr>
              <w:t>0</w:t>
            </w:r>
          </w:p>
        </w:tc>
      </w:tr>
      <w:tr w14:paraId="6AA6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44D3BA07">
            <w:pPr>
              <w:widowControl/>
              <w:jc w:val="center"/>
              <w:rPr>
                <w:rStyle w:val="54"/>
                <w:rFonts w:ascii="Times New Roman" w:hAnsi="Times New Roman" w:eastAsia="宋体"/>
                <w:color w:val="auto"/>
                <w:kern w:val="0"/>
                <w:sz w:val="32"/>
                <w:szCs w:val="32"/>
              </w:rPr>
            </w:pPr>
            <w:r>
              <w:rPr>
                <w:rStyle w:val="54"/>
                <w:rFonts w:hint="default"/>
                <w:sz w:val="32"/>
                <w:szCs w:val="32"/>
              </w:rPr>
              <w:t>材料费</w:t>
            </w:r>
          </w:p>
        </w:tc>
        <w:tc>
          <w:tcPr>
            <w:tcW w:w="1659" w:type="dxa"/>
          </w:tcPr>
          <w:p w14:paraId="0CA88C2F">
            <w:pPr>
              <w:widowControl/>
              <w:jc w:val="center"/>
              <w:rPr>
                <w:rFonts w:hint="eastAsia" w:eastAsia="仿宋"/>
                <w:sz w:val="32"/>
                <w:szCs w:val="32"/>
              </w:rPr>
            </w:pPr>
            <w:r>
              <w:rPr>
                <w:rFonts w:hint="eastAsia" w:eastAsia="仿宋"/>
                <w:sz w:val="32"/>
                <w:szCs w:val="32"/>
              </w:rPr>
              <w:t>5</w:t>
            </w:r>
          </w:p>
        </w:tc>
        <w:tc>
          <w:tcPr>
            <w:tcW w:w="1659" w:type="dxa"/>
          </w:tcPr>
          <w:p w14:paraId="39C5351E">
            <w:pPr>
              <w:jc w:val="center"/>
              <w:rPr>
                <w:rFonts w:hint="eastAsia" w:eastAsia="仿宋"/>
                <w:sz w:val="32"/>
                <w:szCs w:val="32"/>
              </w:rPr>
            </w:pPr>
            <w:r>
              <w:rPr>
                <w:rFonts w:hint="eastAsia" w:eastAsia="仿宋"/>
                <w:sz w:val="32"/>
                <w:szCs w:val="32"/>
              </w:rPr>
              <w:t>0</w:t>
            </w:r>
          </w:p>
        </w:tc>
        <w:tc>
          <w:tcPr>
            <w:tcW w:w="1660" w:type="dxa"/>
          </w:tcPr>
          <w:p w14:paraId="57F76483">
            <w:pPr>
              <w:jc w:val="center"/>
              <w:rPr>
                <w:rFonts w:hint="eastAsia" w:eastAsia="仿宋"/>
                <w:sz w:val="32"/>
                <w:szCs w:val="32"/>
              </w:rPr>
            </w:pPr>
            <w:r>
              <w:rPr>
                <w:rFonts w:hint="eastAsia" w:eastAsia="仿宋"/>
                <w:sz w:val="32"/>
                <w:szCs w:val="32"/>
              </w:rPr>
              <w:t>5</w:t>
            </w:r>
          </w:p>
        </w:tc>
      </w:tr>
      <w:tr w14:paraId="1D62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67958E0E">
            <w:pPr>
              <w:widowControl/>
              <w:jc w:val="center"/>
              <w:rPr>
                <w:rStyle w:val="54"/>
                <w:rFonts w:ascii="Times New Roman" w:hAnsi="Times New Roman" w:eastAsia="宋体"/>
                <w:color w:val="auto"/>
                <w:kern w:val="0"/>
                <w:sz w:val="32"/>
                <w:szCs w:val="32"/>
              </w:rPr>
            </w:pPr>
            <w:r>
              <w:rPr>
                <w:rStyle w:val="54"/>
                <w:rFonts w:hint="default"/>
                <w:sz w:val="32"/>
                <w:szCs w:val="32"/>
              </w:rPr>
              <w:t>测试化验加工费</w:t>
            </w:r>
          </w:p>
        </w:tc>
        <w:tc>
          <w:tcPr>
            <w:tcW w:w="1659" w:type="dxa"/>
          </w:tcPr>
          <w:p w14:paraId="2524113A">
            <w:pPr>
              <w:widowControl/>
              <w:jc w:val="center"/>
              <w:rPr>
                <w:rFonts w:hint="eastAsia" w:eastAsia="仿宋"/>
                <w:sz w:val="32"/>
                <w:szCs w:val="32"/>
              </w:rPr>
            </w:pPr>
            <w:r>
              <w:rPr>
                <w:rFonts w:hint="eastAsia" w:eastAsia="仿宋"/>
                <w:sz w:val="32"/>
                <w:szCs w:val="32"/>
              </w:rPr>
              <w:t>4</w:t>
            </w:r>
          </w:p>
        </w:tc>
        <w:tc>
          <w:tcPr>
            <w:tcW w:w="1659" w:type="dxa"/>
          </w:tcPr>
          <w:p w14:paraId="2120B732">
            <w:pPr>
              <w:jc w:val="center"/>
              <w:rPr>
                <w:rFonts w:hint="eastAsia" w:eastAsia="仿宋"/>
                <w:sz w:val="32"/>
                <w:szCs w:val="32"/>
              </w:rPr>
            </w:pPr>
            <w:r>
              <w:rPr>
                <w:rFonts w:hint="eastAsia" w:eastAsia="仿宋"/>
                <w:sz w:val="32"/>
                <w:szCs w:val="32"/>
              </w:rPr>
              <w:t>0</w:t>
            </w:r>
          </w:p>
        </w:tc>
        <w:tc>
          <w:tcPr>
            <w:tcW w:w="1660" w:type="dxa"/>
          </w:tcPr>
          <w:p w14:paraId="754CED8F">
            <w:pPr>
              <w:jc w:val="center"/>
              <w:rPr>
                <w:rFonts w:hint="eastAsia" w:eastAsia="仿宋"/>
                <w:sz w:val="32"/>
                <w:szCs w:val="32"/>
              </w:rPr>
            </w:pPr>
            <w:r>
              <w:rPr>
                <w:rFonts w:hint="eastAsia" w:eastAsia="仿宋"/>
                <w:sz w:val="32"/>
                <w:szCs w:val="32"/>
              </w:rPr>
              <w:t>4</w:t>
            </w:r>
          </w:p>
        </w:tc>
      </w:tr>
      <w:tr w14:paraId="4B87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430C31F0">
            <w:pPr>
              <w:widowControl/>
              <w:jc w:val="center"/>
              <w:rPr>
                <w:rStyle w:val="54"/>
                <w:rFonts w:ascii="Times New Roman" w:hAnsi="Times New Roman" w:eastAsia="宋体"/>
                <w:color w:val="auto"/>
                <w:kern w:val="0"/>
                <w:sz w:val="32"/>
                <w:szCs w:val="32"/>
              </w:rPr>
            </w:pPr>
            <w:r>
              <w:rPr>
                <w:rStyle w:val="54"/>
                <w:rFonts w:hint="default"/>
                <w:sz w:val="32"/>
                <w:szCs w:val="32"/>
              </w:rPr>
              <w:t>燃料动力费</w:t>
            </w:r>
          </w:p>
        </w:tc>
        <w:tc>
          <w:tcPr>
            <w:tcW w:w="1659" w:type="dxa"/>
          </w:tcPr>
          <w:p w14:paraId="282B3AB5">
            <w:pPr>
              <w:widowControl/>
              <w:jc w:val="center"/>
              <w:rPr>
                <w:rFonts w:hint="eastAsia" w:eastAsia="仿宋"/>
                <w:sz w:val="32"/>
                <w:szCs w:val="32"/>
              </w:rPr>
            </w:pPr>
            <w:r>
              <w:rPr>
                <w:rFonts w:hint="eastAsia" w:eastAsia="仿宋"/>
                <w:sz w:val="32"/>
                <w:szCs w:val="32"/>
              </w:rPr>
              <w:t>0</w:t>
            </w:r>
          </w:p>
        </w:tc>
        <w:tc>
          <w:tcPr>
            <w:tcW w:w="1659" w:type="dxa"/>
          </w:tcPr>
          <w:p w14:paraId="6C72E8AD">
            <w:pPr>
              <w:jc w:val="center"/>
              <w:rPr>
                <w:rFonts w:hint="eastAsia" w:eastAsia="仿宋"/>
                <w:sz w:val="32"/>
                <w:szCs w:val="32"/>
              </w:rPr>
            </w:pPr>
            <w:r>
              <w:rPr>
                <w:rFonts w:hint="eastAsia" w:eastAsia="仿宋"/>
                <w:sz w:val="32"/>
                <w:szCs w:val="32"/>
              </w:rPr>
              <w:t>0</w:t>
            </w:r>
          </w:p>
        </w:tc>
        <w:tc>
          <w:tcPr>
            <w:tcW w:w="1660" w:type="dxa"/>
          </w:tcPr>
          <w:p w14:paraId="14A2FAD9">
            <w:pPr>
              <w:jc w:val="center"/>
              <w:rPr>
                <w:rFonts w:hint="eastAsia" w:eastAsia="仿宋"/>
                <w:sz w:val="32"/>
                <w:szCs w:val="32"/>
              </w:rPr>
            </w:pPr>
            <w:r>
              <w:rPr>
                <w:rFonts w:hint="eastAsia" w:eastAsia="仿宋"/>
                <w:sz w:val="32"/>
                <w:szCs w:val="32"/>
              </w:rPr>
              <w:t>0</w:t>
            </w:r>
          </w:p>
        </w:tc>
      </w:tr>
      <w:tr w14:paraId="1531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1FFA18E7">
            <w:pPr>
              <w:widowControl/>
              <w:jc w:val="center"/>
              <w:rPr>
                <w:rStyle w:val="54"/>
                <w:rFonts w:ascii="Times New Roman" w:hAnsi="Times New Roman" w:eastAsia="宋体"/>
                <w:color w:val="auto"/>
                <w:kern w:val="0"/>
                <w:sz w:val="32"/>
                <w:szCs w:val="32"/>
              </w:rPr>
            </w:pPr>
            <w:r>
              <w:rPr>
                <w:rStyle w:val="54"/>
                <w:rFonts w:hint="default"/>
                <w:sz w:val="32"/>
                <w:szCs w:val="32"/>
              </w:rPr>
              <w:t>差旅费/会议费/国际合作与交流费</w:t>
            </w:r>
          </w:p>
        </w:tc>
        <w:tc>
          <w:tcPr>
            <w:tcW w:w="1659" w:type="dxa"/>
          </w:tcPr>
          <w:p w14:paraId="0CECA12C">
            <w:pPr>
              <w:widowControl/>
              <w:jc w:val="center"/>
              <w:rPr>
                <w:rFonts w:hint="eastAsia" w:eastAsia="仿宋"/>
                <w:sz w:val="32"/>
                <w:szCs w:val="32"/>
              </w:rPr>
            </w:pPr>
            <w:r>
              <w:rPr>
                <w:rFonts w:hint="eastAsia" w:eastAsia="仿宋"/>
                <w:sz w:val="32"/>
                <w:szCs w:val="32"/>
              </w:rPr>
              <w:t>0</w:t>
            </w:r>
            <w:r>
              <w:rPr>
                <w:rFonts w:eastAsia="仿宋"/>
                <w:sz w:val="32"/>
                <w:szCs w:val="32"/>
              </w:rPr>
              <w:t>.5</w:t>
            </w:r>
          </w:p>
        </w:tc>
        <w:tc>
          <w:tcPr>
            <w:tcW w:w="1659" w:type="dxa"/>
          </w:tcPr>
          <w:p w14:paraId="20448CCC">
            <w:pPr>
              <w:jc w:val="center"/>
              <w:rPr>
                <w:rFonts w:hint="eastAsia" w:eastAsia="仿宋"/>
                <w:sz w:val="32"/>
                <w:szCs w:val="32"/>
              </w:rPr>
            </w:pPr>
            <w:r>
              <w:rPr>
                <w:rFonts w:hint="eastAsia" w:eastAsia="仿宋"/>
                <w:sz w:val="32"/>
                <w:szCs w:val="32"/>
              </w:rPr>
              <w:t>0</w:t>
            </w:r>
          </w:p>
        </w:tc>
        <w:tc>
          <w:tcPr>
            <w:tcW w:w="1660" w:type="dxa"/>
          </w:tcPr>
          <w:p w14:paraId="5312C056">
            <w:pPr>
              <w:jc w:val="center"/>
              <w:rPr>
                <w:rFonts w:hint="eastAsia" w:eastAsia="仿宋"/>
                <w:sz w:val="32"/>
                <w:szCs w:val="32"/>
              </w:rPr>
            </w:pPr>
            <w:r>
              <w:rPr>
                <w:rFonts w:hint="eastAsia" w:eastAsia="仿宋"/>
                <w:sz w:val="32"/>
                <w:szCs w:val="32"/>
              </w:rPr>
              <w:t>0</w:t>
            </w:r>
            <w:r>
              <w:rPr>
                <w:rFonts w:eastAsia="仿宋"/>
                <w:sz w:val="32"/>
                <w:szCs w:val="32"/>
              </w:rPr>
              <w:t>.5</w:t>
            </w:r>
          </w:p>
        </w:tc>
      </w:tr>
      <w:tr w14:paraId="1C0B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6B1C5A7C">
            <w:pPr>
              <w:widowControl/>
              <w:jc w:val="center"/>
              <w:rPr>
                <w:rStyle w:val="54"/>
                <w:rFonts w:ascii="Times New Roman" w:hAnsi="Times New Roman" w:eastAsia="宋体"/>
                <w:color w:val="auto"/>
                <w:kern w:val="0"/>
                <w:sz w:val="32"/>
                <w:szCs w:val="32"/>
              </w:rPr>
            </w:pPr>
            <w:r>
              <w:rPr>
                <w:rStyle w:val="54"/>
                <w:rFonts w:hint="default"/>
                <w:sz w:val="32"/>
                <w:szCs w:val="32"/>
              </w:rPr>
              <w:t>出版/文献/信息传播/知识产权事务费</w:t>
            </w:r>
          </w:p>
        </w:tc>
        <w:tc>
          <w:tcPr>
            <w:tcW w:w="1659" w:type="dxa"/>
          </w:tcPr>
          <w:p w14:paraId="05A956B2">
            <w:pPr>
              <w:widowControl/>
              <w:jc w:val="center"/>
              <w:rPr>
                <w:rFonts w:hint="eastAsia" w:eastAsia="仿宋"/>
                <w:sz w:val="32"/>
                <w:szCs w:val="32"/>
              </w:rPr>
            </w:pPr>
            <w:r>
              <w:rPr>
                <w:rFonts w:hint="eastAsia" w:eastAsia="仿宋"/>
                <w:sz w:val="32"/>
                <w:szCs w:val="32"/>
              </w:rPr>
              <w:t>0</w:t>
            </w:r>
          </w:p>
        </w:tc>
        <w:tc>
          <w:tcPr>
            <w:tcW w:w="1659" w:type="dxa"/>
          </w:tcPr>
          <w:p w14:paraId="6CF3F910">
            <w:pPr>
              <w:jc w:val="center"/>
              <w:rPr>
                <w:rFonts w:hint="eastAsia" w:eastAsia="仿宋"/>
                <w:sz w:val="32"/>
                <w:szCs w:val="32"/>
              </w:rPr>
            </w:pPr>
            <w:r>
              <w:rPr>
                <w:rFonts w:hint="eastAsia" w:eastAsia="仿宋"/>
                <w:sz w:val="32"/>
                <w:szCs w:val="32"/>
              </w:rPr>
              <w:t>0</w:t>
            </w:r>
          </w:p>
        </w:tc>
        <w:tc>
          <w:tcPr>
            <w:tcW w:w="1660" w:type="dxa"/>
          </w:tcPr>
          <w:p w14:paraId="0444DB9F">
            <w:pPr>
              <w:jc w:val="center"/>
              <w:rPr>
                <w:rFonts w:hint="eastAsia" w:eastAsia="仿宋"/>
                <w:sz w:val="32"/>
                <w:szCs w:val="32"/>
              </w:rPr>
            </w:pPr>
            <w:r>
              <w:rPr>
                <w:rFonts w:hint="eastAsia" w:eastAsia="仿宋"/>
                <w:sz w:val="32"/>
                <w:szCs w:val="32"/>
              </w:rPr>
              <w:t>0</w:t>
            </w:r>
          </w:p>
        </w:tc>
      </w:tr>
      <w:tr w14:paraId="5FDB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29CEED10">
            <w:pPr>
              <w:widowControl/>
              <w:jc w:val="center"/>
              <w:rPr>
                <w:rStyle w:val="54"/>
                <w:rFonts w:ascii="Times New Roman" w:hAnsi="Times New Roman" w:eastAsia="宋体"/>
                <w:color w:val="auto"/>
                <w:kern w:val="0"/>
                <w:sz w:val="32"/>
                <w:szCs w:val="32"/>
              </w:rPr>
            </w:pPr>
            <w:r>
              <w:rPr>
                <w:rStyle w:val="54"/>
                <w:rFonts w:hint="default"/>
                <w:sz w:val="32"/>
                <w:szCs w:val="32"/>
              </w:rPr>
              <w:t>劳务费</w:t>
            </w:r>
          </w:p>
        </w:tc>
        <w:tc>
          <w:tcPr>
            <w:tcW w:w="1659" w:type="dxa"/>
          </w:tcPr>
          <w:p w14:paraId="7277E965">
            <w:pPr>
              <w:widowControl/>
              <w:jc w:val="center"/>
              <w:rPr>
                <w:rFonts w:hint="eastAsia" w:eastAsia="仿宋"/>
                <w:sz w:val="32"/>
                <w:szCs w:val="32"/>
              </w:rPr>
            </w:pPr>
            <w:r>
              <w:rPr>
                <w:rFonts w:hint="eastAsia" w:eastAsia="仿宋"/>
                <w:sz w:val="32"/>
                <w:szCs w:val="32"/>
              </w:rPr>
              <w:t>5</w:t>
            </w:r>
            <w:r>
              <w:rPr>
                <w:rFonts w:eastAsia="仿宋"/>
                <w:sz w:val="32"/>
                <w:szCs w:val="32"/>
              </w:rPr>
              <w:t>.3</w:t>
            </w:r>
          </w:p>
        </w:tc>
        <w:tc>
          <w:tcPr>
            <w:tcW w:w="1659" w:type="dxa"/>
          </w:tcPr>
          <w:p w14:paraId="658D5A46">
            <w:pPr>
              <w:jc w:val="center"/>
              <w:rPr>
                <w:rFonts w:hint="eastAsia" w:eastAsia="仿宋"/>
                <w:sz w:val="32"/>
                <w:szCs w:val="32"/>
              </w:rPr>
            </w:pPr>
            <w:r>
              <w:rPr>
                <w:rFonts w:hint="eastAsia" w:eastAsia="仿宋"/>
                <w:sz w:val="32"/>
                <w:szCs w:val="32"/>
              </w:rPr>
              <w:t>0</w:t>
            </w:r>
          </w:p>
        </w:tc>
        <w:tc>
          <w:tcPr>
            <w:tcW w:w="1660" w:type="dxa"/>
          </w:tcPr>
          <w:p w14:paraId="36891CC4">
            <w:pPr>
              <w:jc w:val="center"/>
              <w:rPr>
                <w:rFonts w:hint="eastAsia" w:eastAsia="仿宋"/>
                <w:sz w:val="32"/>
                <w:szCs w:val="32"/>
              </w:rPr>
            </w:pPr>
            <w:r>
              <w:rPr>
                <w:rFonts w:hint="eastAsia" w:eastAsia="仿宋"/>
                <w:sz w:val="32"/>
                <w:szCs w:val="32"/>
              </w:rPr>
              <w:t>5</w:t>
            </w:r>
            <w:r>
              <w:rPr>
                <w:rFonts w:eastAsia="仿宋"/>
                <w:sz w:val="32"/>
                <w:szCs w:val="32"/>
              </w:rPr>
              <w:t>.3</w:t>
            </w:r>
          </w:p>
        </w:tc>
      </w:tr>
      <w:tr w14:paraId="5416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0A4BF43D">
            <w:pPr>
              <w:widowControl/>
              <w:jc w:val="center"/>
              <w:rPr>
                <w:rStyle w:val="54"/>
                <w:rFonts w:ascii="Times New Roman" w:hAnsi="Times New Roman" w:eastAsia="宋体"/>
                <w:color w:val="auto"/>
                <w:kern w:val="0"/>
                <w:sz w:val="32"/>
                <w:szCs w:val="32"/>
              </w:rPr>
            </w:pPr>
            <w:r>
              <w:rPr>
                <w:rStyle w:val="54"/>
                <w:rFonts w:hint="default"/>
                <w:sz w:val="32"/>
                <w:szCs w:val="32"/>
              </w:rPr>
              <w:t>专家咨询费</w:t>
            </w:r>
          </w:p>
        </w:tc>
        <w:tc>
          <w:tcPr>
            <w:tcW w:w="1659" w:type="dxa"/>
          </w:tcPr>
          <w:p w14:paraId="226364CD">
            <w:pPr>
              <w:widowControl/>
              <w:jc w:val="center"/>
              <w:rPr>
                <w:rFonts w:hint="eastAsia" w:eastAsia="仿宋"/>
                <w:sz w:val="32"/>
                <w:szCs w:val="32"/>
              </w:rPr>
            </w:pPr>
            <w:r>
              <w:rPr>
                <w:rFonts w:hint="eastAsia" w:eastAsia="仿宋"/>
                <w:sz w:val="32"/>
                <w:szCs w:val="32"/>
              </w:rPr>
              <w:t>0</w:t>
            </w:r>
          </w:p>
        </w:tc>
        <w:tc>
          <w:tcPr>
            <w:tcW w:w="1659" w:type="dxa"/>
          </w:tcPr>
          <w:p w14:paraId="1FBB0E5B">
            <w:pPr>
              <w:jc w:val="center"/>
              <w:rPr>
                <w:rFonts w:hint="eastAsia" w:eastAsia="仿宋"/>
                <w:sz w:val="32"/>
                <w:szCs w:val="32"/>
              </w:rPr>
            </w:pPr>
            <w:r>
              <w:rPr>
                <w:rFonts w:hint="eastAsia" w:eastAsia="仿宋"/>
                <w:sz w:val="32"/>
                <w:szCs w:val="32"/>
              </w:rPr>
              <w:t>0</w:t>
            </w:r>
          </w:p>
        </w:tc>
        <w:tc>
          <w:tcPr>
            <w:tcW w:w="1660" w:type="dxa"/>
          </w:tcPr>
          <w:p w14:paraId="3BC95905">
            <w:pPr>
              <w:jc w:val="center"/>
              <w:rPr>
                <w:rFonts w:hint="eastAsia" w:eastAsia="仿宋"/>
                <w:sz w:val="32"/>
                <w:szCs w:val="32"/>
              </w:rPr>
            </w:pPr>
            <w:r>
              <w:rPr>
                <w:rFonts w:hint="eastAsia" w:eastAsia="仿宋"/>
                <w:sz w:val="32"/>
                <w:szCs w:val="32"/>
              </w:rPr>
              <w:t>0</w:t>
            </w:r>
          </w:p>
        </w:tc>
      </w:tr>
      <w:tr w14:paraId="0D1A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8" w:type="dxa"/>
          </w:tcPr>
          <w:p w14:paraId="15DCFB31">
            <w:pPr>
              <w:widowControl/>
              <w:jc w:val="center"/>
              <w:rPr>
                <w:rStyle w:val="54"/>
                <w:rFonts w:ascii="Times New Roman" w:hAnsi="Times New Roman" w:eastAsia="宋体"/>
                <w:color w:val="auto"/>
                <w:kern w:val="0"/>
                <w:sz w:val="32"/>
                <w:szCs w:val="32"/>
              </w:rPr>
            </w:pPr>
            <w:r>
              <w:rPr>
                <w:rStyle w:val="54"/>
                <w:rFonts w:hint="default"/>
                <w:sz w:val="32"/>
                <w:szCs w:val="32"/>
              </w:rPr>
              <w:t>其他费用</w:t>
            </w:r>
          </w:p>
        </w:tc>
        <w:tc>
          <w:tcPr>
            <w:tcW w:w="1659" w:type="dxa"/>
          </w:tcPr>
          <w:p w14:paraId="400E8399">
            <w:pPr>
              <w:widowControl/>
              <w:jc w:val="center"/>
              <w:rPr>
                <w:rFonts w:hint="eastAsia" w:eastAsia="仿宋"/>
                <w:sz w:val="32"/>
                <w:szCs w:val="32"/>
              </w:rPr>
            </w:pPr>
            <w:r>
              <w:rPr>
                <w:rFonts w:hint="eastAsia" w:eastAsia="仿宋"/>
                <w:sz w:val="32"/>
                <w:szCs w:val="32"/>
              </w:rPr>
              <w:t>0</w:t>
            </w:r>
          </w:p>
        </w:tc>
        <w:tc>
          <w:tcPr>
            <w:tcW w:w="1659" w:type="dxa"/>
          </w:tcPr>
          <w:p w14:paraId="73E69B94">
            <w:pPr>
              <w:jc w:val="center"/>
              <w:rPr>
                <w:rFonts w:hint="eastAsia" w:eastAsia="仿宋"/>
                <w:sz w:val="32"/>
                <w:szCs w:val="32"/>
              </w:rPr>
            </w:pPr>
            <w:r>
              <w:rPr>
                <w:rFonts w:hint="eastAsia" w:eastAsia="仿宋"/>
                <w:sz w:val="32"/>
                <w:szCs w:val="32"/>
              </w:rPr>
              <w:t>0</w:t>
            </w:r>
          </w:p>
        </w:tc>
        <w:tc>
          <w:tcPr>
            <w:tcW w:w="1660" w:type="dxa"/>
          </w:tcPr>
          <w:p w14:paraId="00BA4557">
            <w:pPr>
              <w:jc w:val="center"/>
              <w:rPr>
                <w:rFonts w:hint="eastAsia" w:eastAsia="仿宋"/>
                <w:sz w:val="32"/>
                <w:szCs w:val="32"/>
              </w:rPr>
            </w:pPr>
            <w:r>
              <w:rPr>
                <w:rFonts w:hint="eastAsia" w:eastAsia="仿宋"/>
                <w:sz w:val="32"/>
                <w:szCs w:val="32"/>
              </w:rPr>
              <w:t>0</w:t>
            </w:r>
          </w:p>
        </w:tc>
      </w:tr>
    </w:tbl>
    <w:p w14:paraId="021E0FBB">
      <w:pPr>
        <w:adjustRightInd w:val="0"/>
        <w:snapToGrid w:val="0"/>
        <w:spacing w:line="600" w:lineRule="exact"/>
        <w:rPr>
          <w:sz w:val="32"/>
          <w:szCs w:val="32"/>
          <w:lang w:val="zh-CN"/>
        </w:rPr>
      </w:pPr>
      <w:r>
        <w:rPr>
          <w:rFonts w:hint="eastAsia" w:eastAsia="楷体_GB2312"/>
          <w:b/>
          <w:sz w:val="32"/>
          <w:szCs w:val="32"/>
          <w:lang w:val="en-US" w:eastAsia="zh-CN"/>
        </w:rPr>
        <w:t xml:space="preserve">    </w:t>
      </w:r>
      <w:r>
        <w:rPr>
          <w:rFonts w:eastAsia="楷体_GB2312"/>
          <w:b/>
          <w:sz w:val="32"/>
          <w:szCs w:val="32"/>
          <w:lang w:val="zh-CN"/>
        </w:rPr>
        <w:t>（二）资金计划、到位及使用情况。</w:t>
      </w:r>
    </w:p>
    <w:p w14:paraId="1E0B43E0">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p>
    <w:p w14:paraId="52C3A2C5">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本项目批复资金20万，自筹经费0万元，项目总经费20万元。</w:t>
      </w:r>
    </w:p>
    <w:p w14:paraId="033DC85F">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w:t>
      </w:r>
    </w:p>
    <w:p w14:paraId="4A1B0B5D">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本项目批复资金20万元，现到位资金20万元，于2022年11月到位，合作单位于2023年1月15日到位。</w:t>
      </w:r>
    </w:p>
    <w:p w14:paraId="4DB1A5F6">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w:t>
      </w:r>
    </w:p>
    <w:p w14:paraId="222F19B3">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根据计划任务书研究年度研究计划，2022.01-2023.02时间段的任务为</w:t>
      </w:r>
      <w:r>
        <w:rPr>
          <w:rFonts w:hint="eastAsia" w:ascii="仿宋_GB2312" w:hAnsi="仿宋_GB2312" w:eastAsia="仿宋_GB2312" w:cs="仿宋_GB2312"/>
          <w:bCs/>
          <w:color w:val="000000"/>
          <w:sz w:val="32"/>
          <w:szCs w:val="32"/>
        </w:rPr>
        <w:t>合金元素筛选与合金成分设计以及原材料测试化验</w:t>
      </w:r>
      <w:r>
        <w:rPr>
          <w:rFonts w:hint="eastAsia" w:ascii="仿宋_GB2312" w:hAnsi="仿宋_GB2312" w:eastAsia="仿宋_GB2312" w:cs="仿宋_GB2312"/>
          <w:sz w:val="32"/>
          <w:szCs w:val="32"/>
        </w:rPr>
        <w:t>，项目研究过程中支出测试化验费950元，差旅费285.11元。实验研究严格按照计划任务书中的研究内容进度进行。资金预支付范围、支付标准、支付进度、支付依据合规合法、与预算相符。</w:t>
      </w:r>
    </w:p>
    <w:p w14:paraId="4CA3D1CB">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（三）项目财务管理情况。</w:t>
      </w:r>
    </w:p>
    <w:p w14:paraId="595916AD">
      <w:pPr>
        <w:autoSpaceDE w:val="0"/>
        <w:autoSpaceDN w:val="0"/>
        <w:adjustRightInd w:val="0"/>
        <w:spacing w:line="6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本项目由四川钒钛产业技术研究院组织实施，财物管理制度健全，设有独立财物部门，院内所有经费的预算、支付等均需严格按照《四川钒钛产业技术研究院财务管理办法》、《四川钒钛产业技术研究院预算管理办法》执行。产业技术研究院财物人员账务处理及时，会计核算规范，财物资料保存符合财务管理规定。</w:t>
      </w:r>
    </w:p>
    <w:p w14:paraId="4FC8AF6F">
      <w:pPr>
        <w:adjustRightInd w:val="0"/>
        <w:snapToGrid w:val="0"/>
        <w:spacing w:line="600" w:lineRule="exact"/>
        <w:ind w:firstLine="720"/>
        <w:rPr>
          <w:rFonts w:eastAsia="黑体"/>
          <w:sz w:val="32"/>
          <w:szCs w:val="32"/>
        </w:rPr>
      </w:pPr>
      <w:r>
        <w:rPr>
          <w:rFonts w:eastAsia="黑体"/>
          <w:sz w:val="32"/>
          <w:szCs w:val="32"/>
        </w:rPr>
        <w:t>三、项目实施及管理情况</w:t>
      </w:r>
    </w:p>
    <w:p w14:paraId="5EA248BE">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（一）项目组织架构及实施流程。</w:t>
      </w:r>
    </w:p>
    <w:p w14:paraId="18CB61A7">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组除项目负责人外共有成员7人，分别负责实验研究与应用研究。项目组根据计划任务书制定的实验方案和研究内容，前期基础研究部分在重庆大学积极开展。经研究合金的热力学性质以及界面结构和微观形态的演化规律后，设计出目标合金成分到合作单位开展后续应用研究。</w:t>
      </w:r>
    </w:p>
    <w:p w14:paraId="2C0F99A7">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项目资金使用严格遵守《四川钒钛产业技术研究院财务管理办法》、《四川钒钛产业技术研究院预算管理办法》，按照研究院规定的审批及报销流程严格实施。</w:t>
      </w:r>
    </w:p>
    <w:p w14:paraId="16A588C8">
      <w:pPr>
        <w:adjustRightInd w:val="0"/>
        <w:snapToGrid w:val="0"/>
        <w:spacing w:line="600" w:lineRule="exact"/>
        <w:ind w:firstLine="720"/>
        <w:rPr>
          <w:sz w:val="32"/>
          <w:szCs w:val="32"/>
          <w:lang w:val="zh-CN"/>
        </w:rPr>
      </w:pPr>
      <w:r>
        <w:rPr>
          <w:rFonts w:eastAsia="楷体_GB2312"/>
          <w:b/>
          <w:sz w:val="32"/>
          <w:szCs w:val="32"/>
          <w:lang w:val="zh-CN"/>
        </w:rPr>
        <w:t>（二）项目管理情况。</w:t>
      </w:r>
    </w:p>
    <w:p w14:paraId="403C75D9">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在实验过程中需要完成耗材的招投标工作。本项目中涉及的耗材招投标工作一律在攀枝花学院工作平台系统中进行，由耗材需求方在平台上发布需求，投标方随后给出价格并进行比选，价格最低者即为中标者。整个过程全部公开、透明。</w:t>
      </w:r>
    </w:p>
    <w:p w14:paraId="6A04CAB1">
      <w:pPr>
        <w:adjustRightInd w:val="0"/>
        <w:snapToGrid w:val="0"/>
        <w:spacing w:line="600" w:lineRule="exact"/>
        <w:ind w:firstLine="720"/>
        <w:rPr>
          <w:sz w:val="32"/>
          <w:szCs w:val="32"/>
          <w:lang w:val="zh-CN"/>
        </w:rPr>
      </w:pPr>
      <w:r>
        <w:rPr>
          <w:rFonts w:eastAsia="楷体_GB2312"/>
          <w:b/>
          <w:sz w:val="32"/>
          <w:szCs w:val="32"/>
          <w:lang w:val="zh-CN"/>
        </w:rPr>
        <w:t>（三）项目监管情况。</w:t>
      </w:r>
    </w:p>
    <w:p w14:paraId="5A3EDA21">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一是强化市级主管部门监管。攀枝花市科技局定期不定期采取现场考察、听取汇报等方式动态跟进相关项目实施情况，并协调解决项目执行中存在的问题。</w:t>
      </w:r>
      <w:r>
        <w:rPr>
          <w:rFonts w:hint="eastAsia" w:ascii="仿宋_GB2312" w:hAnsi="仿宋_GB2312" w:eastAsia="仿宋_GB2312" w:cs="仿宋_GB2312"/>
          <w:sz w:val="32"/>
          <w:szCs w:val="32"/>
          <w:lang w:eastAsia="zh-CN"/>
        </w:rPr>
        <w:t>二是加强承担单位监管。</w:t>
      </w:r>
      <w:r>
        <w:rPr>
          <w:rFonts w:hint="eastAsia" w:ascii="仿宋_GB2312" w:hAnsi="仿宋_GB2312" w:eastAsia="仿宋_GB2312" w:cs="仿宋_GB2312"/>
          <w:sz w:val="32"/>
          <w:szCs w:val="32"/>
        </w:rPr>
        <w:t>四川钒钛产业技术研究院制订了完整而齐备的项目资金使用管理方法、实验室安全管理办法等保证了实验项目在有法可依有据可行的条件下开展；同时，钒钛产业技术研究院对实验室安全管理负责，每月一次安全检查，安全监督到位；钒钛产业技术研究院每月一次检查项目开展情况，督促项目按进度正常实施。</w:t>
      </w:r>
    </w:p>
    <w:p w14:paraId="2EE9FDF4">
      <w:pPr>
        <w:adjustRightInd w:val="0"/>
        <w:snapToGrid w:val="0"/>
        <w:spacing w:line="600" w:lineRule="exact"/>
        <w:ind w:firstLine="720"/>
        <w:rPr>
          <w:sz w:val="32"/>
          <w:szCs w:val="32"/>
          <w:lang w:val="zh-CN"/>
        </w:rPr>
      </w:pPr>
      <w:r>
        <w:rPr>
          <w:rFonts w:eastAsia="黑体"/>
          <w:sz w:val="32"/>
          <w:szCs w:val="32"/>
        </w:rPr>
        <w:t>四、项目绩效情况</w:t>
      </w:r>
      <w:r>
        <w:rPr>
          <w:sz w:val="32"/>
          <w:szCs w:val="32"/>
          <w:lang w:val="zh-CN"/>
        </w:rPr>
        <w:tab/>
      </w:r>
    </w:p>
    <w:p w14:paraId="11BD176B">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（一）项目完成情况。</w:t>
      </w:r>
    </w:p>
    <w:p w14:paraId="72CE07A7">
      <w:pPr>
        <w:pStyle w:val="16"/>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2022年1月-2022年3月：通过第一性原理研究Al、Cr、Mn、Co、Ni、Cu、V、Zr、Nb、Mo十种元素在TiFe析出相中置换固溶时的占位情况。 </w:t>
      </w:r>
    </w:p>
    <w:p w14:paraId="0D1194B9">
      <w:pPr>
        <w:pStyle w:val="16"/>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预期目标：选择Ti-Fe钛合金体系所研究的合金元素范围，确定各种合金元素在TiFe相中置换固溶的位点。</w:t>
      </w:r>
    </w:p>
    <w:p w14:paraId="0C08AC84">
      <w:pPr>
        <w:pStyle w:val="16"/>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2022年4月-2022年8月：研究Al、Cr、Mn、Co、Ni、Cu、Mo、V八种合金元素在Ti/TiFe界面中的元素偏析行为，分析影响元素偏析位置的因素。研究合金元素对Ti/TiFe界面</w:t>
      </w:r>
    </w:p>
    <w:p w14:paraId="491E4406">
      <w:pPr>
        <w:pStyle w:val="16"/>
        <w:ind w:firstLine="640" w:firstLineChars="200"/>
        <w:rPr>
          <w:rFonts w:hint="eastAsia" w:eastAsia="仿宋"/>
          <w:sz w:val="32"/>
          <w:szCs w:val="32"/>
          <w:lang w:eastAsia="zh-CN"/>
        </w:rPr>
      </w:pPr>
      <w:r>
        <w:rPr>
          <w:rFonts w:hint="eastAsia" w:ascii="仿宋_GB2312" w:hAnsi="仿宋_GB2312" w:eastAsia="仿宋_GB2312" w:cs="仿宋_GB2312"/>
          <w:kern w:val="2"/>
          <w:sz w:val="32"/>
          <w:szCs w:val="32"/>
          <w:lang w:val="en-US" w:eastAsia="zh-CN" w:bidi="ar-SA"/>
        </w:rPr>
        <w:t>预期目标：确定合金元素偏析状况，筛选出界面偏析并能够强化Ti/TiFe界面的合金元素。</w:t>
      </w:r>
    </w:p>
    <w:p w14:paraId="6256092D">
      <w:pPr>
        <w:pStyle w:val="16"/>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2022年9月-2022年12月：研究Al、Cr、Mn、Co、Ni、Cu、Mo、V、Fe九种合金元素在Ti中的元素扩散行为，并根据扩散动力学分析研究合金元素对TiFe析出相尺寸影响。 </w:t>
      </w:r>
    </w:p>
    <w:p w14:paraId="3F56EAF2">
      <w:pPr>
        <w:pStyle w:val="16"/>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预期目标：筛选出能够细化TiFe相尺寸的合金元素，撰写学通过术论文1篇。</w:t>
      </w:r>
    </w:p>
    <w:p w14:paraId="450674FA">
      <w:pPr>
        <w:pStyle w:val="16"/>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2023年1月-2023第2月：选择Ti-Fe-Al-Mo-Zr五种元素进行热力学相图计算，研究不同成分以及不同温度下的相变化。</w:t>
      </w:r>
    </w:p>
    <w:p w14:paraId="0F511FDB">
      <w:pPr>
        <w:pStyle w:val="16"/>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预期目标：结合热力力学计算结果，设计出合适的Ti-Fe系钛合金成分并确定钛合金合适的热处理制度。</w:t>
      </w:r>
    </w:p>
    <w:p w14:paraId="097880E4">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（二）项目效益情况。</w:t>
      </w:r>
    </w:p>
    <w:p w14:paraId="025194A3">
      <w:pPr>
        <w:pStyle w:val="16"/>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项目通过实施，可以提高项目成员的研发能力，推动当地经济社会的发展。另外，本项目研发的新材料主要应用在飞机机匣、整体叶环以及活塞杆等关键结构部位，有望实现发动机更高的推重比，从而为进一步提高我国航空航天技术的发展水平做出贡献。本研究发表的学术论文和申请的发明专利可为相关研究提供借鉴，促进科技进步。</w:t>
      </w:r>
    </w:p>
    <w:p w14:paraId="03F26BCC">
      <w:pPr>
        <w:adjustRightInd w:val="0"/>
        <w:snapToGrid w:val="0"/>
        <w:spacing w:line="600" w:lineRule="exact"/>
        <w:ind w:firstLine="720"/>
        <w:rPr>
          <w:rFonts w:eastAsia="黑体"/>
          <w:sz w:val="32"/>
          <w:szCs w:val="32"/>
        </w:rPr>
      </w:pPr>
      <w:r>
        <w:rPr>
          <w:rFonts w:eastAsia="黑体"/>
          <w:sz w:val="32"/>
          <w:szCs w:val="32"/>
        </w:rPr>
        <w:t>五、评价结论及建议</w:t>
      </w:r>
    </w:p>
    <w:p w14:paraId="7886AB36">
      <w:pPr>
        <w:adjustRightInd w:val="0"/>
        <w:snapToGrid w:val="0"/>
        <w:spacing w:line="600" w:lineRule="exact"/>
        <w:ind w:firstLine="720"/>
        <w:rPr>
          <w:rFonts w:eastAsia="楷体_GB2312"/>
          <w:b/>
          <w:sz w:val="32"/>
          <w:szCs w:val="32"/>
          <w:lang w:val="zh-CN"/>
        </w:rPr>
      </w:pPr>
      <w:r>
        <w:rPr>
          <w:rFonts w:eastAsia="楷体_GB2312"/>
          <w:b/>
          <w:sz w:val="32"/>
          <w:szCs w:val="32"/>
          <w:lang w:val="zh-CN"/>
        </w:rPr>
        <w:t>（一）评价结论。</w:t>
      </w:r>
    </w:p>
    <w:p w14:paraId="44B7A800">
      <w:pPr>
        <w:pStyle w:val="16"/>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项目针对实现钛合金强韧一体化，同时降低钛合金成本的需求，研发的新材料产品主要应用在飞机机匣、整体叶环以及活塞杆等关键结构部位，有望实现发动机更高的推重比。项目研究内容具体，绩效目标明确，计划进度安排合理，项目资金使用规范。项目组根据计划进度有序开展项目研究内容，计划任务书中制定的2022年度研究内容、研究目标完成率超过60%，后期加快推进本项目的应用研究。</w:t>
      </w:r>
    </w:p>
    <w:p w14:paraId="009A11ED">
      <w:pPr>
        <w:adjustRightInd w:val="0"/>
        <w:snapToGrid w:val="0"/>
        <w:spacing w:line="600" w:lineRule="exact"/>
        <w:ind w:firstLine="720"/>
        <w:rPr>
          <w:rFonts w:eastAsia="楷体_GB2312"/>
          <w:b/>
          <w:sz w:val="32"/>
          <w:szCs w:val="32"/>
          <w:lang w:val="zh-CN"/>
        </w:rPr>
      </w:pPr>
      <w:r>
        <w:rPr>
          <w:rFonts w:eastAsia="楷体_GB2312"/>
          <w:b/>
          <w:sz w:val="32"/>
          <w:szCs w:val="32"/>
          <w:lang w:val="zh-CN"/>
        </w:rPr>
        <w:t>（二）存在的问题。</w:t>
      </w:r>
    </w:p>
    <w:p w14:paraId="4E1C9424">
      <w:pPr>
        <w:pStyle w:val="16"/>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本项目实验室研究工作按年度计划正常开展，2022年新冠疫情假期实验室诸多检测设备不开放，学生不能在学校推进试样研究，对实验进度有一定的影响，目前开展的工作中以计算机模拟部分居多。</w:t>
      </w:r>
    </w:p>
    <w:p w14:paraId="3B6C5394">
      <w:pPr>
        <w:adjustRightInd w:val="0"/>
        <w:snapToGrid w:val="0"/>
        <w:spacing w:line="600" w:lineRule="exact"/>
        <w:ind w:firstLine="720"/>
        <w:rPr>
          <w:rFonts w:eastAsia="楷体_GB2312"/>
          <w:b/>
          <w:sz w:val="32"/>
          <w:szCs w:val="32"/>
          <w:lang w:val="zh-CN"/>
        </w:rPr>
      </w:pPr>
      <w:r>
        <w:rPr>
          <w:rFonts w:eastAsia="楷体_GB2312"/>
          <w:b/>
          <w:sz w:val="32"/>
          <w:szCs w:val="32"/>
          <w:lang w:val="zh-CN"/>
        </w:rPr>
        <w:t>（三）相关建议。</w:t>
      </w:r>
    </w:p>
    <w:p w14:paraId="5837E1CA">
      <w:pPr>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无</w:t>
      </w:r>
    </w:p>
    <w:p w14:paraId="12947C44">
      <w:pPr>
        <w:widowControl/>
        <w:jc w:val="left"/>
        <w:rPr>
          <w:rStyle w:val="32"/>
          <w:rFonts w:ascii="黑体" w:hAnsi="黑体" w:eastAsia="黑体"/>
          <w:b w:val="0"/>
        </w:rPr>
      </w:pPr>
      <w:r>
        <w:rPr>
          <w:rStyle w:val="32"/>
          <w:rFonts w:ascii="黑体" w:hAnsi="黑体" w:eastAsia="黑体"/>
          <w:b w:val="0"/>
        </w:rPr>
        <w:br w:type="page"/>
      </w:r>
    </w:p>
    <w:p w14:paraId="66FE331D">
      <w:pPr>
        <w:pStyle w:val="38"/>
        <w:spacing w:line="578"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2023年市级专项资金预算项目绩效自评报告</w:t>
      </w:r>
    </w:p>
    <w:p w14:paraId="4F22412A">
      <w:pPr>
        <w:pStyle w:val="38"/>
        <w:spacing w:line="578" w:lineRule="exact"/>
        <w:jc w:val="center"/>
        <w:rPr>
          <w:rFonts w:hint="eastAsia" w:ascii="方正小标宋简体" w:hAnsi="方正小标宋简体" w:eastAsia="方正小标宋简体" w:cs="方正小标宋简体"/>
          <w:color w:val="auto"/>
          <w:kern w:val="2"/>
          <w:sz w:val="32"/>
          <w:szCs w:val="32"/>
          <w:lang w:val="en-US" w:eastAsia="zh-CN"/>
        </w:rPr>
      </w:pPr>
      <w:r>
        <w:rPr>
          <w:rFonts w:hint="eastAsia" w:ascii="方正小标宋简体" w:hAnsi="方正小标宋简体" w:eastAsia="方正小标宋简体" w:cs="方正小标宋简体"/>
          <w:color w:val="auto"/>
          <w:kern w:val="2"/>
          <w:sz w:val="32"/>
          <w:szCs w:val="32"/>
          <w:lang w:val="en-US" w:eastAsia="zh-CN"/>
        </w:rPr>
        <w:t>（型材轧制关键锻钢轧辊再制造用钒钛熔覆材料制备关键技术）</w:t>
      </w:r>
    </w:p>
    <w:p w14:paraId="6D738DB7">
      <w:pPr>
        <w:adjustRightInd w:val="0"/>
        <w:snapToGrid w:val="0"/>
        <w:spacing w:line="600" w:lineRule="exact"/>
        <w:ind w:firstLine="720"/>
        <w:rPr>
          <w:rFonts w:eastAsia="黑体"/>
          <w:sz w:val="32"/>
          <w:szCs w:val="32"/>
        </w:rPr>
      </w:pPr>
    </w:p>
    <w:p w14:paraId="1CDD6BA5">
      <w:pPr>
        <w:adjustRightInd w:val="0"/>
        <w:snapToGrid w:val="0"/>
        <w:spacing w:line="600" w:lineRule="exact"/>
        <w:ind w:firstLine="720"/>
        <w:rPr>
          <w:rFonts w:eastAsia="黑体"/>
          <w:sz w:val="32"/>
          <w:szCs w:val="32"/>
          <w:lang w:val="zh-CN"/>
        </w:rPr>
      </w:pPr>
      <w:r>
        <w:rPr>
          <w:rFonts w:eastAsia="黑体"/>
          <w:sz w:val="32"/>
          <w:szCs w:val="32"/>
        </w:rPr>
        <w:t>一、</w:t>
      </w:r>
      <w:r>
        <w:rPr>
          <w:rFonts w:eastAsia="黑体"/>
          <w:sz w:val="32"/>
          <w:szCs w:val="32"/>
          <w:lang w:val="zh-CN"/>
        </w:rPr>
        <w:t>项目概况</w:t>
      </w:r>
    </w:p>
    <w:p w14:paraId="7D68F0AD">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（一）项目基本情况。</w:t>
      </w:r>
    </w:p>
    <w:p w14:paraId="5E245752">
      <w:pPr>
        <w:adjustRightInd w:val="0"/>
        <w:snapToGrid w:val="0"/>
        <w:spacing w:line="600" w:lineRule="exact"/>
        <w:ind w:firstLine="720"/>
        <w:rPr>
          <w:sz w:val="32"/>
          <w:szCs w:val="32"/>
          <w:lang w:val="zh-CN"/>
        </w:rPr>
      </w:pPr>
      <w:r>
        <w:rPr>
          <w:sz w:val="32"/>
          <w:szCs w:val="32"/>
          <w:lang w:val="zh-CN"/>
        </w:rPr>
        <w:t>1．说明项目主管部门（单位）在该项目管理中的职能。</w:t>
      </w:r>
    </w:p>
    <w:p w14:paraId="386EBECC">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攀枝花市科学技术局作为“</w:t>
      </w:r>
      <w:r>
        <w:rPr>
          <w:rFonts w:hint="eastAsia" w:ascii="仿宋_GB2312" w:hAnsi="仿宋_GB2312" w:eastAsia="仿宋_GB2312" w:cs="仿宋_GB2312"/>
          <w:sz w:val="32"/>
          <w:szCs w:val="32"/>
        </w:rPr>
        <w:t>低成本高强韧钛合金材料制备关键技术研究</w:t>
      </w:r>
      <w:r>
        <w:rPr>
          <w:rFonts w:hint="eastAsia" w:ascii="仿宋_GB2312" w:hAnsi="仿宋_GB2312" w:eastAsia="仿宋_GB2312" w:cs="仿宋_GB2312"/>
          <w:sz w:val="32"/>
          <w:szCs w:val="32"/>
          <w:lang w:eastAsia="zh-CN"/>
        </w:rPr>
        <w:t>”项目的主管单位，在项目管理中的职能主要有：一是加强项目监督管理。采用定期与不定期相结合的方式，到项目现场检查项目推进情况、安全管理等内容，督促项目实施按计划任务推进。二是加强项目实施指导。帮助项目承担单位协调解决项目实施过程中遇到的困难及问题，邀请相关领域专家为项目答疑解惑，指导项目顺利实施。三是加强沟通交流。建立联系机制，与项目承担单位保持畅通联系，了解项目承担单位需求，随时掌握项目推进情况，提高项目管理效率。</w:t>
      </w:r>
    </w:p>
    <w:p w14:paraId="0902C53C">
      <w:pPr>
        <w:numPr>
          <w:ilvl w:val="0"/>
          <w:numId w:val="0"/>
        </w:numPr>
        <w:adjustRightInd w:val="0"/>
        <w:snapToGrid w:val="0"/>
        <w:spacing w:line="600" w:lineRule="exact"/>
        <w:rPr>
          <w:rFonts w:hint="eastAsia" w:ascii="仿宋_GB2312" w:hAnsi="仿宋_GB2312" w:eastAsia="仿宋_GB2312" w:cs="仿宋_GB2312"/>
          <w:sz w:val="32"/>
          <w:szCs w:val="32"/>
          <w:lang w:val="zh-CN"/>
        </w:rPr>
      </w:pPr>
      <w:r>
        <w:rPr>
          <w:rFonts w:hint="eastAsia"/>
          <w:sz w:val="32"/>
          <w:szCs w:val="32"/>
          <w:lang w:val="en-US" w:eastAsia="zh-CN"/>
        </w:rPr>
        <w:t xml:space="preserve">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项目立项、资金申报的依据。</w:t>
      </w:r>
    </w:p>
    <w:p w14:paraId="23F0EF0A">
      <w:pPr>
        <w:autoSpaceDE w:val="0"/>
        <w:autoSpaceDN w:val="0"/>
        <w:adjustRightInd w:val="0"/>
        <w:spacing w:line="6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（1）立项依据</w:t>
      </w:r>
    </w:p>
    <w:p w14:paraId="3D9289E5">
      <w:pPr>
        <w:wordWrap w:val="0"/>
        <w:spacing w:line="300" w:lineRule="auto"/>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锻钢轧辊是圆钢、工字钢、槽钢、H型钢及重轨钢等型材轧制的关键部件，服役于苛刻的热轧环境，应力变化过程中复杂孔型结构的不同部位性能要求对熔覆层硬度、耐高温磨损等综合性能提出了更高的要求。熔覆材料沿用的热喷涂合金粉末体系难以满足服役环境苛刻的型材轧制锻钢轧辊修复需求，研制专用熔覆材料极为必要。</w:t>
      </w:r>
    </w:p>
    <w:p w14:paraId="4EE7BC38">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专用熔覆材料的研发和制备一直是制约激光修复技术进一步拓展应用的重要因素，当前尚无激光修复型材轧制关键部件锻钢轧辊的专用粉体材料。</w:t>
      </w:r>
      <w:r>
        <w:rPr>
          <w:rFonts w:hint="eastAsia" w:ascii="仿宋_GB2312" w:hAnsi="仿宋_GB2312" w:eastAsia="仿宋_GB2312" w:cs="仿宋_GB2312"/>
          <w:bCs/>
          <w:kern w:val="0"/>
          <w:sz w:val="32"/>
          <w:szCs w:val="32"/>
        </w:rPr>
        <w:t>本项目基于型材轧制关键部件锻钢轧辊失效分析，通过成分设计、在熔覆层中形成兼具韧性相和强化相的复相组织，研发适用于锻钢轧辊激光熔覆再制造的含钒钛熔覆材料，</w:t>
      </w:r>
      <w:r>
        <w:rPr>
          <w:rFonts w:hint="eastAsia" w:ascii="仿宋_GB2312" w:hAnsi="仿宋_GB2312" w:eastAsia="仿宋_GB2312" w:cs="仿宋_GB2312"/>
          <w:sz w:val="32"/>
          <w:szCs w:val="32"/>
        </w:rPr>
        <w:t>填补为工业关键部件修复及再制造研发、生产专用含钒钛熔覆粉体材料的空白，首次在本地通过激光修复型材轧制关键部件锻钢轧辊，使其成本低于目前采用埋弧堆焊技术的修复成本，解决现有修复方法中存在的周期长、能耗高、作业环境不友好等问题，更重要的是还可降低碳排放，还可以本项目研究成果作为基础，继续研发其它类型工业关键修复及再制造所需的专用含钒钛粉体材料。因此，实施本项目意义重大。</w:t>
      </w:r>
    </w:p>
    <w:p w14:paraId="2BDE74E9">
      <w:pPr>
        <w:autoSpaceDE w:val="0"/>
        <w:autoSpaceDN w:val="0"/>
        <w:adjustRightInd w:val="0"/>
        <w:spacing w:line="600" w:lineRule="exact"/>
        <w:ind w:firstLine="4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（2）资金申报依据</w:t>
      </w:r>
    </w:p>
    <w:p w14:paraId="7DCDF58A">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项目资金申报严格按照《四川省科技计划项目专项资金管理办法》（川财规[2019]10号）《攀枝花市科技专项资金管理暂行办法》（攀财教［2018］1号）</w:t>
      </w:r>
      <w:r>
        <w:rPr>
          <w:rFonts w:hint="eastAsia" w:ascii="仿宋_GB2312" w:hAnsi="仿宋_GB2312" w:eastAsia="仿宋_GB2312" w:cs="仿宋_GB2312"/>
          <w:color w:val="auto"/>
          <w:sz w:val="32"/>
          <w:szCs w:val="32"/>
          <w:lang w:eastAsia="zh-CN"/>
        </w:rPr>
        <w:t>《关于下达</w:t>
      </w:r>
      <w:r>
        <w:rPr>
          <w:rFonts w:hint="eastAsia" w:ascii="仿宋_GB2312" w:hAnsi="仿宋_GB2312" w:eastAsia="仿宋_GB2312" w:cs="仿宋_GB2312"/>
          <w:color w:val="auto"/>
          <w:sz w:val="32"/>
          <w:szCs w:val="32"/>
          <w:lang w:val="en-US" w:eastAsia="zh-CN"/>
        </w:rPr>
        <w:t>2020年度第二批攀枝花市市级科技计划项目和财政科技专项资金计划的通知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攀科发〔2020〕74号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规定的资金使用范围和标准，在项目立项后重新编制资金概算总表。</w:t>
      </w:r>
    </w:p>
    <w:p w14:paraId="0727E616">
      <w:pPr>
        <w:numPr>
          <w:ilvl w:val="0"/>
          <w:numId w:val="5"/>
        </w:numPr>
        <w:adjustRightInd w:val="0"/>
        <w:snapToGrid w:val="0"/>
        <w:spacing w:line="600" w:lineRule="exact"/>
        <w:ind w:left="0" w:leftChars="0" w:firstLine="720" w:firstLineChars="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资金管理办法制定情况，资金支持具体项目的条件、范围与支持方式概况。</w:t>
      </w:r>
    </w:p>
    <w:p w14:paraId="7E654DF9">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项目承担单位四川钒钛产业技术研究院有专门的财务部门，健全的财务制度，根据国家、省、市相关科技项目专项资金管理办法制定有《四川钒钛产业技术研究院研发项目管理办法》、《四川钒钛产业技术研究院科技计划项目资金管理办法》等专项项目资金管理办法并严格按照制度执行。</w:t>
      </w:r>
    </w:p>
    <w:p w14:paraId="400A12EE">
      <w:pPr>
        <w:adjustRightInd w:val="0"/>
        <w:snapToGrid w:val="0"/>
        <w:spacing w:line="600" w:lineRule="exact"/>
        <w:ind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项目专项资金严格按照项目经费预算，在预算范围和科研经费使用范围内根据项目实施的具体情况使用，本项目资金为前补助资金。</w:t>
      </w:r>
    </w:p>
    <w:p w14:paraId="50821965">
      <w:pPr>
        <w:numPr>
          <w:ilvl w:val="0"/>
          <w:numId w:val="0"/>
        </w:numPr>
        <w:adjustRightInd w:val="0"/>
        <w:snapToGrid w:val="0"/>
        <w:spacing w:line="600" w:lineRule="exact"/>
        <w:ind w:left="720" w:leftChars="0"/>
        <w:rPr>
          <w:rFonts w:hint="eastAsia" w:ascii="仿宋_GB2312" w:hAnsi="仿宋_GB2312" w:eastAsia="仿宋_GB2312" w:cs="仿宋_GB2312"/>
          <w:sz w:val="32"/>
          <w:szCs w:val="32"/>
          <w:lang w:val="zh-CN"/>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zh-CN"/>
        </w:rPr>
        <w:t>资金分配的原则及考虑因素。</w:t>
      </w:r>
    </w:p>
    <w:p w14:paraId="6C09D1CB">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资金分配和使用原则严格按照《攀枝花市科技专项资金管理暂行办法》（攀财教［2018］1号）</w:t>
      </w:r>
      <w:r>
        <w:rPr>
          <w:rFonts w:hint="eastAsia" w:ascii="仿宋_GB2312" w:hAnsi="仿宋_GB2312" w:eastAsia="仿宋_GB2312" w:cs="仿宋_GB2312"/>
          <w:color w:val="auto"/>
          <w:sz w:val="32"/>
          <w:szCs w:val="32"/>
          <w:lang w:eastAsia="zh-CN"/>
        </w:rPr>
        <w:t>《关于下达</w:t>
      </w:r>
      <w:r>
        <w:rPr>
          <w:rFonts w:hint="eastAsia" w:ascii="仿宋_GB2312" w:hAnsi="仿宋_GB2312" w:eastAsia="仿宋_GB2312" w:cs="仿宋_GB2312"/>
          <w:color w:val="auto"/>
          <w:sz w:val="32"/>
          <w:szCs w:val="32"/>
          <w:lang w:val="en-US" w:eastAsia="zh-CN"/>
        </w:rPr>
        <w:t>2020年度第二批攀枝花市市级科技计划项目和财政科技专项资金计划的通知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攀科发〔2020〕74号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及《四川钒钛产业技术研究院科技专项资金管理暂行办法》等办法执行。资金分配上考虑把资金更多放在直接费用上，提高资金使用效率。在具体实施过程中，资金总额为20万元，直接费用为14.8万元，其中材料费5万元、检测费4万元。</w:t>
      </w:r>
    </w:p>
    <w:p w14:paraId="71D0BA89">
      <w:pPr>
        <w:adjustRightInd w:val="0"/>
        <w:snapToGrid w:val="0"/>
        <w:spacing w:line="600" w:lineRule="exact"/>
        <w:ind w:firstLine="720"/>
        <w:rPr>
          <w:rFonts w:eastAsia="楷体_GB2312"/>
          <w:b/>
          <w:sz w:val="32"/>
          <w:szCs w:val="32"/>
          <w:lang w:val="zh-CN"/>
        </w:rPr>
      </w:pPr>
      <w:r>
        <w:rPr>
          <w:rFonts w:eastAsia="楷体_GB2312"/>
          <w:b/>
          <w:sz w:val="32"/>
          <w:szCs w:val="32"/>
          <w:lang w:val="zh-CN"/>
        </w:rPr>
        <w:t>（二）项目绩效目标。</w:t>
      </w:r>
    </w:p>
    <w:p w14:paraId="3E4C0AAE">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14:paraId="33E19D45">
      <w:pPr>
        <w:spacing w:line="360" w:lineRule="auto"/>
        <w:ind w:firstLine="562"/>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熔覆材料成分设计</w:t>
      </w:r>
    </w:p>
    <w:p w14:paraId="77709AAB">
      <w:pPr>
        <w:pStyle w:val="16"/>
        <w:numPr>
          <w:ilvl w:val="0"/>
          <w:numId w:val="0"/>
        </w:numPr>
        <w:spacing w:after="0" w:line="360" w:lineRule="auto"/>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基于型材轧制用锻钢轧辊</w:t>
      </w:r>
      <w:r>
        <w:rPr>
          <w:rFonts w:hint="eastAsia" w:ascii="仿宋_GB2312" w:hAnsi="仿宋_GB2312" w:eastAsia="仿宋_GB2312" w:cs="仿宋_GB2312"/>
          <w:sz w:val="32"/>
          <w:szCs w:val="32"/>
          <w:lang w:bidi="ar"/>
        </w:rPr>
        <w:t>在服役过程中的受力分析，研究</w:t>
      </w:r>
      <w:r>
        <w:rPr>
          <w:rFonts w:hint="eastAsia" w:ascii="仿宋_GB2312" w:hAnsi="仿宋_GB2312" w:eastAsia="仿宋_GB2312" w:cs="仿宋_GB2312"/>
          <w:sz w:val="32"/>
          <w:szCs w:val="32"/>
        </w:rPr>
        <w:t>其在热轧环境中的表面微观组织特征及轧辊失效机理，设计合金组元成分，形成兼有韧性相和强化相的复相熔覆层组织，研究快速凝固过程中强化相的析出种类、含量演变规律；研究强化相和韧性相的相互作用关系，获得V、Ti等合金组元在强化相中的分配规律。</w:t>
      </w:r>
    </w:p>
    <w:p w14:paraId="7B3FEBA1">
      <w:pPr>
        <w:pStyle w:val="16"/>
        <w:numPr>
          <w:ilvl w:val="0"/>
          <w:numId w:val="6"/>
        </w:numPr>
        <w:spacing w:after="0" w:line="360" w:lineRule="auto"/>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含钒钛熔覆材料制备</w:t>
      </w:r>
    </w:p>
    <w:p w14:paraId="4ECFAA96">
      <w:pPr>
        <w:spacing w:line="360" w:lineRule="auto"/>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本项目采用气雾化技术制备所设计的熔覆材料，针对其中熔炼和气雾化过程重点研究：</w:t>
      </w:r>
    </w:p>
    <w:p w14:paraId="45B4AC66">
      <w:pPr>
        <w:pStyle w:val="55"/>
        <w:numPr>
          <w:ilvl w:val="0"/>
          <w:numId w:val="0"/>
        </w:numPr>
        <w:spacing w:line="360" w:lineRule="auto"/>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V</w:t>
      </w:r>
      <w:r>
        <w:rPr>
          <w:rFonts w:hint="eastAsia" w:ascii="仿宋_GB2312" w:hAnsi="仿宋_GB2312" w:eastAsia="仿宋_GB2312" w:cs="仿宋_GB2312"/>
          <w:color w:val="000000"/>
          <w:sz w:val="32"/>
          <w:szCs w:val="32"/>
        </w:rPr>
        <w:t>、Ti等合金组元的中间合金种类及其含量、添加方式等对熔点、粘度的影响，获得熔体物性参数对其流动过程的影响规律；</w:t>
      </w:r>
    </w:p>
    <w:p w14:paraId="17BAEBB2">
      <w:pPr>
        <w:pStyle w:val="55"/>
        <w:numPr>
          <w:ilvl w:val="0"/>
          <w:numId w:val="0"/>
        </w:numPr>
        <w:spacing w:line="360" w:lineRule="auto"/>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通过雾化过程中气-液两相流计算，研究导流管长径比、伸出量、环缝及环孔结构对含钒钛熔覆材料球形度和粒度分布的影响规律，优化流道和喷盘气口结构；</w:t>
      </w:r>
    </w:p>
    <w:p w14:paraId="3E659CF2">
      <w:pPr>
        <w:pStyle w:val="55"/>
        <w:numPr>
          <w:ilvl w:val="0"/>
          <w:numId w:val="0"/>
        </w:numPr>
        <w:spacing w:line="360" w:lineRule="auto"/>
        <w:ind w:firstLine="960" w:firstLineChars="300"/>
        <w:rPr>
          <w:rFonts w:hint="eastAsia" w:ascii="仿宋_GB2312" w:hAnsi="仿宋_GB2312" w:eastAsia="仿宋_GB2312" w:cs="仿宋_GB2312"/>
          <w:b w:val="0"/>
          <w:bCs/>
          <w:sz w:val="32"/>
          <w:szCs w:val="32"/>
        </w:rPr>
      </w:pPr>
      <w:r>
        <w:rPr>
          <w:rFonts w:hint="eastAsia" w:ascii="仿宋_GB2312" w:hAnsi="仿宋_GB2312" w:eastAsia="仿宋_GB2312" w:cs="仿宋_GB2312"/>
          <w:color w:val="000000"/>
          <w:sz w:val="32"/>
          <w:szCs w:val="32"/>
        </w:rPr>
        <w:t>研究过热度、喷吹压力对含钒钛熔覆材料粒度分布、流动性及球形度的影响，优化气雾化制粉的制备工艺参数。</w:t>
      </w:r>
    </w:p>
    <w:p w14:paraId="5492EFC8">
      <w:pPr>
        <w:pStyle w:val="16"/>
        <w:numPr>
          <w:ilvl w:val="0"/>
          <w:numId w:val="6"/>
        </w:numPr>
        <w:spacing w:after="0" w:line="360" w:lineRule="auto"/>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含钒钛</w:t>
      </w:r>
      <w:r>
        <w:rPr>
          <w:rFonts w:hint="eastAsia" w:ascii="仿宋_GB2312" w:hAnsi="仿宋_GB2312" w:eastAsia="仿宋_GB2312" w:cs="仿宋_GB2312"/>
          <w:b w:val="0"/>
          <w:bCs/>
          <w:color w:val="000000"/>
          <w:sz w:val="32"/>
          <w:szCs w:val="32"/>
        </w:rPr>
        <w:t>熔覆材料修复锻钢轧辊</w:t>
      </w:r>
    </w:p>
    <w:p w14:paraId="3B59257C">
      <w:pPr>
        <w:pStyle w:val="55"/>
        <w:spacing w:line="360"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以自制的含钒钛粉体为熔覆材料，通过激光熔覆修复攀钢集团攀枝花钢钒有限公司轨梁厂失效的热轧锻钢轧辊，使熔覆层的综合性能满足要求，此过程中重点研究：</w:t>
      </w:r>
    </w:p>
    <w:p w14:paraId="54B4BBB9">
      <w:pPr>
        <w:spacing w:line="360" w:lineRule="auto"/>
        <w:ind w:firstLine="56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激光熔</w:t>
      </w:r>
      <w:r>
        <w:rPr>
          <w:rFonts w:hint="eastAsia" w:ascii="仿宋_GB2312" w:hAnsi="仿宋_GB2312" w:eastAsia="仿宋_GB2312" w:cs="仿宋_GB2312"/>
          <w:color w:val="000000"/>
          <w:sz w:val="32"/>
          <w:szCs w:val="32"/>
        </w:rPr>
        <w:t>覆功率、扫描速度、送粉速率对熔覆层显微组织及硬度、高温摩擦磨损、冲击性能的影响，优化激光熔覆工艺参数；</w:t>
      </w:r>
    </w:p>
    <w:p w14:paraId="0278A1FD">
      <w:pPr>
        <w:pStyle w:val="55"/>
        <w:spacing w:line="360" w:lineRule="auto"/>
        <w:ind w:firstLine="560"/>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sz w:val="32"/>
          <w:szCs w:val="32"/>
        </w:rPr>
        <w:t>高能量激光束作用下熔覆材料的凝固过程，揭示</w:t>
      </w:r>
      <w:r>
        <w:rPr>
          <w:rFonts w:hint="eastAsia" w:ascii="仿宋_GB2312" w:hAnsi="仿宋_GB2312" w:eastAsia="仿宋_GB2312" w:cs="仿宋_GB2312"/>
          <w:color w:val="000000"/>
          <w:kern w:val="0"/>
          <w:sz w:val="32"/>
          <w:szCs w:val="32"/>
          <w:lang w:bidi="ar"/>
        </w:rPr>
        <w:t>V、Ti</w:t>
      </w:r>
      <w:r>
        <w:rPr>
          <w:rFonts w:hint="eastAsia" w:ascii="仿宋_GB2312" w:hAnsi="仿宋_GB2312" w:eastAsia="仿宋_GB2312" w:cs="仿宋_GB2312"/>
          <w:color w:val="000000"/>
          <w:sz w:val="32"/>
          <w:szCs w:val="32"/>
        </w:rPr>
        <w:t>等组元含量变化对熔覆层成分变化、显微组织及硬度、高温摩擦磨损、冲击性能的影响规律，提出熔覆层与基材的界面结合机制。</w:t>
      </w:r>
    </w:p>
    <w:p w14:paraId="6B045BA8">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2.项目应实现的具体绩效目标，包括目标的量化、细化情况以及项目实施进度计划等。</w:t>
      </w:r>
    </w:p>
    <w:p w14:paraId="0AC56EF8">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1）产品性能及技术考核指标：</w:t>
      </w:r>
      <w:r>
        <w:rPr>
          <w:rFonts w:hint="eastAsia" w:ascii="仿宋_GB2312" w:hAnsi="仿宋_GB2312" w:eastAsia="仿宋_GB2312" w:cs="仿宋_GB2312"/>
          <w:sz w:val="32"/>
          <w:szCs w:val="32"/>
          <w:lang w:val="zh-CN"/>
        </w:rPr>
        <w:t>（1）制备出型材轧制关键部件锻钢轧辊修复及再制造所需专用含钒钛金属粉末，其性能指标达到：粉体粒度在45-150μm之间的比例达60%以上，球形度达90%以上，流动性小于20g/s；（2）利用所研发的含钒钛金属粉末完成激光熔覆修复型材轧制关键部件锻钢轧辊试验研究，熔覆层硬度达HRC50以上，修复后轧辊单次上机轧制钢量为原辊的1.5倍以上。</w:t>
      </w:r>
    </w:p>
    <w:p w14:paraId="60FDE4A7">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2经济效益指标：</w:t>
      </w:r>
      <w:r>
        <w:rPr>
          <w:rFonts w:hint="eastAsia" w:ascii="仿宋_GB2312" w:hAnsi="仿宋_GB2312" w:eastAsia="仿宋_GB2312" w:cs="仿宋_GB2312"/>
          <w:sz w:val="32"/>
          <w:szCs w:val="32"/>
          <w:lang w:val="zh-CN"/>
        </w:rPr>
        <w:t>通过改扩建现有的设备、设施，形成具有20t/年生产能力的型材轧制锻钢轧辊修复及再制造专用熔覆材料生产示范线，年产值达300万元以上。</w:t>
      </w:r>
    </w:p>
    <w:p w14:paraId="7807A702">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3）知识产权指标：</w:t>
      </w:r>
      <w:r>
        <w:rPr>
          <w:rFonts w:hint="eastAsia" w:ascii="仿宋_GB2312" w:hAnsi="仿宋_GB2312" w:eastAsia="仿宋_GB2312" w:cs="仿宋_GB2312"/>
          <w:sz w:val="32"/>
          <w:szCs w:val="32"/>
          <w:lang w:val="zh-CN"/>
        </w:rPr>
        <w:t>申请国家发明专利2-3项。</w:t>
      </w:r>
    </w:p>
    <w:p w14:paraId="1071EDFE">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4）论文指标：</w:t>
      </w:r>
      <w:r>
        <w:rPr>
          <w:rFonts w:hint="eastAsia" w:ascii="仿宋_GB2312" w:hAnsi="仿宋_GB2312" w:eastAsia="仿宋_GB2312" w:cs="仿宋_GB2312"/>
          <w:sz w:val="32"/>
          <w:szCs w:val="32"/>
          <w:lang w:val="zh-CN"/>
        </w:rPr>
        <w:t>发表相关学术研究论文2-3篇，均为中文核心期刊以上或被IE、SCI收录。</w:t>
      </w:r>
    </w:p>
    <w:p w14:paraId="39D660BB">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5）社会效益指标：</w:t>
      </w:r>
      <w:r>
        <w:rPr>
          <w:rFonts w:hint="eastAsia" w:ascii="仿宋_GB2312" w:hAnsi="仿宋_GB2312" w:eastAsia="仿宋_GB2312" w:cs="仿宋_GB2312"/>
          <w:sz w:val="32"/>
          <w:szCs w:val="32"/>
          <w:lang w:val="zh-CN"/>
        </w:rPr>
        <w:t>填补在攀西及周边无气雾化为工业关键部件修复及再制造研发、生产专用含钒钛熔覆粉体材料的空白。</w:t>
      </w:r>
    </w:p>
    <w:p w14:paraId="71199D63">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3.分析评价申报内容是否与实际相符，申报目标是否合理可行。</w:t>
      </w:r>
    </w:p>
    <w:p w14:paraId="70689321">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本项目申报内容与实际情况相符，申报目标合理可行。</w:t>
      </w:r>
    </w:p>
    <w:p w14:paraId="4029AD7A">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（三）项目自评步骤及方法。</w:t>
      </w:r>
    </w:p>
    <w:p w14:paraId="5C1CA900">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本项目自评采用项目任务书目标逐项目标进行核的实施步骤；采用严格围绕任务书目标要求与研究内容和进展进行核对的方法。</w:t>
      </w:r>
    </w:p>
    <w:p w14:paraId="0060C6DC">
      <w:pPr>
        <w:adjustRightInd w:val="0"/>
        <w:snapToGrid w:val="0"/>
        <w:spacing w:line="600" w:lineRule="exact"/>
        <w:ind w:firstLine="720"/>
        <w:rPr>
          <w:rFonts w:eastAsia="黑体"/>
          <w:sz w:val="32"/>
          <w:szCs w:val="32"/>
        </w:rPr>
      </w:pPr>
      <w:r>
        <w:rPr>
          <w:rFonts w:eastAsia="黑体"/>
          <w:sz w:val="32"/>
          <w:szCs w:val="32"/>
        </w:rPr>
        <w:t>二、项目资金申报及使用情况</w:t>
      </w:r>
    </w:p>
    <w:p w14:paraId="10649A11">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（一）项目资金申报及批复情况。</w:t>
      </w:r>
    </w:p>
    <w:p w14:paraId="62EF2A30">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本项目资金申报及批复经费为51.96万元，项目没有预算调整。</w:t>
      </w:r>
    </w:p>
    <w:p w14:paraId="0E264B8E">
      <w:pPr>
        <w:adjustRightInd w:val="0"/>
        <w:snapToGrid w:val="0"/>
        <w:spacing w:line="600" w:lineRule="exact"/>
        <w:ind w:firstLine="720"/>
        <w:rPr>
          <w:sz w:val="32"/>
          <w:szCs w:val="32"/>
          <w:lang w:val="zh-CN"/>
        </w:rPr>
      </w:pPr>
      <w:r>
        <w:rPr>
          <w:rFonts w:eastAsia="楷体_GB2312"/>
          <w:b/>
          <w:sz w:val="32"/>
          <w:szCs w:val="32"/>
          <w:lang w:val="zh-CN"/>
        </w:rPr>
        <w:t>（二）资金计划、到位及使用情况（可用表格形式反映）。</w:t>
      </w:r>
    </w:p>
    <w:p w14:paraId="01832834">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p>
    <w:p w14:paraId="1C9254F5">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本项目批复资金51.96万，自筹经费0万元，项目总经费51.96万元。</w:t>
      </w:r>
    </w:p>
    <w:p w14:paraId="05C4DD72">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w:t>
      </w:r>
    </w:p>
    <w:p w14:paraId="7B5B71D0">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本项目批复资金51.96万元，现到位资金51.96万元，于2022年6月2日到位，合作单位于2022年6月22日到位。</w:t>
      </w:r>
    </w:p>
    <w:p w14:paraId="79ED7B66">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w:t>
      </w:r>
    </w:p>
    <w:tbl>
      <w:tblPr>
        <w:tblStyle w:val="18"/>
        <w:tblW w:w="8793" w:type="dxa"/>
        <w:tblInd w:w="100" w:type="dxa"/>
        <w:tblLayout w:type="fixed"/>
        <w:tblCellMar>
          <w:top w:w="0" w:type="dxa"/>
          <w:left w:w="108" w:type="dxa"/>
          <w:bottom w:w="0" w:type="dxa"/>
          <w:right w:w="108" w:type="dxa"/>
        </w:tblCellMar>
      </w:tblPr>
      <w:tblGrid>
        <w:gridCol w:w="4191"/>
        <w:gridCol w:w="1481"/>
        <w:gridCol w:w="1394"/>
        <w:gridCol w:w="1727"/>
      </w:tblGrid>
      <w:tr w14:paraId="675C28D1">
        <w:tblPrEx>
          <w:tblCellMar>
            <w:top w:w="0" w:type="dxa"/>
            <w:left w:w="108" w:type="dxa"/>
            <w:bottom w:w="0" w:type="dxa"/>
            <w:right w:w="108" w:type="dxa"/>
          </w:tblCellMar>
        </w:tblPrEx>
        <w:trPr>
          <w:trHeight w:val="1800" w:hRule="atLeast"/>
        </w:trPr>
        <w:tc>
          <w:tcPr>
            <w:tcW w:w="8793" w:type="dxa"/>
            <w:gridSpan w:val="4"/>
            <w:tcBorders>
              <w:top w:val="nil"/>
              <w:left w:val="nil"/>
              <w:bottom w:val="nil"/>
              <w:right w:val="nil"/>
            </w:tcBorders>
            <w:shd w:val="clear" w:color="auto" w:fill="auto"/>
            <w:vAlign w:val="center"/>
          </w:tcPr>
          <w:p w14:paraId="111831D6">
            <w:pPr>
              <w:widowControl/>
              <w:jc w:val="center"/>
              <w:rPr>
                <w:rFonts w:ascii="宋体" w:hAnsi="宋体" w:eastAsia="宋体" w:cs="宋体"/>
                <w:kern w:val="0"/>
                <w:sz w:val="32"/>
                <w:szCs w:val="32"/>
              </w:rPr>
            </w:pPr>
            <w:r>
              <w:rPr>
                <w:rFonts w:hint="eastAsia" w:ascii="仿宋_GB2312" w:hAnsi="仿宋_GB2312" w:eastAsia="仿宋_GB2312" w:cs="仿宋_GB2312"/>
                <w:sz w:val="32"/>
                <w:szCs w:val="32"/>
                <w:lang w:val="zh-CN"/>
              </w:rPr>
              <w:t>型材轧制关键锻钢轧辊再制造用钒钛熔覆材料制备关键技术专项经费使用情况见下表。</w:t>
            </w:r>
          </w:p>
        </w:tc>
      </w:tr>
      <w:tr w14:paraId="37673170">
        <w:tblPrEx>
          <w:tblCellMar>
            <w:top w:w="0" w:type="dxa"/>
            <w:left w:w="108" w:type="dxa"/>
            <w:bottom w:w="0" w:type="dxa"/>
            <w:right w:w="108" w:type="dxa"/>
          </w:tblCellMar>
        </w:tblPrEx>
        <w:trPr>
          <w:trHeight w:val="499" w:hRule="atLeast"/>
        </w:trPr>
        <w:tc>
          <w:tcPr>
            <w:tcW w:w="4191" w:type="dxa"/>
            <w:tcBorders>
              <w:top w:val="double" w:color="000000" w:sz="6" w:space="0"/>
              <w:left w:val="double" w:color="000000" w:sz="6" w:space="0"/>
              <w:bottom w:val="single" w:color="000000" w:sz="4" w:space="0"/>
              <w:right w:val="single" w:color="000000" w:sz="4" w:space="0"/>
            </w:tcBorders>
            <w:shd w:val="clear" w:color="auto" w:fill="auto"/>
            <w:vAlign w:val="center"/>
          </w:tcPr>
          <w:p w14:paraId="7585BC99">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经费</w:t>
            </w:r>
          </w:p>
        </w:tc>
        <w:tc>
          <w:tcPr>
            <w:tcW w:w="1481" w:type="dxa"/>
            <w:tcBorders>
              <w:top w:val="double" w:color="000000" w:sz="6" w:space="0"/>
              <w:left w:val="nil"/>
              <w:bottom w:val="single" w:color="000000" w:sz="4" w:space="0"/>
              <w:right w:val="single" w:color="000000" w:sz="4" w:space="0"/>
            </w:tcBorders>
            <w:shd w:val="clear" w:color="auto" w:fill="auto"/>
            <w:vAlign w:val="center"/>
          </w:tcPr>
          <w:p w14:paraId="09EE5357">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专项经费收入</w:t>
            </w:r>
          </w:p>
        </w:tc>
        <w:tc>
          <w:tcPr>
            <w:tcW w:w="1394" w:type="dxa"/>
            <w:tcBorders>
              <w:top w:val="double" w:color="000000" w:sz="6" w:space="0"/>
              <w:left w:val="nil"/>
              <w:bottom w:val="single" w:color="000000" w:sz="4" w:space="0"/>
              <w:right w:val="single" w:color="000000" w:sz="4" w:space="0"/>
            </w:tcBorders>
            <w:shd w:val="clear" w:color="auto" w:fill="auto"/>
            <w:vAlign w:val="center"/>
          </w:tcPr>
          <w:p w14:paraId="4157AB1E">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支出</w:t>
            </w:r>
          </w:p>
        </w:tc>
        <w:tc>
          <w:tcPr>
            <w:tcW w:w="1727" w:type="dxa"/>
            <w:tcBorders>
              <w:top w:val="double" w:color="000000" w:sz="6" w:space="0"/>
              <w:left w:val="nil"/>
              <w:bottom w:val="single" w:color="000000" w:sz="4" w:space="0"/>
              <w:right w:val="double" w:color="000000" w:sz="6" w:space="0"/>
            </w:tcBorders>
            <w:shd w:val="clear" w:color="auto" w:fill="auto"/>
            <w:vAlign w:val="center"/>
          </w:tcPr>
          <w:p w14:paraId="6E6FCF21">
            <w:pPr>
              <w:widowControl/>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结余</w:t>
            </w:r>
          </w:p>
        </w:tc>
      </w:tr>
      <w:tr w14:paraId="7E70FF6A">
        <w:tblPrEx>
          <w:tblCellMar>
            <w:top w:w="0" w:type="dxa"/>
            <w:left w:w="108" w:type="dxa"/>
            <w:bottom w:w="0" w:type="dxa"/>
            <w:right w:w="108" w:type="dxa"/>
          </w:tblCellMar>
        </w:tblPrEx>
        <w:trPr>
          <w:trHeight w:val="499" w:hRule="atLeast"/>
        </w:trPr>
        <w:tc>
          <w:tcPr>
            <w:tcW w:w="4191" w:type="dxa"/>
            <w:tcBorders>
              <w:top w:val="nil"/>
              <w:left w:val="double" w:color="000000" w:sz="6" w:space="0"/>
              <w:bottom w:val="single" w:color="000000" w:sz="4" w:space="0"/>
              <w:right w:val="single" w:color="000000" w:sz="4" w:space="0"/>
            </w:tcBorders>
            <w:shd w:val="clear" w:color="auto" w:fill="auto"/>
            <w:vAlign w:val="center"/>
          </w:tcPr>
          <w:p w14:paraId="63F218E0">
            <w:pPr>
              <w:widowControl/>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专项经费</w:t>
            </w:r>
          </w:p>
        </w:tc>
        <w:tc>
          <w:tcPr>
            <w:tcW w:w="1481" w:type="dxa"/>
            <w:tcBorders>
              <w:top w:val="nil"/>
              <w:left w:val="nil"/>
              <w:bottom w:val="single" w:color="000000" w:sz="4" w:space="0"/>
              <w:right w:val="single" w:color="000000" w:sz="4" w:space="0"/>
            </w:tcBorders>
            <w:shd w:val="clear" w:color="auto" w:fill="auto"/>
            <w:vAlign w:val="center"/>
          </w:tcPr>
          <w:p w14:paraId="7304C018">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¥519,600.00</w:t>
            </w:r>
          </w:p>
        </w:tc>
        <w:tc>
          <w:tcPr>
            <w:tcW w:w="1394" w:type="dxa"/>
            <w:tcBorders>
              <w:top w:val="nil"/>
              <w:left w:val="nil"/>
              <w:bottom w:val="single" w:color="000000" w:sz="4" w:space="0"/>
              <w:right w:val="single" w:color="000000" w:sz="4" w:space="0"/>
            </w:tcBorders>
            <w:shd w:val="clear" w:color="auto" w:fill="auto"/>
          </w:tcPr>
          <w:p w14:paraId="5ECDD8EB">
            <w:pPr>
              <w:widowControl/>
              <w:jc w:val="center"/>
              <w:rPr>
                <w:rFonts w:eastAsia="宋体"/>
                <w:b/>
                <w:bCs/>
                <w:kern w:val="0"/>
                <w:sz w:val="32"/>
                <w:szCs w:val="32"/>
              </w:rPr>
            </w:pPr>
            <w:r>
              <w:rPr>
                <w:rFonts w:eastAsia="宋体"/>
                <w:b/>
                <w:bCs/>
                <w:kern w:val="0"/>
                <w:sz w:val="32"/>
                <w:szCs w:val="32"/>
              </w:rPr>
              <w:t>　</w:t>
            </w:r>
          </w:p>
        </w:tc>
        <w:tc>
          <w:tcPr>
            <w:tcW w:w="1727" w:type="dxa"/>
            <w:tcBorders>
              <w:top w:val="nil"/>
              <w:left w:val="nil"/>
              <w:bottom w:val="single" w:color="000000" w:sz="4" w:space="0"/>
              <w:right w:val="double" w:color="000000" w:sz="6" w:space="0"/>
            </w:tcBorders>
            <w:shd w:val="clear" w:color="auto" w:fill="auto"/>
            <w:vAlign w:val="center"/>
          </w:tcPr>
          <w:p w14:paraId="65786B80">
            <w:pPr>
              <w:widowControl/>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　</w:t>
            </w:r>
          </w:p>
        </w:tc>
      </w:tr>
      <w:tr w14:paraId="6D29CA59">
        <w:tblPrEx>
          <w:tblCellMar>
            <w:top w:w="0" w:type="dxa"/>
            <w:left w:w="108" w:type="dxa"/>
            <w:bottom w:w="0" w:type="dxa"/>
            <w:right w:w="108" w:type="dxa"/>
          </w:tblCellMar>
        </w:tblPrEx>
        <w:trPr>
          <w:trHeight w:val="499" w:hRule="atLeast"/>
        </w:trPr>
        <w:tc>
          <w:tcPr>
            <w:tcW w:w="4191" w:type="dxa"/>
            <w:tcBorders>
              <w:top w:val="nil"/>
              <w:left w:val="double" w:color="000000" w:sz="6" w:space="0"/>
              <w:bottom w:val="single" w:color="000000" w:sz="4" w:space="0"/>
              <w:right w:val="single" w:color="000000" w:sz="4" w:space="0"/>
            </w:tcBorders>
            <w:shd w:val="clear" w:color="auto" w:fill="auto"/>
            <w:vAlign w:val="center"/>
          </w:tcPr>
          <w:p w14:paraId="2F0BA511">
            <w:pPr>
              <w:widowControl/>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转拨资金-攀枝花学院</w:t>
            </w:r>
          </w:p>
        </w:tc>
        <w:tc>
          <w:tcPr>
            <w:tcW w:w="1481" w:type="dxa"/>
            <w:tcBorders>
              <w:top w:val="nil"/>
              <w:left w:val="nil"/>
              <w:bottom w:val="single" w:color="000000" w:sz="4" w:space="0"/>
              <w:right w:val="single" w:color="000000" w:sz="4" w:space="0"/>
            </w:tcBorders>
            <w:shd w:val="clear" w:color="auto" w:fill="auto"/>
            <w:vAlign w:val="center"/>
          </w:tcPr>
          <w:p w14:paraId="46652F95">
            <w:pPr>
              <w:widowControl/>
              <w:jc w:val="center"/>
              <w:rPr>
                <w:rFonts w:eastAsia="宋体"/>
                <w:b/>
                <w:bCs/>
                <w:color w:val="000000"/>
                <w:kern w:val="0"/>
                <w:sz w:val="32"/>
                <w:szCs w:val="32"/>
              </w:rPr>
            </w:pPr>
            <w:r>
              <w:rPr>
                <w:rFonts w:eastAsia="宋体"/>
                <w:b/>
                <w:bCs/>
                <w:color w:val="000000"/>
                <w:kern w:val="0"/>
                <w:sz w:val="32"/>
                <w:szCs w:val="32"/>
              </w:rPr>
              <w:t>　</w:t>
            </w:r>
          </w:p>
        </w:tc>
        <w:tc>
          <w:tcPr>
            <w:tcW w:w="1394" w:type="dxa"/>
            <w:tcBorders>
              <w:top w:val="nil"/>
              <w:left w:val="nil"/>
              <w:bottom w:val="single" w:color="000000" w:sz="4" w:space="0"/>
              <w:right w:val="single" w:color="000000" w:sz="4" w:space="0"/>
            </w:tcBorders>
            <w:shd w:val="clear" w:color="auto" w:fill="auto"/>
          </w:tcPr>
          <w:p w14:paraId="6565ED98">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¥100,000.00</w:t>
            </w:r>
          </w:p>
        </w:tc>
        <w:tc>
          <w:tcPr>
            <w:tcW w:w="1727" w:type="dxa"/>
            <w:tcBorders>
              <w:top w:val="nil"/>
              <w:left w:val="nil"/>
              <w:bottom w:val="single" w:color="000000" w:sz="4" w:space="0"/>
              <w:right w:val="double" w:color="000000" w:sz="6" w:space="0"/>
            </w:tcBorders>
            <w:shd w:val="clear" w:color="auto" w:fill="auto"/>
            <w:vAlign w:val="center"/>
          </w:tcPr>
          <w:p w14:paraId="214F274D">
            <w:pPr>
              <w:widowControl/>
              <w:jc w:val="center"/>
              <w:rPr>
                <w:rFonts w:eastAsia="宋体"/>
                <w:b/>
                <w:bCs/>
                <w:color w:val="000000"/>
                <w:kern w:val="0"/>
                <w:sz w:val="32"/>
                <w:szCs w:val="32"/>
              </w:rPr>
            </w:pPr>
            <w:r>
              <w:rPr>
                <w:rFonts w:eastAsia="宋体"/>
                <w:b/>
                <w:bCs/>
                <w:color w:val="000000"/>
                <w:kern w:val="0"/>
                <w:sz w:val="32"/>
                <w:szCs w:val="32"/>
              </w:rPr>
              <w:t>　</w:t>
            </w:r>
          </w:p>
        </w:tc>
      </w:tr>
      <w:tr w14:paraId="279D7FE4">
        <w:tblPrEx>
          <w:tblCellMar>
            <w:top w:w="0" w:type="dxa"/>
            <w:left w:w="108" w:type="dxa"/>
            <w:bottom w:w="0" w:type="dxa"/>
            <w:right w:w="108" w:type="dxa"/>
          </w:tblCellMar>
        </w:tblPrEx>
        <w:trPr>
          <w:trHeight w:val="499" w:hRule="atLeast"/>
        </w:trPr>
        <w:tc>
          <w:tcPr>
            <w:tcW w:w="4191" w:type="dxa"/>
            <w:tcBorders>
              <w:top w:val="nil"/>
              <w:left w:val="double" w:color="000000" w:sz="6" w:space="0"/>
              <w:bottom w:val="single" w:color="000000" w:sz="4" w:space="0"/>
              <w:right w:val="single" w:color="000000" w:sz="4" w:space="0"/>
            </w:tcBorders>
            <w:shd w:val="clear" w:color="auto" w:fill="auto"/>
            <w:vAlign w:val="center"/>
          </w:tcPr>
          <w:p w14:paraId="2231FBFB">
            <w:pPr>
              <w:widowControl/>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直接支出</w:t>
            </w:r>
            <w:r>
              <w:rPr>
                <w:rFonts w:eastAsia="宋体"/>
                <w:b/>
                <w:bCs/>
                <w:color w:val="000000"/>
                <w:kern w:val="0"/>
                <w:sz w:val="32"/>
                <w:szCs w:val="32"/>
              </w:rPr>
              <w:t>—</w:t>
            </w:r>
            <w:r>
              <w:rPr>
                <w:rFonts w:hint="eastAsia" w:ascii="宋体" w:hAnsi="宋体" w:eastAsia="宋体" w:cs="宋体"/>
                <w:b/>
                <w:bCs/>
                <w:color w:val="000000"/>
                <w:kern w:val="0"/>
                <w:sz w:val="32"/>
                <w:szCs w:val="32"/>
              </w:rPr>
              <w:t>差旅费/会议费/国际合作与交流费</w:t>
            </w:r>
          </w:p>
        </w:tc>
        <w:tc>
          <w:tcPr>
            <w:tcW w:w="1481" w:type="dxa"/>
            <w:tcBorders>
              <w:top w:val="nil"/>
              <w:left w:val="nil"/>
              <w:bottom w:val="single" w:color="000000" w:sz="4" w:space="0"/>
              <w:right w:val="single" w:color="000000" w:sz="4" w:space="0"/>
            </w:tcBorders>
            <w:shd w:val="clear" w:color="auto" w:fill="auto"/>
            <w:vAlign w:val="center"/>
          </w:tcPr>
          <w:p w14:paraId="212DE22A">
            <w:pPr>
              <w:widowControl/>
              <w:jc w:val="center"/>
              <w:rPr>
                <w:rFonts w:eastAsia="宋体"/>
                <w:b/>
                <w:bCs/>
                <w:kern w:val="0"/>
                <w:sz w:val="32"/>
                <w:szCs w:val="32"/>
              </w:rPr>
            </w:pPr>
            <w:r>
              <w:rPr>
                <w:rFonts w:eastAsia="宋体"/>
                <w:b/>
                <w:bCs/>
                <w:kern w:val="0"/>
                <w:sz w:val="32"/>
                <w:szCs w:val="32"/>
              </w:rPr>
              <w:t>　</w:t>
            </w:r>
          </w:p>
        </w:tc>
        <w:tc>
          <w:tcPr>
            <w:tcW w:w="1394" w:type="dxa"/>
            <w:tcBorders>
              <w:top w:val="nil"/>
              <w:left w:val="nil"/>
              <w:bottom w:val="single" w:color="000000" w:sz="4" w:space="0"/>
              <w:right w:val="single" w:color="000000" w:sz="4" w:space="0"/>
            </w:tcBorders>
            <w:shd w:val="clear" w:color="auto" w:fill="auto"/>
          </w:tcPr>
          <w:p w14:paraId="49667DFF">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¥4,244.00</w:t>
            </w:r>
          </w:p>
        </w:tc>
        <w:tc>
          <w:tcPr>
            <w:tcW w:w="1727" w:type="dxa"/>
            <w:tcBorders>
              <w:top w:val="nil"/>
              <w:left w:val="nil"/>
              <w:bottom w:val="single" w:color="000000" w:sz="4" w:space="0"/>
              <w:right w:val="double" w:color="000000" w:sz="6" w:space="0"/>
            </w:tcBorders>
            <w:shd w:val="clear" w:color="auto" w:fill="auto"/>
            <w:vAlign w:val="center"/>
          </w:tcPr>
          <w:p w14:paraId="0AC45982">
            <w:pPr>
              <w:widowControl/>
              <w:jc w:val="center"/>
              <w:rPr>
                <w:rFonts w:eastAsia="宋体"/>
                <w:b/>
                <w:bCs/>
                <w:color w:val="000000"/>
                <w:kern w:val="0"/>
                <w:sz w:val="32"/>
                <w:szCs w:val="32"/>
              </w:rPr>
            </w:pPr>
            <w:r>
              <w:rPr>
                <w:rFonts w:eastAsia="宋体"/>
                <w:b/>
                <w:bCs/>
                <w:color w:val="000000"/>
                <w:kern w:val="0"/>
                <w:sz w:val="32"/>
                <w:szCs w:val="32"/>
              </w:rPr>
              <w:t>　</w:t>
            </w:r>
          </w:p>
        </w:tc>
      </w:tr>
      <w:tr w14:paraId="3665DE0F">
        <w:tblPrEx>
          <w:tblCellMar>
            <w:top w:w="0" w:type="dxa"/>
            <w:left w:w="108" w:type="dxa"/>
            <w:bottom w:w="0" w:type="dxa"/>
            <w:right w:w="108" w:type="dxa"/>
          </w:tblCellMar>
        </w:tblPrEx>
        <w:trPr>
          <w:trHeight w:val="499" w:hRule="atLeast"/>
        </w:trPr>
        <w:tc>
          <w:tcPr>
            <w:tcW w:w="4191" w:type="dxa"/>
            <w:tcBorders>
              <w:top w:val="nil"/>
              <w:left w:val="double" w:color="000000" w:sz="6" w:space="0"/>
              <w:bottom w:val="single" w:color="000000" w:sz="4" w:space="0"/>
              <w:right w:val="single" w:color="000000" w:sz="4" w:space="0"/>
            </w:tcBorders>
            <w:shd w:val="clear" w:color="auto" w:fill="auto"/>
            <w:vAlign w:val="center"/>
          </w:tcPr>
          <w:p w14:paraId="4CA4363B">
            <w:pPr>
              <w:widowControl/>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直接支出-测试化验加工费</w:t>
            </w:r>
          </w:p>
        </w:tc>
        <w:tc>
          <w:tcPr>
            <w:tcW w:w="1481" w:type="dxa"/>
            <w:tcBorders>
              <w:top w:val="nil"/>
              <w:left w:val="nil"/>
              <w:bottom w:val="single" w:color="000000" w:sz="4" w:space="0"/>
              <w:right w:val="single" w:color="000000" w:sz="4" w:space="0"/>
            </w:tcBorders>
            <w:shd w:val="clear" w:color="auto" w:fill="auto"/>
            <w:vAlign w:val="center"/>
          </w:tcPr>
          <w:p w14:paraId="39FC9735">
            <w:pPr>
              <w:widowControl/>
              <w:jc w:val="center"/>
              <w:rPr>
                <w:rFonts w:eastAsia="宋体"/>
                <w:b/>
                <w:bCs/>
                <w:kern w:val="0"/>
                <w:sz w:val="32"/>
                <w:szCs w:val="32"/>
              </w:rPr>
            </w:pPr>
            <w:r>
              <w:rPr>
                <w:rFonts w:eastAsia="宋体"/>
                <w:b/>
                <w:bCs/>
                <w:kern w:val="0"/>
                <w:sz w:val="32"/>
                <w:szCs w:val="32"/>
              </w:rPr>
              <w:t>　</w:t>
            </w:r>
          </w:p>
        </w:tc>
        <w:tc>
          <w:tcPr>
            <w:tcW w:w="1394" w:type="dxa"/>
            <w:tcBorders>
              <w:top w:val="nil"/>
              <w:left w:val="nil"/>
              <w:bottom w:val="single" w:color="000000" w:sz="4" w:space="0"/>
              <w:right w:val="single" w:color="000000" w:sz="4" w:space="0"/>
            </w:tcBorders>
            <w:shd w:val="clear" w:color="auto" w:fill="auto"/>
          </w:tcPr>
          <w:p w14:paraId="450BF161">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¥32,095.00</w:t>
            </w:r>
          </w:p>
        </w:tc>
        <w:tc>
          <w:tcPr>
            <w:tcW w:w="1727" w:type="dxa"/>
            <w:tcBorders>
              <w:top w:val="nil"/>
              <w:left w:val="nil"/>
              <w:bottom w:val="single" w:color="000000" w:sz="4" w:space="0"/>
              <w:right w:val="double" w:color="000000" w:sz="6" w:space="0"/>
            </w:tcBorders>
            <w:shd w:val="clear" w:color="auto" w:fill="auto"/>
            <w:vAlign w:val="center"/>
          </w:tcPr>
          <w:p w14:paraId="4C6B2B72">
            <w:pPr>
              <w:widowControl/>
              <w:jc w:val="center"/>
              <w:rPr>
                <w:rFonts w:eastAsia="宋体"/>
                <w:b/>
                <w:bCs/>
                <w:color w:val="000000"/>
                <w:kern w:val="0"/>
                <w:sz w:val="32"/>
                <w:szCs w:val="32"/>
              </w:rPr>
            </w:pPr>
            <w:r>
              <w:rPr>
                <w:rFonts w:eastAsia="宋体"/>
                <w:b/>
                <w:bCs/>
                <w:color w:val="000000"/>
                <w:kern w:val="0"/>
                <w:sz w:val="32"/>
                <w:szCs w:val="32"/>
              </w:rPr>
              <w:t>　</w:t>
            </w:r>
          </w:p>
        </w:tc>
      </w:tr>
      <w:tr w14:paraId="12093EF5">
        <w:tblPrEx>
          <w:tblCellMar>
            <w:top w:w="0" w:type="dxa"/>
            <w:left w:w="108" w:type="dxa"/>
            <w:bottom w:w="0" w:type="dxa"/>
            <w:right w:w="108" w:type="dxa"/>
          </w:tblCellMar>
        </w:tblPrEx>
        <w:trPr>
          <w:trHeight w:val="499" w:hRule="atLeast"/>
        </w:trPr>
        <w:tc>
          <w:tcPr>
            <w:tcW w:w="4191" w:type="dxa"/>
            <w:tcBorders>
              <w:top w:val="nil"/>
              <w:left w:val="double" w:color="000000" w:sz="6" w:space="0"/>
              <w:bottom w:val="single" w:color="000000" w:sz="4" w:space="0"/>
              <w:right w:val="single" w:color="000000" w:sz="4" w:space="0"/>
            </w:tcBorders>
            <w:shd w:val="clear" w:color="auto" w:fill="auto"/>
            <w:vAlign w:val="center"/>
          </w:tcPr>
          <w:p w14:paraId="5A3606F1">
            <w:pPr>
              <w:widowControl/>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直接支出</w:t>
            </w:r>
            <w:r>
              <w:rPr>
                <w:rFonts w:eastAsia="宋体"/>
                <w:b/>
                <w:bCs/>
                <w:color w:val="000000"/>
                <w:kern w:val="0"/>
                <w:sz w:val="32"/>
                <w:szCs w:val="32"/>
              </w:rPr>
              <w:t>—</w:t>
            </w:r>
            <w:r>
              <w:rPr>
                <w:rFonts w:hint="eastAsia" w:ascii="宋体" w:hAnsi="宋体" w:eastAsia="宋体" w:cs="宋体"/>
                <w:b/>
                <w:bCs/>
                <w:color w:val="000000"/>
                <w:kern w:val="0"/>
                <w:sz w:val="32"/>
                <w:szCs w:val="32"/>
              </w:rPr>
              <w:t>材料费</w:t>
            </w:r>
          </w:p>
        </w:tc>
        <w:tc>
          <w:tcPr>
            <w:tcW w:w="1481" w:type="dxa"/>
            <w:tcBorders>
              <w:top w:val="nil"/>
              <w:left w:val="nil"/>
              <w:bottom w:val="single" w:color="000000" w:sz="4" w:space="0"/>
              <w:right w:val="single" w:color="000000" w:sz="4" w:space="0"/>
            </w:tcBorders>
            <w:shd w:val="clear" w:color="auto" w:fill="auto"/>
            <w:vAlign w:val="center"/>
          </w:tcPr>
          <w:p w14:paraId="1D8A032F">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1394" w:type="dxa"/>
            <w:tcBorders>
              <w:top w:val="nil"/>
              <w:left w:val="nil"/>
              <w:bottom w:val="single" w:color="000000" w:sz="4" w:space="0"/>
              <w:right w:val="single" w:color="000000" w:sz="4" w:space="0"/>
            </w:tcBorders>
            <w:shd w:val="clear" w:color="auto" w:fill="auto"/>
          </w:tcPr>
          <w:p w14:paraId="062768CB">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¥60,221.05</w:t>
            </w:r>
          </w:p>
        </w:tc>
        <w:tc>
          <w:tcPr>
            <w:tcW w:w="1727" w:type="dxa"/>
            <w:tcBorders>
              <w:top w:val="nil"/>
              <w:left w:val="nil"/>
              <w:bottom w:val="single" w:color="000000" w:sz="4" w:space="0"/>
              <w:right w:val="double" w:color="000000" w:sz="6" w:space="0"/>
            </w:tcBorders>
            <w:shd w:val="clear" w:color="auto" w:fill="auto"/>
            <w:vAlign w:val="center"/>
          </w:tcPr>
          <w:p w14:paraId="2A6A3821">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　</w:t>
            </w:r>
          </w:p>
        </w:tc>
      </w:tr>
      <w:tr w14:paraId="456D773E">
        <w:tblPrEx>
          <w:tblCellMar>
            <w:top w:w="0" w:type="dxa"/>
            <w:left w:w="108" w:type="dxa"/>
            <w:bottom w:w="0" w:type="dxa"/>
            <w:right w:w="108" w:type="dxa"/>
          </w:tblCellMar>
        </w:tblPrEx>
        <w:trPr>
          <w:trHeight w:val="499" w:hRule="atLeast"/>
        </w:trPr>
        <w:tc>
          <w:tcPr>
            <w:tcW w:w="4191" w:type="dxa"/>
            <w:tcBorders>
              <w:top w:val="nil"/>
              <w:left w:val="double" w:color="000000" w:sz="6" w:space="0"/>
              <w:bottom w:val="single" w:color="000000" w:sz="4" w:space="0"/>
              <w:right w:val="single" w:color="000000" w:sz="4" w:space="0"/>
            </w:tcBorders>
            <w:shd w:val="clear" w:color="auto" w:fill="auto"/>
            <w:vAlign w:val="center"/>
          </w:tcPr>
          <w:p w14:paraId="71DF5930">
            <w:pPr>
              <w:widowControl/>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直接支出</w:t>
            </w:r>
            <w:r>
              <w:rPr>
                <w:rFonts w:eastAsia="宋体"/>
                <w:b/>
                <w:bCs/>
                <w:color w:val="000000"/>
                <w:kern w:val="0"/>
                <w:sz w:val="32"/>
                <w:szCs w:val="32"/>
              </w:rPr>
              <w:t>—</w:t>
            </w:r>
            <w:r>
              <w:rPr>
                <w:rFonts w:hint="eastAsia" w:ascii="宋体" w:hAnsi="宋体" w:eastAsia="宋体" w:cs="宋体"/>
                <w:b/>
                <w:bCs/>
                <w:color w:val="000000"/>
                <w:kern w:val="0"/>
                <w:sz w:val="32"/>
                <w:szCs w:val="32"/>
              </w:rPr>
              <w:t>其他</w:t>
            </w:r>
          </w:p>
        </w:tc>
        <w:tc>
          <w:tcPr>
            <w:tcW w:w="1481" w:type="dxa"/>
            <w:tcBorders>
              <w:top w:val="nil"/>
              <w:left w:val="nil"/>
              <w:bottom w:val="single" w:color="000000" w:sz="4" w:space="0"/>
              <w:right w:val="single" w:color="000000" w:sz="4" w:space="0"/>
            </w:tcBorders>
            <w:shd w:val="clear" w:color="auto" w:fill="auto"/>
            <w:vAlign w:val="center"/>
          </w:tcPr>
          <w:p w14:paraId="68DFCD88">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1394" w:type="dxa"/>
            <w:tcBorders>
              <w:top w:val="nil"/>
              <w:left w:val="nil"/>
              <w:bottom w:val="single" w:color="000000" w:sz="4" w:space="0"/>
              <w:right w:val="single" w:color="000000" w:sz="4" w:space="0"/>
            </w:tcBorders>
            <w:shd w:val="clear" w:color="auto" w:fill="auto"/>
          </w:tcPr>
          <w:p w14:paraId="6404BC6D">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¥771.00</w:t>
            </w:r>
          </w:p>
        </w:tc>
        <w:tc>
          <w:tcPr>
            <w:tcW w:w="1727" w:type="dxa"/>
            <w:tcBorders>
              <w:top w:val="nil"/>
              <w:left w:val="nil"/>
              <w:bottom w:val="single" w:color="000000" w:sz="4" w:space="0"/>
              <w:right w:val="double" w:color="000000" w:sz="6" w:space="0"/>
            </w:tcBorders>
            <w:shd w:val="clear" w:color="auto" w:fill="auto"/>
            <w:vAlign w:val="center"/>
          </w:tcPr>
          <w:p w14:paraId="4E5D3E34">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　</w:t>
            </w:r>
          </w:p>
        </w:tc>
      </w:tr>
      <w:tr w14:paraId="75E0B4A8">
        <w:tblPrEx>
          <w:tblCellMar>
            <w:top w:w="0" w:type="dxa"/>
            <w:left w:w="108" w:type="dxa"/>
            <w:bottom w:w="0" w:type="dxa"/>
            <w:right w:w="108" w:type="dxa"/>
          </w:tblCellMar>
        </w:tblPrEx>
        <w:trPr>
          <w:trHeight w:val="499" w:hRule="atLeast"/>
        </w:trPr>
        <w:tc>
          <w:tcPr>
            <w:tcW w:w="4191" w:type="dxa"/>
            <w:tcBorders>
              <w:top w:val="nil"/>
              <w:left w:val="double" w:color="000000" w:sz="6" w:space="0"/>
              <w:bottom w:val="single" w:color="000000" w:sz="4" w:space="0"/>
              <w:right w:val="single" w:color="000000" w:sz="4" w:space="0"/>
            </w:tcBorders>
            <w:shd w:val="clear" w:color="auto" w:fill="auto"/>
            <w:vAlign w:val="center"/>
          </w:tcPr>
          <w:p w14:paraId="3DD296DF">
            <w:pPr>
              <w:widowControl/>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直接费用</w:t>
            </w:r>
            <w:r>
              <w:rPr>
                <w:rFonts w:eastAsia="宋体"/>
                <w:b/>
                <w:bCs/>
                <w:color w:val="000000"/>
                <w:kern w:val="0"/>
                <w:sz w:val="32"/>
                <w:szCs w:val="32"/>
              </w:rPr>
              <w:t>—</w:t>
            </w:r>
            <w:r>
              <w:rPr>
                <w:rFonts w:hint="eastAsia" w:ascii="宋体" w:hAnsi="宋体" w:eastAsia="宋体" w:cs="宋体"/>
                <w:b/>
                <w:bCs/>
                <w:color w:val="000000"/>
                <w:kern w:val="0"/>
                <w:sz w:val="32"/>
                <w:szCs w:val="32"/>
              </w:rPr>
              <w:t>出版文献/信息传播/知识产权事务费</w:t>
            </w:r>
          </w:p>
        </w:tc>
        <w:tc>
          <w:tcPr>
            <w:tcW w:w="1481" w:type="dxa"/>
            <w:tcBorders>
              <w:top w:val="nil"/>
              <w:left w:val="nil"/>
              <w:bottom w:val="single" w:color="000000" w:sz="4" w:space="0"/>
              <w:right w:val="single" w:color="000000" w:sz="4" w:space="0"/>
            </w:tcBorders>
            <w:shd w:val="clear" w:color="auto" w:fill="auto"/>
            <w:vAlign w:val="center"/>
          </w:tcPr>
          <w:p w14:paraId="4FD486F7">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1394" w:type="dxa"/>
            <w:tcBorders>
              <w:top w:val="nil"/>
              <w:left w:val="nil"/>
              <w:bottom w:val="single" w:color="000000" w:sz="4" w:space="0"/>
              <w:right w:val="single" w:color="000000" w:sz="4" w:space="0"/>
            </w:tcBorders>
            <w:shd w:val="clear" w:color="auto" w:fill="auto"/>
          </w:tcPr>
          <w:p w14:paraId="05B05793">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¥1,060.00</w:t>
            </w:r>
          </w:p>
        </w:tc>
        <w:tc>
          <w:tcPr>
            <w:tcW w:w="1727" w:type="dxa"/>
            <w:tcBorders>
              <w:top w:val="nil"/>
              <w:left w:val="nil"/>
              <w:bottom w:val="single" w:color="000000" w:sz="4" w:space="0"/>
              <w:right w:val="double" w:color="000000" w:sz="6" w:space="0"/>
            </w:tcBorders>
            <w:shd w:val="clear" w:color="auto" w:fill="auto"/>
            <w:vAlign w:val="center"/>
          </w:tcPr>
          <w:p w14:paraId="33B34BC7">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　</w:t>
            </w:r>
          </w:p>
        </w:tc>
      </w:tr>
      <w:tr w14:paraId="693BB898">
        <w:tblPrEx>
          <w:tblCellMar>
            <w:top w:w="0" w:type="dxa"/>
            <w:left w:w="108" w:type="dxa"/>
            <w:bottom w:w="0" w:type="dxa"/>
            <w:right w:w="108" w:type="dxa"/>
          </w:tblCellMar>
        </w:tblPrEx>
        <w:trPr>
          <w:trHeight w:val="499" w:hRule="atLeast"/>
        </w:trPr>
        <w:tc>
          <w:tcPr>
            <w:tcW w:w="4191" w:type="dxa"/>
            <w:tcBorders>
              <w:top w:val="nil"/>
              <w:left w:val="double" w:color="000000" w:sz="6" w:space="0"/>
              <w:bottom w:val="single" w:color="000000" w:sz="4" w:space="0"/>
              <w:right w:val="single" w:color="000000" w:sz="4" w:space="0"/>
            </w:tcBorders>
            <w:shd w:val="clear" w:color="auto" w:fill="auto"/>
            <w:vAlign w:val="center"/>
          </w:tcPr>
          <w:p w14:paraId="34AA221D">
            <w:pPr>
              <w:widowControl/>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劳务费</w:t>
            </w:r>
          </w:p>
        </w:tc>
        <w:tc>
          <w:tcPr>
            <w:tcW w:w="1481" w:type="dxa"/>
            <w:tcBorders>
              <w:top w:val="nil"/>
              <w:left w:val="nil"/>
              <w:bottom w:val="single" w:color="000000" w:sz="4" w:space="0"/>
              <w:right w:val="single" w:color="000000" w:sz="4" w:space="0"/>
            </w:tcBorders>
            <w:shd w:val="clear" w:color="auto" w:fill="auto"/>
            <w:vAlign w:val="center"/>
          </w:tcPr>
          <w:p w14:paraId="16BB320F">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1394" w:type="dxa"/>
            <w:tcBorders>
              <w:top w:val="nil"/>
              <w:left w:val="nil"/>
              <w:bottom w:val="single" w:color="000000" w:sz="4" w:space="0"/>
              <w:right w:val="single" w:color="000000" w:sz="4" w:space="0"/>
            </w:tcBorders>
            <w:shd w:val="clear" w:color="auto" w:fill="auto"/>
          </w:tcPr>
          <w:p w14:paraId="6399739F">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¥600.00</w:t>
            </w:r>
          </w:p>
        </w:tc>
        <w:tc>
          <w:tcPr>
            <w:tcW w:w="1727" w:type="dxa"/>
            <w:tcBorders>
              <w:top w:val="nil"/>
              <w:left w:val="nil"/>
              <w:bottom w:val="single" w:color="000000" w:sz="4" w:space="0"/>
              <w:right w:val="double" w:color="000000" w:sz="6" w:space="0"/>
            </w:tcBorders>
            <w:shd w:val="clear" w:color="auto" w:fill="auto"/>
            <w:vAlign w:val="center"/>
          </w:tcPr>
          <w:p w14:paraId="0DFF6841">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　</w:t>
            </w:r>
          </w:p>
        </w:tc>
      </w:tr>
      <w:tr w14:paraId="3D0CF0AA">
        <w:tblPrEx>
          <w:tblCellMar>
            <w:top w:w="0" w:type="dxa"/>
            <w:left w:w="108" w:type="dxa"/>
            <w:bottom w:w="0" w:type="dxa"/>
            <w:right w:w="108" w:type="dxa"/>
          </w:tblCellMar>
        </w:tblPrEx>
        <w:trPr>
          <w:trHeight w:val="499" w:hRule="atLeast"/>
        </w:trPr>
        <w:tc>
          <w:tcPr>
            <w:tcW w:w="4191" w:type="dxa"/>
            <w:tcBorders>
              <w:top w:val="nil"/>
              <w:left w:val="double" w:color="000000" w:sz="6" w:space="0"/>
              <w:bottom w:val="single" w:color="000000" w:sz="4" w:space="0"/>
              <w:right w:val="single" w:color="000000" w:sz="4" w:space="0"/>
            </w:tcBorders>
            <w:shd w:val="clear" w:color="auto" w:fill="auto"/>
            <w:vAlign w:val="center"/>
          </w:tcPr>
          <w:p w14:paraId="16450EB6">
            <w:pPr>
              <w:widowControl/>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间接费用-管理费</w:t>
            </w:r>
          </w:p>
        </w:tc>
        <w:tc>
          <w:tcPr>
            <w:tcW w:w="1481" w:type="dxa"/>
            <w:tcBorders>
              <w:top w:val="nil"/>
              <w:left w:val="nil"/>
              <w:bottom w:val="single" w:color="000000" w:sz="4" w:space="0"/>
              <w:right w:val="single" w:color="000000" w:sz="4" w:space="0"/>
            </w:tcBorders>
            <w:shd w:val="clear" w:color="auto" w:fill="auto"/>
            <w:vAlign w:val="center"/>
          </w:tcPr>
          <w:p w14:paraId="0D9F8855">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　</w:t>
            </w:r>
          </w:p>
        </w:tc>
        <w:tc>
          <w:tcPr>
            <w:tcW w:w="1394" w:type="dxa"/>
            <w:tcBorders>
              <w:top w:val="nil"/>
              <w:left w:val="nil"/>
              <w:bottom w:val="single" w:color="000000" w:sz="4" w:space="0"/>
              <w:right w:val="single" w:color="000000" w:sz="4" w:space="0"/>
            </w:tcBorders>
            <w:shd w:val="clear" w:color="auto" w:fill="auto"/>
          </w:tcPr>
          <w:p w14:paraId="3AA11A6C">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¥25,980.00</w:t>
            </w:r>
          </w:p>
        </w:tc>
        <w:tc>
          <w:tcPr>
            <w:tcW w:w="1727" w:type="dxa"/>
            <w:tcBorders>
              <w:top w:val="nil"/>
              <w:left w:val="nil"/>
              <w:bottom w:val="single" w:color="000000" w:sz="4" w:space="0"/>
              <w:right w:val="double" w:color="000000" w:sz="6" w:space="0"/>
            </w:tcBorders>
            <w:shd w:val="clear" w:color="auto" w:fill="auto"/>
            <w:vAlign w:val="center"/>
          </w:tcPr>
          <w:p w14:paraId="46B8AC5E">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　</w:t>
            </w:r>
          </w:p>
        </w:tc>
      </w:tr>
      <w:tr w14:paraId="56BA0662">
        <w:tblPrEx>
          <w:tblCellMar>
            <w:top w:w="0" w:type="dxa"/>
            <w:left w:w="108" w:type="dxa"/>
            <w:bottom w:w="0" w:type="dxa"/>
            <w:right w:w="108" w:type="dxa"/>
          </w:tblCellMar>
        </w:tblPrEx>
        <w:trPr>
          <w:trHeight w:val="499" w:hRule="atLeast"/>
        </w:trPr>
        <w:tc>
          <w:tcPr>
            <w:tcW w:w="4191" w:type="dxa"/>
            <w:tcBorders>
              <w:top w:val="nil"/>
              <w:left w:val="double" w:color="000000" w:sz="6" w:space="0"/>
              <w:bottom w:val="single" w:color="000000" w:sz="4" w:space="0"/>
              <w:right w:val="single" w:color="000000" w:sz="4" w:space="0"/>
            </w:tcBorders>
            <w:shd w:val="clear" w:color="auto" w:fill="auto"/>
            <w:vAlign w:val="center"/>
          </w:tcPr>
          <w:p w14:paraId="7CA7F686">
            <w:pPr>
              <w:widowControl/>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专项合计</w:t>
            </w:r>
          </w:p>
        </w:tc>
        <w:tc>
          <w:tcPr>
            <w:tcW w:w="1481" w:type="dxa"/>
            <w:tcBorders>
              <w:top w:val="nil"/>
              <w:left w:val="nil"/>
              <w:bottom w:val="single" w:color="000000" w:sz="4" w:space="0"/>
              <w:right w:val="single" w:color="000000" w:sz="4" w:space="0"/>
            </w:tcBorders>
            <w:shd w:val="clear" w:color="auto" w:fill="auto"/>
            <w:vAlign w:val="center"/>
          </w:tcPr>
          <w:p w14:paraId="35FAE2F0">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¥519,600.00</w:t>
            </w:r>
          </w:p>
        </w:tc>
        <w:tc>
          <w:tcPr>
            <w:tcW w:w="1394" w:type="dxa"/>
            <w:tcBorders>
              <w:top w:val="nil"/>
              <w:left w:val="nil"/>
              <w:bottom w:val="single" w:color="000000" w:sz="4" w:space="0"/>
              <w:right w:val="single" w:color="000000" w:sz="4" w:space="0"/>
            </w:tcBorders>
            <w:shd w:val="clear" w:color="auto" w:fill="auto"/>
            <w:vAlign w:val="center"/>
          </w:tcPr>
          <w:p w14:paraId="60B50E30">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¥224,971.05</w:t>
            </w:r>
          </w:p>
        </w:tc>
        <w:tc>
          <w:tcPr>
            <w:tcW w:w="1727" w:type="dxa"/>
            <w:tcBorders>
              <w:top w:val="nil"/>
              <w:left w:val="nil"/>
              <w:bottom w:val="single" w:color="000000" w:sz="4" w:space="0"/>
              <w:right w:val="double" w:color="000000" w:sz="6" w:space="0"/>
            </w:tcBorders>
            <w:shd w:val="clear" w:color="auto" w:fill="auto"/>
            <w:vAlign w:val="center"/>
          </w:tcPr>
          <w:p w14:paraId="5E5048FE">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¥294,628.95</w:t>
            </w:r>
          </w:p>
        </w:tc>
      </w:tr>
    </w:tbl>
    <w:p w14:paraId="388F5723">
      <w:pPr>
        <w:numPr>
          <w:ilvl w:val="0"/>
          <w:numId w:val="7"/>
        </w:numPr>
        <w:adjustRightInd w:val="0"/>
        <w:snapToGrid w:val="0"/>
        <w:spacing w:line="600" w:lineRule="exact"/>
        <w:ind w:firstLine="720"/>
        <w:rPr>
          <w:rFonts w:eastAsia="楷体_GB2312"/>
          <w:b/>
          <w:sz w:val="32"/>
          <w:szCs w:val="32"/>
          <w:lang w:val="zh-CN"/>
        </w:rPr>
      </w:pPr>
      <w:r>
        <w:rPr>
          <w:rFonts w:eastAsia="楷体_GB2312"/>
          <w:b/>
          <w:sz w:val="32"/>
          <w:szCs w:val="32"/>
          <w:lang w:val="zh-CN"/>
        </w:rPr>
        <w:t>项目财务管理情况。</w:t>
      </w:r>
    </w:p>
    <w:p w14:paraId="4216F154">
      <w:pPr>
        <w:autoSpaceDE w:val="0"/>
        <w:autoSpaceDN w:val="0"/>
        <w:adjustRightInd w:val="0"/>
        <w:spacing w:line="600" w:lineRule="exact"/>
        <w:ind w:firstLine="640" w:firstLineChars="200"/>
        <w:jc w:val="left"/>
        <w:rPr>
          <w:rFonts w:hint="default" w:eastAsia="仿宋_GB2312"/>
          <w:sz w:val="32"/>
          <w:szCs w:val="32"/>
          <w:lang w:val="en-US" w:eastAsia="zh-CN"/>
        </w:rPr>
      </w:pPr>
      <w:r>
        <w:rPr>
          <w:rFonts w:hint="eastAsia" w:ascii="仿宋_GB2312" w:hAnsi="仿宋_GB2312" w:eastAsia="仿宋_GB2312" w:cs="仿宋_GB2312"/>
          <w:sz w:val="32"/>
          <w:szCs w:val="32"/>
        </w:rPr>
        <w:t>本项目由四川钒钛产业技术研究院组织实施，财物管理制度健全，设有独立财物部门，院内所有经费的预算、支付等均需严格按照《四川钒钛产业技术研究院财务管理办法》、《四川钒钛产业技术研究院预算管理办法》执行。产业技术研究院财物人员账务处理及时，会计核算规范，财物资料保存符合财务管理规定。</w:t>
      </w:r>
    </w:p>
    <w:p w14:paraId="3FF83D3A">
      <w:pPr>
        <w:adjustRightInd w:val="0"/>
        <w:snapToGrid w:val="0"/>
        <w:spacing w:line="600" w:lineRule="exact"/>
        <w:ind w:firstLine="720"/>
        <w:rPr>
          <w:rFonts w:eastAsia="黑体"/>
          <w:sz w:val="32"/>
          <w:szCs w:val="32"/>
        </w:rPr>
      </w:pPr>
      <w:r>
        <w:rPr>
          <w:rFonts w:eastAsia="黑体"/>
          <w:sz w:val="32"/>
          <w:szCs w:val="32"/>
        </w:rPr>
        <w:t>三、项目实施及管理情况</w:t>
      </w:r>
    </w:p>
    <w:p w14:paraId="07C38A97">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（一）项目组织架构及实施流程。</w:t>
      </w:r>
    </w:p>
    <w:p w14:paraId="66119134">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项目组织架构：</w:t>
      </w:r>
    </w:p>
    <w:p w14:paraId="4E46BA66">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项目承担单位：四川钒钛产业技术研究院</w:t>
      </w:r>
    </w:p>
    <w:p w14:paraId="4B31A5AB">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主要负责项目组织、管理、技术孵化、成果转化、实施监管及验收等。</w:t>
      </w:r>
    </w:p>
    <w:p w14:paraId="52040A96">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项目合作单位：攀枝花学院</w:t>
      </w:r>
    </w:p>
    <w:p w14:paraId="3BCF0E1F">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主要负责项目理论研究、实验研究及检测等。</w:t>
      </w:r>
    </w:p>
    <w:p w14:paraId="4C9DE5D9">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实施流程：</w:t>
      </w:r>
    </w:p>
    <w:p w14:paraId="6CE3FB15">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267960" cy="648335"/>
            <wp:effectExtent l="0" t="0" r="8890" b="184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5267960" cy="648335"/>
                    </a:xfrm>
                    <a:prstGeom prst="rect">
                      <a:avLst/>
                    </a:prstGeom>
                    <a:noFill/>
                    <a:ln>
                      <a:noFill/>
                    </a:ln>
                  </pic:spPr>
                </pic:pic>
              </a:graphicData>
            </a:graphic>
          </wp:inline>
        </w:drawing>
      </w:r>
    </w:p>
    <w:p w14:paraId="6E24447F">
      <w:pPr>
        <w:autoSpaceDE w:val="0"/>
        <w:autoSpaceDN w:val="0"/>
        <w:adjustRightInd w:val="0"/>
        <w:spacing w:line="60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项目组资金使用严格遵守《四川钒钛产业技术研究院财务管理办法》、《四川钒钛产业技术研究院预算管理办法》，按照研究院规定的审批及报销流程严格实施。</w:t>
      </w:r>
    </w:p>
    <w:p w14:paraId="6CFE226A">
      <w:pPr>
        <w:numPr>
          <w:ilvl w:val="0"/>
          <w:numId w:val="8"/>
        </w:numPr>
        <w:adjustRightInd w:val="0"/>
        <w:snapToGrid w:val="0"/>
        <w:spacing w:line="600" w:lineRule="exact"/>
        <w:ind w:firstLine="720"/>
        <w:rPr>
          <w:rFonts w:eastAsia="楷体_GB2312"/>
          <w:b/>
          <w:sz w:val="32"/>
          <w:szCs w:val="32"/>
          <w:lang w:val="zh-CN"/>
        </w:rPr>
      </w:pPr>
      <w:r>
        <w:rPr>
          <w:rFonts w:eastAsia="楷体_GB2312"/>
          <w:b/>
          <w:sz w:val="32"/>
          <w:szCs w:val="32"/>
          <w:lang w:val="zh-CN"/>
        </w:rPr>
        <w:t>项目管理情况。</w:t>
      </w:r>
    </w:p>
    <w:p w14:paraId="504FA744">
      <w:pPr>
        <w:pStyle w:val="16"/>
        <w:numPr>
          <w:ilvl w:val="0"/>
          <w:numId w:val="0"/>
        </w:numPr>
        <w:rPr>
          <w:rFonts w:hint="default" w:ascii="仿宋_GB2312" w:hAnsi="仿宋_GB2312" w:eastAsia="仿宋_GB2312" w:cs="仿宋_GB2312"/>
          <w:kern w:val="2"/>
          <w:sz w:val="32"/>
          <w:szCs w:val="32"/>
          <w:lang w:val="en-US" w:eastAsia="zh-CN" w:bidi="ar-SA"/>
        </w:rPr>
      </w:pP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本项目严格按照四川钒钛产业技术研究院科研项目管理办法执行。</w:t>
      </w:r>
    </w:p>
    <w:p w14:paraId="7949B0D1">
      <w:pPr>
        <w:adjustRightInd w:val="0"/>
        <w:snapToGrid w:val="0"/>
        <w:spacing w:line="600" w:lineRule="exact"/>
        <w:ind w:firstLine="720"/>
        <w:rPr>
          <w:rFonts w:eastAsia="楷体_GB2312"/>
          <w:b/>
          <w:sz w:val="32"/>
          <w:szCs w:val="32"/>
          <w:lang w:val="zh-CN"/>
        </w:rPr>
      </w:pPr>
      <w:r>
        <w:rPr>
          <w:rFonts w:eastAsia="楷体_GB2312"/>
          <w:b/>
          <w:sz w:val="32"/>
          <w:szCs w:val="32"/>
          <w:lang w:val="zh-CN"/>
        </w:rPr>
        <w:t>（三）项目监管情况。</w:t>
      </w:r>
    </w:p>
    <w:p w14:paraId="36688BB4">
      <w:pPr>
        <w:autoSpaceDE w:val="0"/>
        <w:autoSpaceDN w:val="0"/>
        <w:adjustRightInd w:val="0"/>
        <w:spacing w:line="600" w:lineRule="exact"/>
        <w:ind w:firstLine="640" w:firstLineChars="200"/>
        <w:jc w:val="left"/>
        <w:rPr>
          <w:rFonts w:hint="default" w:eastAsia="楷体_GB2312"/>
          <w:sz w:val="32"/>
          <w:szCs w:val="32"/>
          <w:lang w:val="en-US" w:eastAsia="zh-CN"/>
        </w:rPr>
      </w:pPr>
      <w:r>
        <w:rPr>
          <w:rFonts w:hint="eastAsia" w:ascii="仿宋_GB2312" w:hAnsi="仿宋_GB2312" w:eastAsia="仿宋_GB2312" w:cs="仿宋_GB2312"/>
          <w:sz w:val="32"/>
          <w:szCs w:val="32"/>
        </w:rPr>
        <w:t>一是强化市级主管部门监管。攀枝花市科技局定期不定期采取现场考察、听取汇报等方式动态跟进相关项目实施情况，并协调解决项目执行中存在的问题。</w:t>
      </w:r>
      <w:r>
        <w:rPr>
          <w:rFonts w:hint="eastAsia" w:ascii="仿宋_GB2312" w:hAnsi="仿宋_GB2312" w:eastAsia="仿宋_GB2312" w:cs="仿宋_GB2312"/>
          <w:sz w:val="32"/>
          <w:szCs w:val="32"/>
          <w:lang w:eastAsia="zh-CN"/>
        </w:rPr>
        <w:t>二是加强承担单位监管。</w:t>
      </w:r>
      <w:r>
        <w:rPr>
          <w:rFonts w:hint="eastAsia" w:ascii="仿宋_GB2312" w:hAnsi="仿宋_GB2312" w:eastAsia="仿宋_GB2312" w:cs="仿宋_GB2312"/>
          <w:sz w:val="32"/>
          <w:szCs w:val="32"/>
        </w:rPr>
        <w:t>四川钒钛产业技术研究院制订了完整而齐备的项目资金使用管理方法、实验室安全管理办法等保证了实验项目在有法可依有据可行的条件下开展；同时，钒钛产业技术研究院对实验室安全管理负责，每月一次安全检查，安全监督到位；钒钛产业技术研究院每月一次检查项目开展情况，督促项目按进度正常实施。</w:t>
      </w:r>
    </w:p>
    <w:p w14:paraId="2F6CFF28">
      <w:pPr>
        <w:adjustRightInd w:val="0"/>
        <w:snapToGrid w:val="0"/>
        <w:spacing w:line="600" w:lineRule="exact"/>
        <w:ind w:firstLine="720"/>
        <w:rPr>
          <w:sz w:val="32"/>
          <w:szCs w:val="32"/>
          <w:lang w:val="zh-CN"/>
        </w:rPr>
      </w:pPr>
      <w:r>
        <w:rPr>
          <w:rFonts w:eastAsia="黑体"/>
          <w:sz w:val="32"/>
          <w:szCs w:val="32"/>
        </w:rPr>
        <w:t>四、项目绩效情况</w:t>
      </w:r>
      <w:r>
        <w:rPr>
          <w:sz w:val="32"/>
          <w:szCs w:val="32"/>
          <w:lang w:val="zh-CN"/>
        </w:rPr>
        <w:tab/>
      </w:r>
    </w:p>
    <w:p w14:paraId="521CF9BC">
      <w:pPr>
        <w:adjustRightInd w:val="0"/>
        <w:snapToGrid w:val="0"/>
        <w:spacing w:line="600" w:lineRule="exact"/>
        <w:ind w:firstLine="720"/>
        <w:rPr>
          <w:rFonts w:eastAsia="楷体_GB2312"/>
          <w:b/>
          <w:sz w:val="32"/>
          <w:szCs w:val="32"/>
          <w:lang w:val="zh-CN"/>
        </w:rPr>
      </w:pPr>
      <w:r>
        <w:rPr>
          <w:rFonts w:eastAsia="楷体_GB2312"/>
          <w:b/>
          <w:sz w:val="32"/>
          <w:szCs w:val="32"/>
          <w:lang w:val="zh-CN"/>
        </w:rPr>
        <w:t>（一）项目完成情况。</w:t>
      </w:r>
    </w:p>
    <w:p w14:paraId="11DED053">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US" w:eastAsia="zh-CN" w:bidi="ar-SA"/>
        </w:rPr>
        <w:t>通过优化喷吹系统突破气雾化制备粉体过程中的粒度、流动性和形貌控制等关键技术，制备出粉体粒度为45～150μm的比例≥60%、球形度≥90%、流动性≤20g/s的含钒钛熔覆材料；通过分析自制粉体熔覆于锻钢轧辊的熔覆层综合性能进一步优化熔覆材料成分、制备和熔覆工艺。</w:t>
      </w:r>
    </w:p>
    <w:p w14:paraId="58DABB04">
      <w:pPr>
        <w:numPr>
          <w:ilvl w:val="0"/>
          <w:numId w:val="8"/>
        </w:numPr>
        <w:adjustRightInd w:val="0"/>
        <w:snapToGrid w:val="0"/>
        <w:spacing w:line="600" w:lineRule="exact"/>
        <w:ind w:left="0" w:leftChars="0" w:firstLine="720" w:firstLineChars="0"/>
        <w:rPr>
          <w:rFonts w:eastAsia="楷体_GB2312"/>
          <w:b/>
          <w:sz w:val="32"/>
          <w:szCs w:val="32"/>
          <w:lang w:val="zh-CN"/>
        </w:rPr>
      </w:pPr>
      <w:r>
        <w:rPr>
          <w:rFonts w:eastAsia="楷体_GB2312"/>
          <w:b/>
          <w:sz w:val="32"/>
          <w:szCs w:val="32"/>
          <w:lang w:val="zh-CN"/>
        </w:rPr>
        <w:t>项目效益情况。</w:t>
      </w:r>
    </w:p>
    <w:p w14:paraId="1DD2CD32">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本项目通过实施，可以提高项目成员的研发能力，推动当地经济社会的发展。本研究发表的学术论文和申请的发明专利可为相关研究提供借鉴，促进科技进步。</w:t>
      </w:r>
    </w:p>
    <w:p w14:paraId="6823F0D8">
      <w:pPr>
        <w:adjustRightInd w:val="0"/>
        <w:snapToGrid w:val="0"/>
        <w:spacing w:line="600" w:lineRule="exact"/>
        <w:ind w:firstLine="720"/>
        <w:rPr>
          <w:rFonts w:eastAsia="黑体"/>
          <w:sz w:val="32"/>
          <w:szCs w:val="32"/>
        </w:rPr>
      </w:pPr>
      <w:r>
        <w:rPr>
          <w:rFonts w:eastAsia="黑体"/>
          <w:sz w:val="32"/>
          <w:szCs w:val="32"/>
        </w:rPr>
        <w:t>五、评价结论及建议</w:t>
      </w:r>
    </w:p>
    <w:p w14:paraId="608D4676">
      <w:pPr>
        <w:adjustRightInd w:val="0"/>
        <w:snapToGrid w:val="0"/>
        <w:spacing w:line="600" w:lineRule="exact"/>
        <w:ind w:firstLine="720"/>
        <w:rPr>
          <w:rFonts w:eastAsia="楷体_GB2312"/>
          <w:b/>
          <w:sz w:val="32"/>
          <w:szCs w:val="32"/>
          <w:lang w:val="zh-CN"/>
        </w:rPr>
      </w:pPr>
      <w:r>
        <w:rPr>
          <w:rFonts w:eastAsia="楷体_GB2312"/>
          <w:b/>
          <w:sz w:val="32"/>
          <w:szCs w:val="32"/>
          <w:lang w:val="zh-CN"/>
        </w:rPr>
        <w:t>（一）评价结论。</w:t>
      </w:r>
    </w:p>
    <w:p w14:paraId="565654D3">
      <w:pPr>
        <w:adjustRightInd w:val="0"/>
        <w:snapToGrid w:val="0"/>
        <w:spacing w:line="540" w:lineRule="exact"/>
        <w:ind w:firstLine="640" w:firstLineChars="200"/>
        <w:rPr>
          <w:rFonts w:hint="default"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US" w:eastAsia="zh-CN" w:bidi="ar-SA"/>
        </w:rPr>
        <w:t>本项目通过实施，将填补为工业关键部件修复及再制造研发、生产专用含钒钛熔覆粉体材料的空白，首次在本地通过激光修复型材轧制关键部件锻钢轧辊，使其成本低于目前采用埋弧堆焊技术的修复成本，解决现有修复方法中存在的周期长、能耗高、作业环境不友好等问题，更重要的是还可降低碳排放，还可以本项目研究成果作为基础，继续研发其它类型工业关键修复及再制造所需的专用含钒钛粉体材料。因此，实施本项目意义重大。</w:t>
      </w:r>
    </w:p>
    <w:p w14:paraId="3CD1C749">
      <w:pPr>
        <w:numPr>
          <w:ilvl w:val="0"/>
          <w:numId w:val="9"/>
        </w:numPr>
        <w:adjustRightInd w:val="0"/>
        <w:snapToGrid w:val="0"/>
        <w:spacing w:line="600" w:lineRule="exact"/>
        <w:ind w:firstLine="720"/>
        <w:rPr>
          <w:rFonts w:eastAsia="楷体_GB2312"/>
          <w:b/>
          <w:sz w:val="32"/>
          <w:szCs w:val="32"/>
          <w:lang w:val="zh-CN"/>
        </w:rPr>
      </w:pPr>
      <w:r>
        <w:rPr>
          <w:rFonts w:eastAsia="楷体_GB2312"/>
          <w:b/>
          <w:sz w:val="32"/>
          <w:szCs w:val="32"/>
          <w:lang w:val="zh-CN"/>
        </w:rPr>
        <w:t>存在的问题。</w:t>
      </w:r>
    </w:p>
    <w:p w14:paraId="086CF458">
      <w:pPr>
        <w:adjustRightInd w:val="0"/>
        <w:snapToGrid w:val="0"/>
        <w:spacing w:line="540" w:lineRule="exact"/>
        <w:ind w:firstLine="640" w:firstLineChars="200"/>
        <w:rPr>
          <w:rFonts w:hint="default" w:ascii="仿宋_GB2312" w:hAnsi="仿宋_GB2312" w:eastAsia="仿宋_GB2312" w:cs="仿宋_GB2312"/>
          <w:kern w:val="2"/>
          <w:sz w:val="32"/>
          <w:szCs w:val="32"/>
          <w:lang w:val="en" w:eastAsia="zh-CN" w:bidi="ar-SA"/>
        </w:rPr>
      </w:pPr>
      <w:r>
        <w:rPr>
          <w:rFonts w:hint="eastAsia" w:ascii="仿宋_GB2312" w:hAnsi="仿宋_GB2312" w:eastAsia="仿宋_GB2312" w:cs="仿宋_GB2312"/>
          <w:kern w:val="2"/>
          <w:sz w:val="32"/>
          <w:szCs w:val="32"/>
          <w:lang w:val="en-US" w:eastAsia="zh-CN" w:bidi="ar-SA"/>
        </w:rPr>
        <w:t>本项目实验室研究工作按年度计划正常开展，2022年新冠疫情假期实验室诸多检测设备不开放，学生不能在学校推进试样研究，对实验进度有一定的影响，目前开展的工作中以计算机模拟部分居多。</w:t>
      </w:r>
    </w:p>
    <w:p w14:paraId="78D525DC">
      <w:pPr>
        <w:numPr>
          <w:ilvl w:val="0"/>
          <w:numId w:val="0"/>
        </w:numPr>
        <w:adjustRightInd w:val="0"/>
        <w:snapToGrid w:val="0"/>
        <w:spacing w:line="600" w:lineRule="exact"/>
        <w:rPr>
          <w:rFonts w:hint="eastAsia" w:eastAsia="楷体_GB2312"/>
          <w:b/>
          <w:sz w:val="32"/>
          <w:szCs w:val="32"/>
          <w:lang w:val="zh-CN" w:eastAsia="zh-CN"/>
        </w:rPr>
      </w:pPr>
      <w:r>
        <w:rPr>
          <w:rFonts w:hint="eastAsia" w:eastAsia="楷体_GB2312"/>
          <w:b/>
          <w:sz w:val="32"/>
          <w:szCs w:val="32"/>
          <w:lang w:val="en-US" w:eastAsia="zh-CN"/>
        </w:rPr>
        <w:t xml:space="preserve">    </w:t>
      </w:r>
      <w:r>
        <w:rPr>
          <w:rFonts w:hint="eastAsia" w:eastAsia="楷体_GB2312"/>
          <w:b/>
          <w:sz w:val="32"/>
          <w:szCs w:val="32"/>
          <w:lang w:val="zh-CN" w:eastAsia="zh-CN"/>
        </w:rPr>
        <w:t>（三）相关建议。</w:t>
      </w:r>
    </w:p>
    <w:p w14:paraId="6B648DE7">
      <w:pPr>
        <w:rPr>
          <w:rFonts w:hint="default" w:ascii="方正小标宋简体" w:hAnsi="方正小标宋简体" w:eastAsia="方正小标宋简体" w:cs="方正小标宋简体"/>
          <w:color w:val="auto"/>
          <w:kern w:val="2"/>
          <w:sz w:val="32"/>
          <w:szCs w:val="32"/>
          <w:lang w:val="en-US" w:eastAsia="zh-CN"/>
        </w:rPr>
      </w:pPr>
      <w:r>
        <w:rPr>
          <w:rFonts w:hint="default"/>
          <w:sz w:val="32"/>
          <w:szCs w:val="32"/>
          <w:lang w:val="en"/>
        </w:rPr>
        <w:t xml:space="preserve">    </w:t>
      </w:r>
      <w:r>
        <w:rPr>
          <w:rFonts w:hint="eastAsia"/>
          <w:sz w:val="32"/>
          <w:szCs w:val="32"/>
          <w:lang w:val="en" w:eastAsia="zh-CN"/>
        </w:rPr>
        <w:t>无。</w:t>
      </w:r>
    </w:p>
    <w:p w14:paraId="20BA318C">
      <w:pPr>
        <w:adjustRightInd w:val="0"/>
        <w:snapToGrid w:val="0"/>
        <w:spacing w:line="578" w:lineRule="exact"/>
        <w:ind w:firstLine="720"/>
        <w:rPr>
          <w:rFonts w:hint="eastAsia" w:ascii="黑体" w:hAnsi="宋体" w:eastAsia="黑体"/>
          <w:sz w:val="32"/>
          <w:szCs w:val="32"/>
        </w:rPr>
      </w:pPr>
    </w:p>
    <w:p w14:paraId="2490D2F4">
      <w:r>
        <w:br w:type="page"/>
      </w:r>
    </w:p>
    <w:p w14:paraId="315D92B1">
      <w:pPr>
        <w:pStyle w:val="38"/>
        <w:spacing w:line="578" w:lineRule="exact"/>
        <w:jc w:val="center"/>
        <w:rPr>
          <w:rFonts w:hint="eastAsia"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2023年市级专项资金预算项目绩效自评报告</w:t>
      </w:r>
    </w:p>
    <w:p w14:paraId="1675A8AE">
      <w:pPr>
        <w:jc w:val="center"/>
        <w:rPr>
          <w:rFonts w:hint="eastAsia" w:ascii="方正小标宋简体" w:hAnsi="方正小标宋简体" w:eastAsia="方正小标宋简体" w:cs="方正小标宋简体"/>
          <w:color w:val="auto"/>
          <w:kern w:val="2"/>
          <w:sz w:val="32"/>
          <w:szCs w:val="32"/>
          <w:lang w:val="en-US" w:eastAsia="zh-CN" w:bidi="ar-SA"/>
        </w:rPr>
      </w:pPr>
      <w:r>
        <w:rPr>
          <w:rFonts w:hint="eastAsia" w:ascii="方正小标宋简体" w:hAnsi="方正小标宋简体" w:eastAsia="方正小标宋简体" w:cs="方正小标宋简体"/>
          <w:color w:val="auto"/>
          <w:kern w:val="2"/>
          <w:sz w:val="32"/>
          <w:szCs w:val="32"/>
          <w:lang w:val="en-US" w:eastAsia="zh-CN" w:bidi="ar-SA"/>
        </w:rPr>
        <w:t>（干部教育培训）</w:t>
      </w:r>
    </w:p>
    <w:p w14:paraId="0065BA81">
      <w:pPr>
        <w:keepNext w:val="0"/>
        <w:keepLines w:val="0"/>
        <w:pageBreakBefore w:val="0"/>
        <w:kinsoku/>
        <w:wordWrap/>
        <w:overflowPunct/>
        <w:topLinePunct w:val="0"/>
        <w:bidi w:val="0"/>
        <w:adjustRightInd w:val="0"/>
        <w:snapToGrid w:val="0"/>
        <w:spacing w:line="560" w:lineRule="exact"/>
        <w:ind w:firstLine="720"/>
        <w:rPr>
          <w:rFonts w:hint="eastAsia" w:ascii="黑体" w:eastAsia="黑体"/>
          <w:sz w:val="32"/>
          <w:szCs w:val="32"/>
        </w:rPr>
      </w:pPr>
    </w:p>
    <w:p w14:paraId="54DE53A2">
      <w:pPr>
        <w:keepNext w:val="0"/>
        <w:keepLines w:val="0"/>
        <w:pageBreakBefore w:val="0"/>
        <w:kinsoku/>
        <w:wordWrap/>
        <w:overflowPunct/>
        <w:topLinePunct w:val="0"/>
        <w:bidi w:val="0"/>
        <w:adjustRightInd w:val="0"/>
        <w:snapToGrid w:val="0"/>
        <w:spacing w:line="560" w:lineRule="exact"/>
        <w:ind w:firstLine="72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14:paraId="57833DC7">
      <w:pPr>
        <w:keepNext w:val="0"/>
        <w:keepLines w:val="0"/>
        <w:pageBreakBefore w:val="0"/>
        <w:kinsoku/>
        <w:wordWrap/>
        <w:overflowPunct/>
        <w:topLinePunct w:val="0"/>
        <w:bidi w:val="0"/>
        <w:adjustRightInd w:val="0"/>
        <w:snapToGrid w:val="0"/>
        <w:spacing w:line="560" w:lineRule="exact"/>
        <w:ind w:firstLine="720"/>
        <w:rPr>
          <w:rFonts w:ascii="仿宋_GB2312"/>
          <w:sz w:val="32"/>
          <w:szCs w:val="32"/>
          <w:lang w:val="zh-CN"/>
        </w:rPr>
      </w:pPr>
      <w:r>
        <w:rPr>
          <w:rFonts w:hint="eastAsia" w:ascii="仿宋_GB2312"/>
          <w:sz w:val="32"/>
          <w:szCs w:val="32"/>
          <w:lang w:val="zh-CN"/>
        </w:rPr>
        <w:t>介绍项目基本情况，重点说明以下内容：</w:t>
      </w:r>
    </w:p>
    <w:p w14:paraId="54802B2B">
      <w:pPr>
        <w:keepNext w:val="0"/>
        <w:keepLines w:val="0"/>
        <w:pageBreakBefore w:val="0"/>
        <w:numPr>
          <w:ilvl w:val="0"/>
          <w:numId w:val="10"/>
        </w:numPr>
        <w:kinsoku/>
        <w:wordWrap/>
        <w:overflowPunct/>
        <w:topLinePunct w:val="0"/>
        <w:autoSpaceDE w:val="0"/>
        <w:autoSpaceDN w:val="0"/>
        <w:bidi w:val="0"/>
        <w:adjustRightInd w:val="0"/>
        <w:spacing w:line="560" w:lineRule="exact"/>
        <w:ind w:left="0" w:firstLine="643" w:firstLineChars="200"/>
        <w:jc w:val="left"/>
        <w:rPr>
          <w:rFonts w:hint="eastAsia" w:ascii="楷体_GB2312" w:eastAsia="楷体_GB2312"/>
          <w:b/>
          <w:sz w:val="32"/>
          <w:szCs w:val="32"/>
          <w:lang w:val="zh-CN"/>
        </w:rPr>
      </w:pPr>
      <w:r>
        <w:rPr>
          <w:rFonts w:hint="eastAsia" w:ascii="楷体_GB2312" w:eastAsia="楷体_GB2312"/>
          <w:b/>
          <w:sz w:val="32"/>
          <w:szCs w:val="32"/>
          <w:lang w:val="zh-CN"/>
        </w:rPr>
        <w:t>项目资金申报及批复情况。</w:t>
      </w:r>
    </w:p>
    <w:p w14:paraId="01EC4C7C">
      <w:pPr>
        <w:keepNext w:val="0"/>
        <w:keepLines w:val="0"/>
        <w:pageBreakBefore w:val="0"/>
        <w:kinsoku/>
        <w:wordWrap/>
        <w:overflowPunct/>
        <w:topLinePunct w:val="0"/>
        <w:autoSpaceDE w:val="0"/>
        <w:autoSpaceDN w:val="0"/>
        <w:bidi w:val="0"/>
        <w:adjustRightInd w:val="0"/>
        <w:spacing w:line="560" w:lineRule="exact"/>
        <w:jc w:val="left"/>
        <w:rPr>
          <w:rFonts w:ascii="仿宋_GB2312"/>
          <w:sz w:val="32"/>
          <w:szCs w:val="32"/>
          <w:lang w:val="zh-CN"/>
        </w:rPr>
      </w:pPr>
      <w:r>
        <w:rPr>
          <w:rFonts w:hint="eastAsia" w:cs="Times New Roman"/>
          <w:kern w:val="0"/>
          <w:sz w:val="32"/>
          <w:szCs w:val="32"/>
          <w:lang w:val="en-US" w:eastAsia="zh-CN"/>
        </w:rPr>
        <w:t xml:space="preserve">     市科技局2021年干部教育培训项目预算资金申报12万元，批复数12万元</w:t>
      </w:r>
      <w:r>
        <w:rPr>
          <w:rFonts w:hint="eastAsia" w:eastAsia="仿宋_GB2312"/>
          <w:color w:val="000000"/>
          <w:kern w:val="0"/>
          <w:sz w:val="32"/>
          <w:szCs w:val="32"/>
          <w:lang w:val="en-US" w:eastAsia="zh-CN"/>
        </w:rPr>
        <w:t>。</w:t>
      </w:r>
    </w:p>
    <w:p w14:paraId="71ABD0DC">
      <w:pPr>
        <w:keepNext w:val="0"/>
        <w:keepLines w:val="0"/>
        <w:pageBreakBefore w:val="0"/>
        <w:numPr>
          <w:ilvl w:val="0"/>
          <w:numId w:val="0"/>
        </w:numPr>
        <w:kinsoku/>
        <w:wordWrap/>
        <w:overflowPunct/>
        <w:topLinePunct w:val="0"/>
        <w:autoSpaceDE w:val="0"/>
        <w:autoSpaceDN w:val="0"/>
        <w:bidi w:val="0"/>
        <w:adjustRightInd w:val="0"/>
        <w:spacing w:line="560" w:lineRule="exact"/>
        <w:ind w:leftChars="200"/>
        <w:jc w:val="left"/>
        <w:rPr>
          <w:rFonts w:ascii="Times New Roman" w:hAnsi="Times New Roman" w:eastAsia="仿宋_GB2312"/>
          <w:kern w:val="0"/>
          <w:sz w:val="32"/>
          <w:szCs w:val="32"/>
        </w:rPr>
      </w:pPr>
      <w:r>
        <w:rPr>
          <w:rFonts w:hint="eastAsia" w:ascii="楷体_GB2312" w:eastAsia="楷体_GB2312"/>
          <w:b/>
          <w:sz w:val="32"/>
          <w:szCs w:val="32"/>
          <w:lang w:val="zh-CN"/>
        </w:rPr>
        <w:t>（二）项目绩效目标</w:t>
      </w:r>
    </w:p>
    <w:p w14:paraId="2AB41937">
      <w:pPr>
        <w:keepNext w:val="0"/>
        <w:keepLines w:val="0"/>
        <w:pageBreakBefore w:val="0"/>
        <w:numPr>
          <w:ilvl w:val="0"/>
          <w:numId w:val="0"/>
        </w:numPr>
        <w:kinsoku/>
        <w:wordWrap/>
        <w:overflowPunct/>
        <w:topLinePunct w:val="0"/>
        <w:autoSpaceDE w:val="0"/>
        <w:autoSpaceDN w:val="0"/>
        <w:bidi w:val="0"/>
        <w:adjustRightInd w:val="0"/>
        <w:spacing w:line="560" w:lineRule="exact"/>
        <w:ind w:leftChars="200"/>
        <w:jc w:val="left"/>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lang w:val="en-US" w:eastAsia="zh-CN"/>
        </w:rPr>
        <w:t>.</w:t>
      </w:r>
      <w:r>
        <w:rPr>
          <w:rFonts w:ascii="Times New Roman" w:hAnsi="Times New Roman" w:eastAsia="仿宋_GB2312"/>
          <w:kern w:val="0"/>
          <w:sz w:val="32"/>
          <w:szCs w:val="32"/>
        </w:rPr>
        <w:t>项目主要内容。</w:t>
      </w:r>
    </w:p>
    <w:p w14:paraId="39ED2A9E">
      <w:pPr>
        <w:keepNext w:val="0"/>
        <w:keepLines w:val="0"/>
        <w:pageBreakBefore w:val="0"/>
        <w:kinsoku/>
        <w:wordWrap/>
        <w:overflowPunct/>
        <w:topLinePunct w:val="0"/>
        <w:autoSpaceDE w:val="0"/>
        <w:autoSpaceDN w:val="0"/>
        <w:bidi w:val="0"/>
        <w:adjustRightInd w:val="0"/>
        <w:spacing w:line="56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lang w:eastAsia="zh-CN"/>
        </w:rPr>
        <w:t>该项目用做干部教育培训</w:t>
      </w:r>
      <w:r>
        <w:rPr>
          <w:rFonts w:hint="eastAsia"/>
          <w:kern w:val="0"/>
          <w:sz w:val="32"/>
          <w:szCs w:val="32"/>
          <w:lang w:eastAsia="zh-CN"/>
        </w:rPr>
        <w:t>活动</w:t>
      </w:r>
      <w:r>
        <w:rPr>
          <w:rFonts w:hint="eastAsia" w:ascii="Times New Roman" w:hAnsi="Times New Roman" w:eastAsia="仿宋_GB2312"/>
          <w:kern w:val="0"/>
          <w:sz w:val="32"/>
          <w:szCs w:val="32"/>
          <w:lang w:eastAsia="zh-CN"/>
        </w:rPr>
        <w:t>。</w:t>
      </w:r>
    </w:p>
    <w:p w14:paraId="13573735">
      <w:pPr>
        <w:keepNext w:val="0"/>
        <w:keepLines w:val="0"/>
        <w:pageBreakBefore w:val="0"/>
        <w:kinsoku/>
        <w:wordWrap/>
        <w:overflowPunct/>
        <w:topLinePunct w:val="0"/>
        <w:autoSpaceDE w:val="0"/>
        <w:autoSpaceDN w:val="0"/>
        <w:bidi w:val="0"/>
        <w:adjustRightInd w:val="0"/>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2．项目应实现的具体绩效目标，包括目标的量化、细化情况以及项目实施进度计划等。</w:t>
      </w:r>
    </w:p>
    <w:p w14:paraId="58A1F205">
      <w:pPr>
        <w:keepNext w:val="0"/>
        <w:keepLines w:val="0"/>
        <w:pageBreakBefore w:val="0"/>
        <w:kinsoku/>
        <w:wordWrap/>
        <w:overflowPunct/>
        <w:topLinePunct w:val="0"/>
        <w:autoSpaceDE w:val="0"/>
        <w:autoSpaceDN w:val="0"/>
        <w:bidi w:val="0"/>
        <w:adjustRightInd w:val="0"/>
        <w:spacing w:line="560" w:lineRule="exact"/>
        <w:ind w:left="0" w:firstLine="640" w:firstLineChars="200"/>
        <w:jc w:val="left"/>
        <w:rPr>
          <w:rFonts w:ascii="仿宋_GB2312"/>
          <w:sz w:val="32"/>
          <w:szCs w:val="32"/>
          <w:lang w:val="zh-CN"/>
        </w:rPr>
      </w:pPr>
      <w:r>
        <w:rPr>
          <w:rFonts w:hint="eastAsia"/>
          <w:kern w:val="0"/>
          <w:sz w:val="32"/>
          <w:szCs w:val="32"/>
          <w:lang w:val="en-US" w:eastAsia="zh-CN"/>
        </w:rPr>
        <w:t>按照活动方案，</w:t>
      </w:r>
      <w:r>
        <w:rPr>
          <w:rFonts w:hint="eastAsia" w:ascii="Times New Roman" w:hAnsi="Times New Roman" w:eastAsia="仿宋_GB2312"/>
          <w:kern w:val="0"/>
          <w:sz w:val="32"/>
          <w:szCs w:val="32"/>
          <w:lang w:val="en-US" w:eastAsia="zh-CN"/>
        </w:rPr>
        <w:t>项目包括调研费、课程费、讲义费、照相费、教学管理费、开学典礼费、茶歇费、证书费、固定设施使用费、现场教学费及相关交通费等与教学相关的费用，2.3万元/天，5天培训共计11.5万元，其他费用0.5万元，培训费统一由局机关专项经费支出。</w:t>
      </w:r>
    </w:p>
    <w:p w14:paraId="11A9080F">
      <w:pPr>
        <w:keepNext w:val="0"/>
        <w:keepLines w:val="0"/>
        <w:pageBreakBefore w:val="0"/>
        <w:kinsoku/>
        <w:wordWrap/>
        <w:overflowPunct/>
        <w:topLinePunct w:val="0"/>
        <w:autoSpaceDE w:val="0"/>
        <w:autoSpaceDN w:val="0"/>
        <w:bidi w:val="0"/>
        <w:adjustRightInd w:val="0"/>
        <w:spacing w:line="560" w:lineRule="exact"/>
        <w:ind w:firstLine="643" w:firstLineChars="200"/>
        <w:jc w:val="left"/>
        <w:rPr>
          <w:rFonts w:ascii="仿宋_GB2312"/>
          <w:sz w:val="32"/>
          <w:szCs w:val="32"/>
          <w:lang w:val="zh-CN"/>
        </w:rPr>
      </w:pPr>
      <w:r>
        <w:rPr>
          <w:rFonts w:hint="eastAsia" w:ascii="楷体_GB2312" w:eastAsia="楷体_GB2312"/>
          <w:b/>
          <w:sz w:val="32"/>
          <w:szCs w:val="32"/>
          <w:lang w:val="zh-CN"/>
        </w:rPr>
        <w:t>（三）项目资金申报相符性。</w:t>
      </w:r>
      <w:r>
        <w:rPr>
          <w:rFonts w:eastAsia="仿宋_GB2312"/>
          <w:kern w:val="0"/>
          <w:sz w:val="32"/>
          <w:szCs w:val="32"/>
        </w:rPr>
        <w:t>申报内容与具体实施内容相符、申报目标合理可行。</w:t>
      </w:r>
    </w:p>
    <w:p w14:paraId="5C24AB8F">
      <w:pPr>
        <w:keepNext w:val="0"/>
        <w:keepLines w:val="0"/>
        <w:pageBreakBefore w:val="0"/>
        <w:kinsoku/>
        <w:wordWrap/>
        <w:overflowPunct/>
        <w:topLinePunct w:val="0"/>
        <w:bidi w:val="0"/>
        <w:adjustRightInd w:val="0"/>
        <w:snapToGrid w:val="0"/>
        <w:spacing w:line="560" w:lineRule="exact"/>
        <w:ind w:firstLine="720"/>
        <w:rPr>
          <w:rFonts w:ascii="黑体" w:eastAsia="黑体"/>
          <w:sz w:val="32"/>
          <w:szCs w:val="32"/>
        </w:rPr>
      </w:pPr>
      <w:r>
        <w:rPr>
          <w:rFonts w:hint="eastAsia" w:ascii="黑体" w:eastAsia="黑体"/>
          <w:sz w:val="32"/>
          <w:szCs w:val="32"/>
        </w:rPr>
        <w:t>二、项目实施及管理情况</w:t>
      </w:r>
    </w:p>
    <w:p w14:paraId="7EE18420">
      <w:pPr>
        <w:keepNext w:val="0"/>
        <w:keepLines w:val="0"/>
        <w:pageBreakBefore w:val="0"/>
        <w:kinsoku/>
        <w:wordWrap/>
        <w:overflowPunct/>
        <w:topLinePunct w:val="0"/>
        <w:bidi w:val="0"/>
        <w:adjustRightInd w:val="0"/>
        <w:snapToGrid w:val="0"/>
        <w:spacing w:line="560" w:lineRule="exact"/>
        <w:ind w:firstLine="720"/>
        <w:rPr>
          <w:rFonts w:ascii="楷体_GB2312" w:eastAsia="楷体_GB2312"/>
          <w:b/>
          <w:sz w:val="32"/>
          <w:szCs w:val="32"/>
          <w:lang w:val="zh-CN"/>
        </w:rPr>
      </w:pPr>
      <w:r>
        <w:rPr>
          <w:rFonts w:hint="eastAsia" w:ascii="仿宋_GB2312"/>
          <w:sz w:val="32"/>
          <w:szCs w:val="32"/>
          <w:lang w:val="zh-CN"/>
        </w:rPr>
        <w:tab/>
      </w:r>
      <w:r>
        <w:rPr>
          <w:rFonts w:hint="eastAsia" w:ascii="楷体_GB2312" w:eastAsia="楷体_GB2312"/>
          <w:b/>
          <w:sz w:val="32"/>
          <w:szCs w:val="32"/>
          <w:lang w:val="zh-CN"/>
        </w:rPr>
        <w:t>（一）资金计划、到位及使用情况。</w:t>
      </w:r>
    </w:p>
    <w:p w14:paraId="0AFC5DB7">
      <w:pPr>
        <w:keepNext w:val="0"/>
        <w:keepLines w:val="0"/>
        <w:pageBreakBefore w:val="0"/>
        <w:kinsoku/>
        <w:wordWrap/>
        <w:overflowPunct/>
        <w:topLinePunct w:val="0"/>
        <w:autoSpaceDE w:val="0"/>
        <w:autoSpaceDN w:val="0"/>
        <w:bidi w:val="0"/>
        <w:adjustRightInd w:val="0"/>
        <w:spacing w:line="560" w:lineRule="exact"/>
        <w:ind w:firstLine="640" w:firstLineChars="200"/>
        <w:jc w:val="left"/>
        <w:rPr>
          <w:rFonts w:ascii="Times New Roman" w:hAnsi="Times New Roman" w:eastAsia="楷体_GB2312"/>
          <w:kern w:val="0"/>
          <w:sz w:val="32"/>
          <w:szCs w:val="32"/>
        </w:rPr>
      </w:pPr>
      <w:r>
        <w:rPr>
          <w:rFonts w:ascii="Times New Roman" w:hAnsi="Times New Roman" w:eastAsia="楷体_GB2312"/>
          <w:kern w:val="0"/>
          <w:sz w:val="32"/>
          <w:szCs w:val="32"/>
        </w:rPr>
        <w:t>1．资金计划。</w:t>
      </w:r>
    </w:p>
    <w:p w14:paraId="324C8CAA">
      <w:pPr>
        <w:keepNext w:val="0"/>
        <w:keepLines w:val="0"/>
        <w:pageBreakBefore w:val="0"/>
        <w:kinsoku/>
        <w:wordWrap/>
        <w:overflowPunct/>
        <w:topLinePunct w:val="0"/>
        <w:autoSpaceDE w:val="0"/>
        <w:autoSpaceDN w:val="0"/>
        <w:bidi w:val="0"/>
        <w:adjustRightInd w:val="0"/>
        <w:spacing w:line="560" w:lineRule="exact"/>
        <w:ind w:firstLine="640" w:firstLineChars="200"/>
        <w:jc w:val="left"/>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eastAsia="zh-CN" w:bidi="ar-SA"/>
        </w:rPr>
        <w:t>市科技局</w:t>
      </w:r>
      <w:r>
        <w:rPr>
          <w:rFonts w:ascii="Times New Roman" w:hAnsi="Times New Roman" w:eastAsia="仿宋_GB2312" w:cs="Times New Roman"/>
          <w:kern w:val="0"/>
          <w:sz w:val="32"/>
          <w:szCs w:val="32"/>
          <w:lang w:bidi="ar-SA"/>
        </w:rPr>
        <w:t>干部教育培训项目</w:t>
      </w:r>
      <w:r>
        <w:rPr>
          <w:rFonts w:hint="eastAsia" w:ascii="Times New Roman" w:hAnsi="Times New Roman" w:eastAsia="仿宋_GB2312"/>
          <w:kern w:val="0"/>
          <w:sz w:val="32"/>
          <w:szCs w:val="32"/>
          <w:lang w:eastAsia="zh-CN"/>
        </w:rPr>
        <w:t>主要用途</w:t>
      </w:r>
      <w:r>
        <w:rPr>
          <w:rFonts w:hint="eastAsia" w:ascii="仿宋_GB2312" w:eastAsia="仿宋_GB2312"/>
          <w:sz w:val="32"/>
          <w:szCs w:val="32"/>
        </w:rPr>
        <w:t>2021年“科技创新驱动高质量发展”专题研讨班培训</w:t>
      </w:r>
      <w:r>
        <w:rPr>
          <w:rFonts w:hint="eastAsia" w:ascii="Times New Roman" w:hAnsi="Times New Roman" w:eastAsia="仿宋_GB2312"/>
          <w:kern w:val="0"/>
          <w:sz w:val="32"/>
          <w:szCs w:val="32"/>
          <w:lang w:eastAsia="zh-CN"/>
        </w:rPr>
        <w:t>工作</w:t>
      </w:r>
      <w:r>
        <w:rPr>
          <w:rFonts w:ascii="Times New Roman" w:hAnsi="Times New Roman" w:eastAsia="仿宋_GB2312" w:cs="Times New Roman"/>
          <w:kern w:val="0"/>
          <w:sz w:val="32"/>
          <w:szCs w:val="32"/>
          <w:lang w:val="en-US" w:eastAsia="zh-CN" w:bidi="ar-SA"/>
        </w:rPr>
        <w:t>。</w:t>
      </w:r>
    </w:p>
    <w:p w14:paraId="022C0C4D">
      <w:pPr>
        <w:keepNext w:val="0"/>
        <w:keepLines w:val="0"/>
        <w:pageBreakBefore w:val="0"/>
        <w:kinsoku/>
        <w:wordWrap/>
        <w:overflowPunct/>
        <w:topLinePunct w:val="0"/>
        <w:autoSpaceDE w:val="0"/>
        <w:autoSpaceDN w:val="0"/>
        <w:bidi w:val="0"/>
        <w:adjustRightInd w:val="0"/>
        <w:spacing w:line="560" w:lineRule="exact"/>
        <w:ind w:firstLine="640" w:firstLineChars="200"/>
        <w:jc w:val="left"/>
        <w:rPr>
          <w:rFonts w:ascii="Times New Roman" w:hAnsi="Times New Roman" w:eastAsia="楷体_GB2312"/>
          <w:kern w:val="0"/>
          <w:sz w:val="32"/>
          <w:szCs w:val="32"/>
        </w:rPr>
      </w:pPr>
      <w:r>
        <w:rPr>
          <w:rFonts w:ascii="Times New Roman" w:hAnsi="Times New Roman" w:eastAsia="楷体_GB2312"/>
          <w:kern w:val="0"/>
          <w:sz w:val="32"/>
          <w:szCs w:val="32"/>
        </w:rPr>
        <w:t>2．资金到位。</w:t>
      </w:r>
    </w:p>
    <w:p w14:paraId="2C32C697">
      <w:pPr>
        <w:keepNext w:val="0"/>
        <w:keepLines w:val="0"/>
        <w:pageBreakBefore w:val="0"/>
        <w:kinsoku/>
        <w:wordWrap/>
        <w:overflowPunct/>
        <w:topLinePunct w:val="0"/>
        <w:autoSpaceDE w:val="0"/>
        <w:autoSpaceDN w:val="0"/>
        <w:bidi w:val="0"/>
        <w:adjustRightInd w:val="0"/>
        <w:spacing w:line="560" w:lineRule="exact"/>
        <w:ind w:firstLine="640" w:firstLineChars="200"/>
        <w:jc w:val="left"/>
        <w:rPr>
          <w:rFonts w:hint="eastAsia" w:ascii="Times New Roman" w:hAnsi="Times New Roman" w:eastAsia="仿宋_GB2312" w:cs="Times New Roman"/>
          <w:kern w:val="0"/>
          <w:sz w:val="32"/>
          <w:szCs w:val="32"/>
          <w:lang w:eastAsia="zh-CN" w:bidi="ar-SA"/>
        </w:rPr>
      </w:pPr>
      <w:r>
        <w:rPr>
          <w:rFonts w:hint="eastAsia" w:ascii="Times New Roman" w:hAnsi="Times New Roman" w:eastAsia="仿宋_GB2312" w:cs="Times New Roman"/>
          <w:kern w:val="0"/>
          <w:sz w:val="32"/>
          <w:szCs w:val="32"/>
          <w:lang w:eastAsia="zh-CN" w:bidi="ar-SA"/>
        </w:rPr>
        <w:t>根据(攀财资教〔202</w:t>
      </w:r>
      <w:r>
        <w:rPr>
          <w:rFonts w:hint="eastAsia" w:ascii="Times New Roman" w:hAnsi="Times New Roman" w:eastAsia="仿宋_GB2312" w:cs="Times New Roman"/>
          <w:kern w:val="0"/>
          <w:sz w:val="32"/>
          <w:szCs w:val="32"/>
          <w:lang w:val="en-US" w:eastAsia="zh-CN" w:bidi="ar-SA"/>
        </w:rPr>
        <w:t>2</w:t>
      </w:r>
      <w:r>
        <w:rPr>
          <w:rFonts w:hint="eastAsia" w:ascii="Times New Roman" w:hAnsi="Times New Roman" w:eastAsia="仿宋_GB2312" w:cs="Times New Roman"/>
          <w:kern w:val="0"/>
          <w:sz w:val="32"/>
          <w:szCs w:val="32"/>
          <w:lang w:eastAsia="zh-CN" w:bidi="ar-SA"/>
        </w:rPr>
        <w:t>〕</w:t>
      </w:r>
      <w:r>
        <w:rPr>
          <w:rFonts w:hint="default" w:ascii="Times New Roman" w:hAnsi="Times New Roman" w:eastAsia="仿宋_GB2312" w:cs="Times New Roman"/>
          <w:kern w:val="0"/>
          <w:sz w:val="32"/>
          <w:szCs w:val="32"/>
          <w:lang w:val="en" w:eastAsia="zh-CN" w:bidi="ar-SA"/>
        </w:rPr>
        <w:t>14</w:t>
      </w:r>
      <w:r>
        <w:rPr>
          <w:rFonts w:hint="eastAsia" w:ascii="Times New Roman" w:hAnsi="Times New Roman" w:eastAsia="仿宋_GB2312" w:cs="Times New Roman"/>
          <w:kern w:val="0"/>
          <w:sz w:val="32"/>
          <w:szCs w:val="32"/>
          <w:lang w:eastAsia="zh-CN" w:bidi="ar-SA"/>
        </w:rPr>
        <w:t>号),于2022年</w:t>
      </w:r>
      <w:r>
        <w:rPr>
          <w:rFonts w:hint="eastAsia" w:ascii="Times New Roman" w:hAnsi="Times New Roman" w:eastAsia="仿宋_GB2312" w:cs="Times New Roman"/>
          <w:kern w:val="0"/>
          <w:sz w:val="32"/>
          <w:szCs w:val="32"/>
          <w:lang w:val="en-US" w:eastAsia="zh-CN" w:bidi="ar-SA"/>
        </w:rPr>
        <w:t>4</w:t>
      </w:r>
      <w:r>
        <w:rPr>
          <w:rFonts w:hint="eastAsia" w:ascii="Times New Roman" w:hAnsi="Times New Roman" w:eastAsia="仿宋_GB2312" w:cs="Times New Roman"/>
          <w:kern w:val="0"/>
          <w:sz w:val="32"/>
          <w:szCs w:val="32"/>
          <w:lang w:eastAsia="zh-CN" w:bidi="ar-SA"/>
        </w:rPr>
        <w:t>月，计划资金全部到位，共计</w:t>
      </w:r>
      <w:r>
        <w:rPr>
          <w:rFonts w:hint="eastAsia" w:ascii="Times New Roman" w:hAnsi="Times New Roman" w:eastAsia="仿宋_GB2312" w:cs="Times New Roman"/>
          <w:kern w:val="0"/>
          <w:sz w:val="32"/>
          <w:szCs w:val="32"/>
          <w:lang w:val="en-US" w:eastAsia="zh-CN" w:bidi="ar-SA"/>
        </w:rPr>
        <w:t>12</w:t>
      </w:r>
      <w:r>
        <w:rPr>
          <w:rFonts w:hint="eastAsia" w:ascii="Times New Roman" w:hAnsi="Times New Roman" w:eastAsia="仿宋_GB2312" w:cs="Times New Roman"/>
          <w:kern w:val="0"/>
          <w:sz w:val="32"/>
          <w:szCs w:val="32"/>
          <w:lang w:eastAsia="zh-CN" w:bidi="ar-SA"/>
        </w:rPr>
        <w:t>万元。</w:t>
      </w:r>
    </w:p>
    <w:p w14:paraId="19794DA3">
      <w:pPr>
        <w:keepNext w:val="0"/>
        <w:keepLines w:val="0"/>
        <w:pageBreakBefore w:val="0"/>
        <w:numPr>
          <w:ilvl w:val="0"/>
          <w:numId w:val="11"/>
        </w:numPr>
        <w:kinsoku/>
        <w:wordWrap/>
        <w:overflowPunct/>
        <w:topLinePunct w:val="0"/>
        <w:autoSpaceDE w:val="0"/>
        <w:autoSpaceDN w:val="0"/>
        <w:bidi w:val="0"/>
        <w:adjustRightInd w:val="0"/>
        <w:spacing w:line="560" w:lineRule="exact"/>
        <w:ind w:left="0" w:firstLine="640" w:firstLineChars="200"/>
        <w:jc w:val="left"/>
        <w:rPr>
          <w:rFonts w:ascii="Times New Roman" w:hAnsi="Times New Roman" w:eastAsia="楷体_GB2312"/>
          <w:kern w:val="0"/>
          <w:sz w:val="32"/>
          <w:szCs w:val="32"/>
        </w:rPr>
      </w:pPr>
      <w:r>
        <w:rPr>
          <w:rFonts w:ascii="Times New Roman" w:hAnsi="Times New Roman" w:eastAsia="楷体_GB2312"/>
          <w:kern w:val="0"/>
          <w:sz w:val="32"/>
          <w:szCs w:val="32"/>
        </w:rPr>
        <w:t>资金使用。</w:t>
      </w:r>
    </w:p>
    <w:tbl>
      <w:tblPr>
        <w:tblStyle w:val="18"/>
        <w:tblpPr w:leftFromText="180" w:rightFromText="180" w:vertAnchor="text" w:horzAnchor="page" w:tblpX="1590" w:tblpY="547"/>
        <w:tblOverlap w:val="never"/>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6"/>
        <w:gridCol w:w="2610"/>
        <w:gridCol w:w="2769"/>
        <w:gridCol w:w="1155"/>
      </w:tblGrid>
      <w:tr w14:paraId="68B0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0" w:type="dxa"/>
            <w:gridSpan w:val="4"/>
            <w:tcBorders>
              <w:top w:val="single" w:color="auto" w:sz="4" w:space="0"/>
              <w:left w:val="single" w:color="auto" w:sz="4" w:space="0"/>
              <w:bottom w:val="single" w:color="auto" w:sz="4" w:space="0"/>
              <w:right w:val="single" w:color="auto" w:sz="4" w:space="0"/>
            </w:tcBorders>
            <w:noWrap/>
          </w:tcPr>
          <w:p w14:paraId="187942EE">
            <w:pPr>
              <w:keepNext w:val="0"/>
              <w:keepLines w:val="0"/>
              <w:pageBreakBefore w:val="0"/>
              <w:widowControl/>
              <w:suppressLineNumbers w:val="0"/>
              <w:kinsoku/>
              <w:wordWrap/>
              <w:overflowPunct/>
              <w:topLinePunct w:val="0"/>
              <w:autoSpaceDE w:val="0"/>
              <w:autoSpaceDN w:val="0"/>
              <w:bidi w:val="0"/>
              <w:adjustRightInd w:val="0"/>
              <w:spacing w:line="560" w:lineRule="exact"/>
              <w:jc w:val="center"/>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bidi="ar-SA"/>
              </w:rPr>
              <w:t>干部教育培训</w:t>
            </w:r>
          </w:p>
        </w:tc>
      </w:tr>
      <w:tr w14:paraId="6A71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6" w:type="dxa"/>
            <w:tcBorders>
              <w:top w:val="single" w:color="auto" w:sz="4" w:space="0"/>
              <w:left w:val="single" w:color="auto" w:sz="4" w:space="0"/>
              <w:bottom w:val="single" w:color="auto" w:sz="4" w:space="0"/>
              <w:right w:val="single" w:color="auto" w:sz="4" w:space="0"/>
            </w:tcBorders>
            <w:noWrap/>
            <w:vAlign w:val="center"/>
          </w:tcPr>
          <w:p w14:paraId="09789C7D">
            <w:pPr>
              <w:keepNext w:val="0"/>
              <w:keepLines w:val="0"/>
              <w:pageBreakBefore w:val="0"/>
              <w:kinsoku/>
              <w:wordWrap/>
              <w:overflowPunct/>
              <w:topLinePunct w:val="0"/>
              <w:autoSpaceDE w:val="0"/>
              <w:autoSpaceDN w:val="0"/>
              <w:bidi w:val="0"/>
              <w:adjustRightInd w:val="0"/>
              <w:spacing w:line="560" w:lineRule="exact"/>
              <w:jc w:val="center"/>
              <w:rPr>
                <w:rFonts w:ascii="Times New Roman" w:hAnsi="Times New Roman" w:eastAsia="仿宋_GB2312"/>
                <w:kern w:val="0"/>
                <w:sz w:val="32"/>
                <w:szCs w:val="32"/>
                <w:vertAlign w:val="baseline"/>
                <w:lang w:val="en-US" w:eastAsia="zh-CN"/>
              </w:rPr>
            </w:pPr>
            <w:r>
              <w:rPr>
                <w:rFonts w:hint="eastAsia" w:ascii="Times New Roman" w:hAnsi="Times New Roman" w:eastAsia="仿宋_GB2312"/>
                <w:kern w:val="0"/>
                <w:sz w:val="32"/>
                <w:szCs w:val="32"/>
                <w:vertAlign w:val="baseline"/>
                <w:lang w:val="en-US" w:eastAsia="zh-CN"/>
              </w:rPr>
              <w:t>资金计划（万元）</w:t>
            </w:r>
          </w:p>
        </w:tc>
        <w:tc>
          <w:tcPr>
            <w:tcW w:w="2610" w:type="dxa"/>
            <w:tcBorders>
              <w:top w:val="single" w:color="auto" w:sz="4" w:space="0"/>
              <w:left w:val="single" w:color="auto" w:sz="4" w:space="0"/>
              <w:bottom w:val="single" w:color="auto" w:sz="4" w:space="0"/>
              <w:right w:val="single" w:color="auto" w:sz="4" w:space="0"/>
            </w:tcBorders>
            <w:noWrap/>
            <w:vAlign w:val="center"/>
          </w:tcPr>
          <w:p w14:paraId="488FCF4C">
            <w:pPr>
              <w:keepNext w:val="0"/>
              <w:keepLines w:val="0"/>
              <w:pageBreakBefore w:val="0"/>
              <w:kinsoku/>
              <w:wordWrap/>
              <w:overflowPunct/>
              <w:topLinePunct w:val="0"/>
              <w:autoSpaceDE w:val="0"/>
              <w:autoSpaceDN w:val="0"/>
              <w:bidi w:val="0"/>
              <w:adjustRightInd w:val="0"/>
              <w:spacing w:line="560" w:lineRule="exact"/>
              <w:jc w:val="center"/>
              <w:rPr>
                <w:rFonts w:ascii="Times New Roman" w:hAnsi="Times New Roman" w:eastAsia="仿宋_GB2312"/>
                <w:kern w:val="0"/>
                <w:sz w:val="32"/>
                <w:szCs w:val="32"/>
                <w:vertAlign w:val="baseline"/>
                <w:lang w:val="en-US" w:eastAsia="zh-CN"/>
              </w:rPr>
            </w:pPr>
            <w:r>
              <w:rPr>
                <w:rFonts w:hint="eastAsia" w:ascii="Times New Roman" w:hAnsi="Times New Roman" w:eastAsia="仿宋_GB2312"/>
                <w:kern w:val="0"/>
                <w:sz w:val="32"/>
                <w:szCs w:val="32"/>
                <w:vertAlign w:val="baseline"/>
                <w:lang w:val="en-US" w:eastAsia="zh-CN"/>
              </w:rPr>
              <w:t>资金到位（万元）</w:t>
            </w:r>
          </w:p>
        </w:tc>
        <w:tc>
          <w:tcPr>
            <w:tcW w:w="3924" w:type="dxa"/>
            <w:gridSpan w:val="2"/>
            <w:tcBorders>
              <w:top w:val="single" w:color="auto" w:sz="4" w:space="0"/>
              <w:left w:val="single" w:color="auto" w:sz="4" w:space="0"/>
              <w:bottom w:val="single" w:color="auto" w:sz="4" w:space="0"/>
              <w:right w:val="single" w:color="auto" w:sz="4" w:space="0"/>
            </w:tcBorders>
            <w:noWrap/>
            <w:vAlign w:val="center"/>
          </w:tcPr>
          <w:p w14:paraId="5E799AC5">
            <w:pPr>
              <w:keepNext w:val="0"/>
              <w:keepLines w:val="0"/>
              <w:pageBreakBefore w:val="0"/>
              <w:widowControl/>
              <w:suppressLineNumbers w:val="0"/>
              <w:kinsoku/>
              <w:wordWrap/>
              <w:overflowPunct/>
              <w:topLinePunct w:val="0"/>
              <w:autoSpaceDE w:val="0"/>
              <w:autoSpaceDN w:val="0"/>
              <w:bidi w:val="0"/>
              <w:adjustRightInd w:val="0"/>
              <w:spacing w:line="560" w:lineRule="exact"/>
              <w:jc w:val="center"/>
              <w:textAlignment w:val="auto"/>
              <w:rPr>
                <w:rFonts w:hint="eastAsia" w:ascii="Times New Roman" w:hAnsi="Times New Roman" w:eastAsia="仿宋_GB2312" w:cs="Times New Roman"/>
                <w:i w:val="0"/>
                <w:iCs w:val="0"/>
                <w:color w:val="000000"/>
                <w:kern w:val="0"/>
                <w:sz w:val="32"/>
                <w:szCs w:val="32"/>
                <w:u w:val="none"/>
                <w:lang w:val="en-US" w:eastAsia="zh-CN"/>
              </w:rPr>
            </w:pPr>
            <w:r>
              <w:rPr>
                <w:rFonts w:hint="eastAsia" w:ascii="Times New Roman" w:hAnsi="Times New Roman" w:eastAsia="仿宋_GB2312" w:cs="Times New Roman"/>
                <w:i w:val="0"/>
                <w:iCs w:val="0"/>
                <w:color w:val="000000"/>
                <w:kern w:val="0"/>
                <w:sz w:val="32"/>
                <w:szCs w:val="32"/>
                <w:u w:val="none"/>
                <w:lang w:val="en-US" w:eastAsia="zh-CN"/>
              </w:rPr>
              <w:t>资金使用（万元）</w:t>
            </w:r>
          </w:p>
        </w:tc>
      </w:tr>
      <w:tr w14:paraId="4FFF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266" w:type="dxa"/>
            <w:vMerge w:val="restart"/>
            <w:tcBorders>
              <w:top w:val="single" w:color="auto" w:sz="4" w:space="0"/>
              <w:left w:val="single" w:color="auto" w:sz="4" w:space="0"/>
              <w:right w:val="single" w:color="auto" w:sz="4" w:space="0"/>
            </w:tcBorders>
            <w:noWrap/>
            <w:vAlign w:val="center"/>
          </w:tcPr>
          <w:p w14:paraId="1D9BB7C8">
            <w:pPr>
              <w:keepNext w:val="0"/>
              <w:keepLines w:val="0"/>
              <w:pageBreakBefore w:val="0"/>
              <w:kinsoku/>
              <w:wordWrap/>
              <w:overflowPunct/>
              <w:topLinePunct w:val="0"/>
              <w:autoSpaceDE w:val="0"/>
              <w:autoSpaceDN w:val="0"/>
              <w:bidi w:val="0"/>
              <w:adjustRightInd w:val="0"/>
              <w:spacing w:line="560" w:lineRule="exact"/>
              <w:jc w:val="center"/>
              <w:rPr>
                <w:rFonts w:ascii="Times New Roman" w:hAnsi="Times New Roman" w:eastAsia="仿宋_GB2312"/>
                <w:kern w:val="0"/>
                <w:sz w:val="32"/>
                <w:szCs w:val="32"/>
                <w:vertAlign w:val="baseline"/>
                <w:lang w:val="en-US" w:eastAsia="zh-CN"/>
              </w:rPr>
            </w:pPr>
            <w:r>
              <w:rPr>
                <w:rFonts w:hint="eastAsia" w:cs="Times New Roman"/>
                <w:kern w:val="0"/>
                <w:sz w:val="32"/>
                <w:szCs w:val="32"/>
                <w:lang w:val="en-US" w:eastAsia="zh-CN"/>
              </w:rPr>
              <w:t>12</w:t>
            </w:r>
          </w:p>
        </w:tc>
        <w:tc>
          <w:tcPr>
            <w:tcW w:w="2610" w:type="dxa"/>
            <w:vMerge w:val="restart"/>
            <w:tcBorders>
              <w:top w:val="single" w:color="auto" w:sz="4" w:space="0"/>
              <w:left w:val="single" w:color="auto" w:sz="4" w:space="0"/>
              <w:right w:val="single" w:color="auto" w:sz="4" w:space="0"/>
            </w:tcBorders>
            <w:noWrap/>
            <w:vAlign w:val="center"/>
          </w:tcPr>
          <w:p w14:paraId="67A2FE83">
            <w:pPr>
              <w:keepNext w:val="0"/>
              <w:keepLines w:val="0"/>
              <w:pageBreakBefore w:val="0"/>
              <w:kinsoku/>
              <w:wordWrap/>
              <w:overflowPunct/>
              <w:topLinePunct w:val="0"/>
              <w:autoSpaceDE w:val="0"/>
              <w:autoSpaceDN w:val="0"/>
              <w:bidi w:val="0"/>
              <w:adjustRightInd w:val="0"/>
              <w:spacing w:line="560" w:lineRule="exact"/>
              <w:jc w:val="center"/>
              <w:rPr>
                <w:rFonts w:ascii="Times New Roman" w:hAnsi="Times New Roman" w:eastAsia="仿宋_GB2312"/>
                <w:kern w:val="0"/>
                <w:sz w:val="32"/>
                <w:szCs w:val="32"/>
                <w:vertAlign w:val="baseline"/>
                <w:lang w:val="en-US" w:eastAsia="zh-CN"/>
              </w:rPr>
            </w:pPr>
            <w:r>
              <w:rPr>
                <w:rFonts w:hint="eastAsia" w:cs="Times New Roman"/>
                <w:kern w:val="0"/>
                <w:sz w:val="32"/>
                <w:szCs w:val="32"/>
                <w:lang w:val="en-US" w:eastAsia="zh-CN"/>
              </w:rPr>
              <w:t>12</w:t>
            </w:r>
          </w:p>
        </w:tc>
        <w:tc>
          <w:tcPr>
            <w:tcW w:w="2769" w:type="dxa"/>
            <w:tcBorders>
              <w:top w:val="single" w:color="auto" w:sz="4" w:space="0"/>
              <w:left w:val="single" w:color="auto" w:sz="4" w:space="0"/>
              <w:bottom w:val="single" w:color="auto" w:sz="4" w:space="0"/>
              <w:right w:val="single" w:color="auto" w:sz="4" w:space="0"/>
            </w:tcBorders>
            <w:noWrap/>
            <w:vAlign w:val="center"/>
          </w:tcPr>
          <w:p w14:paraId="330356DA">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_GB2312" w:eastAsia="仿宋_GB2312" w:cs="仿宋_GB2312"/>
                <w:kern w:val="0"/>
                <w:sz w:val="32"/>
                <w:szCs w:val="32"/>
                <w:vertAlign w:val="baseline"/>
                <w:lang w:val="en-US" w:eastAsia="zh-CN"/>
              </w:rPr>
            </w:pPr>
            <w:r>
              <w:rPr>
                <w:rFonts w:hint="eastAsia" w:ascii="仿宋_GB2312" w:eastAsia="仿宋_GB2312" w:cs="仿宋_GB2312"/>
                <w:kern w:val="0"/>
                <w:sz w:val="32"/>
                <w:szCs w:val="32"/>
                <w:vertAlign w:val="baseline"/>
                <w:lang w:val="en-US" w:eastAsia="zh-CN"/>
              </w:rPr>
              <w:t>“科技创新驱动高质量发展”专题研讨班培训费</w:t>
            </w:r>
          </w:p>
        </w:tc>
        <w:tc>
          <w:tcPr>
            <w:tcW w:w="1155" w:type="dxa"/>
            <w:tcBorders>
              <w:top w:val="single" w:color="auto" w:sz="4" w:space="0"/>
              <w:left w:val="single" w:color="auto" w:sz="4" w:space="0"/>
              <w:bottom w:val="single" w:color="auto" w:sz="4" w:space="0"/>
              <w:right w:val="single" w:color="auto" w:sz="4" w:space="0"/>
            </w:tcBorders>
            <w:noWrap/>
            <w:vAlign w:val="center"/>
          </w:tcPr>
          <w:p w14:paraId="395F30C7">
            <w:pPr>
              <w:keepNext w:val="0"/>
              <w:keepLines w:val="0"/>
              <w:pageBreakBefore w:val="0"/>
              <w:widowControl/>
              <w:suppressLineNumbers w:val="0"/>
              <w:kinsoku/>
              <w:wordWrap/>
              <w:overflowPunct/>
              <w:topLinePunct w:val="0"/>
              <w:bidi w:val="0"/>
              <w:spacing w:line="560" w:lineRule="exact"/>
              <w:jc w:val="center"/>
              <w:textAlignment w:val="center"/>
              <w:rPr>
                <w:rFonts w:ascii="仿宋_GB2312" w:eastAsia="仿宋_GB2312" w:cs="仿宋_GB2312"/>
                <w:kern w:val="0"/>
                <w:sz w:val="32"/>
                <w:szCs w:val="32"/>
                <w:vertAlign w:val="baseline"/>
                <w:lang w:val="en-US" w:eastAsia="zh-CN"/>
              </w:rPr>
            </w:pPr>
            <w:r>
              <w:rPr>
                <w:rFonts w:hint="eastAsia" w:ascii="仿宋_GB2312" w:cs="仿宋_GB2312"/>
                <w:kern w:val="0"/>
                <w:sz w:val="32"/>
                <w:szCs w:val="32"/>
                <w:vertAlign w:val="baseline"/>
                <w:lang w:val="en-US" w:eastAsia="zh-CN"/>
              </w:rPr>
              <w:t>11.5</w:t>
            </w:r>
          </w:p>
        </w:tc>
      </w:tr>
      <w:tr w14:paraId="6A5B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266" w:type="dxa"/>
            <w:vMerge w:val="continue"/>
            <w:tcBorders>
              <w:left w:val="single" w:color="auto" w:sz="4" w:space="0"/>
              <w:bottom w:val="single" w:color="auto" w:sz="4" w:space="0"/>
              <w:right w:val="single" w:color="auto" w:sz="4" w:space="0"/>
            </w:tcBorders>
            <w:noWrap/>
            <w:vAlign w:val="center"/>
          </w:tcPr>
          <w:p w14:paraId="1A8A6673">
            <w:pPr>
              <w:keepNext w:val="0"/>
              <w:keepLines w:val="0"/>
              <w:pageBreakBefore w:val="0"/>
              <w:widowControl/>
              <w:suppressLineNumbers w:val="0"/>
              <w:kinsoku/>
              <w:wordWrap/>
              <w:overflowPunct/>
              <w:topLinePunct w:val="0"/>
              <w:bidi w:val="0"/>
              <w:spacing w:line="560" w:lineRule="exact"/>
              <w:jc w:val="center"/>
              <w:textAlignment w:val="center"/>
              <w:rPr>
                <w:sz w:val="32"/>
                <w:szCs w:val="32"/>
              </w:rPr>
            </w:pPr>
          </w:p>
        </w:tc>
        <w:tc>
          <w:tcPr>
            <w:tcW w:w="2610" w:type="dxa"/>
            <w:vMerge w:val="continue"/>
            <w:tcBorders>
              <w:left w:val="single" w:color="auto" w:sz="4" w:space="0"/>
              <w:bottom w:val="single" w:color="auto" w:sz="4" w:space="0"/>
              <w:right w:val="single" w:color="auto" w:sz="4" w:space="0"/>
            </w:tcBorders>
            <w:noWrap/>
            <w:vAlign w:val="center"/>
          </w:tcPr>
          <w:p w14:paraId="61527798">
            <w:pPr>
              <w:keepNext w:val="0"/>
              <w:keepLines w:val="0"/>
              <w:pageBreakBefore w:val="0"/>
              <w:widowControl/>
              <w:suppressLineNumbers w:val="0"/>
              <w:kinsoku/>
              <w:wordWrap/>
              <w:overflowPunct/>
              <w:topLinePunct w:val="0"/>
              <w:bidi w:val="0"/>
              <w:spacing w:line="560" w:lineRule="exact"/>
              <w:jc w:val="center"/>
              <w:textAlignment w:val="center"/>
              <w:rPr>
                <w:sz w:val="32"/>
                <w:szCs w:val="32"/>
              </w:rPr>
            </w:pPr>
          </w:p>
        </w:tc>
        <w:tc>
          <w:tcPr>
            <w:tcW w:w="2769" w:type="dxa"/>
            <w:tcBorders>
              <w:top w:val="single" w:color="auto" w:sz="4" w:space="0"/>
              <w:left w:val="single" w:color="auto" w:sz="4" w:space="0"/>
              <w:bottom w:val="single" w:color="auto" w:sz="4" w:space="0"/>
              <w:right w:val="single" w:color="auto" w:sz="4" w:space="0"/>
            </w:tcBorders>
            <w:noWrap/>
            <w:vAlign w:val="center"/>
          </w:tcPr>
          <w:p w14:paraId="6BEA163B">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_GB2312" w:eastAsia="仿宋_GB2312" w:cs="仿宋_GB2312"/>
                <w:kern w:val="0"/>
                <w:sz w:val="32"/>
                <w:szCs w:val="32"/>
                <w:vertAlign w:val="baseline"/>
                <w:lang w:val="en-US" w:eastAsia="zh-CN"/>
              </w:rPr>
            </w:pPr>
            <w:r>
              <w:rPr>
                <w:rFonts w:hint="eastAsia" w:ascii="仿宋_GB2312" w:cs="仿宋_GB2312"/>
                <w:kern w:val="0"/>
                <w:sz w:val="32"/>
                <w:szCs w:val="32"/>
                <w:vertAlign w:val="baseline"/>
                <w:lang w:val="en-US" w:eastAsia="zh-CN"/>
              </w:rPr>
              <w:t>培训资料印制费</w:t>
            </w:r>
          </w:p>
        </w:tc>
        <w:tc>
          <w:tcPr>
            <w:tcW w:w="1155" w:type="dxa"/>
            <w:tcBorders>
              <w:top w:val="single" w:color="auto" w:sz="4" w:space="0"/>
              <w:left w:val="single" w:color="auto" w:sz="4" w:space="0"/>
              <w:bottom w:val="single" w:color="auto" w:sz="4" w:space="0"/>
              <w:right w:val="single" w:color="auto" w:sz="4" w:space="0"/>
            </w:tcBorders>
            <w:noWrap/>
            <w:vAlign w:val="center"/>
          </w:tcPr>
          <w:p w14:paraId="5AD89381">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_GB2312" w:eastAsia="仿宋_GB2312" w:cs="仿宋_GB2312"/>
                <w:kern w:val="0"/>
                <w:sz w:val="32"/>
                <w:szCs w:val="32"/>
                <w:vertAlign w:val="baseline"/>
                <w:lang w:val="en-US" w:eastAsia="zh-CN"/>
              </w:rPr>
            </w:pPr>
            <w:r>
              <w:rPr>
                <w:rFonts w:hint="eastAsia" w:ascii="仿宋_GB2312" w:cs="仿宋_GB2312"/>
                <w:kern w:val="0"/>
                <w:sz w:val="32"/>
                <w:szCs w:val="32"/>
                <w:vertAlign w:val="baseline"/>
                <w:lang w:val="en-US" w:eastAsia="zh-CN"/>
              </w:rPr>
              <w:t>0.5</w:t>
            </w:r>
          </w:p>
        </w:tc>
      </w:tr>
      <w:tr w14:paraId="70EC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266" w:type="dxa"/>
            <w:vMerge w:val="continue"/>
            <w:tcBorders>
              <w:top w:val="single" w:color="auto" w:sz="4" w:space="0"/>
              <w:left w:val="single" w:color="auto" w:sz="4" w:space="0"/>
              <w:bottom w:val="single" w:color="auto" w:sz="4" w:space="0"/>
              <w:right w:val="single" w:color="auto" w:sz="4" w:space="0"/>
            </w:tcBorders>
            <w:noWrap/>
          </w:tcPr>
          <w:p w14:paraId="1F03AC79">
            <w:pPr>
              <w:keepNext w:val="0"/>
              <w:keepLines w:val="0"/>
              <w:pageBreakBefore w:val="0"/>
              <w:kinsoku/>
              <w:wordWrap/>
              <w:overflowPunct/>
              <w:topLinePunct w:val="0"/>
              <w:bidi w:val="0"/>
              <w:spacing w:line="560" w:lineRule="exact"/>
              <w:rPr>
                <w:sz w:val="32"/>
                <w:szCs w:val="32"/>
              </w:rPr>
            </w:pPr>
          </w:p>
        </w:tc>
        <w:tc>
          <w:tcPr>
            <w:tcW w:w="2610" w:type="dxa"/>
            <w:vMerge w:val="continue"/>
            <w:tcBorders>
              <w:top w:val="single" w:color="auto" w:sz="4" w:space="0"/>
              <w:left w:val="single" w:color="auto" w:sz="4" w:space="0"/>
              <w:bottom w:val="single" w:color="auto" w:sz="4" w:space="0"/>
              <w:right w:val="single" w:color="auto" w:sz="4" w:space="0"/>
            </w:tcBorders>
            <w:noWrap/>
          </w:tcPr>
          <w:p w14:paraId="35F8E0B8">
            <w:pPr>
              <w:keepNext w:val="0"/>
              <w:keepLines w:val="0"/>
              <w:pageBreakBefore w:val="0"/>
              <w:kinsoku/>
              <w:wordWrap/>
              <w:overflowPunct/>
              <w:topLinePunct w:val="0"/>
              <w:bidi w:val="0"/>
              <w:spacing w:line="560" w:lineRule="exact"/>
              <w:rPr>
                <w:sz w:val="32"/>
                <w:szCs w:val="32"/>
              </w:rPr>
            </w:pPr>
          </w:p>
        </w:tc>
        <w:tc>
          <w:tcPr>
            <w:tcW w:w="2769" w:type="dxa"/>
            <w:tcBorders>
              <w:top w:val="single" w:color="auto" w:sz="4" w:space="0"/>
              <w:left w:val="single" w:color="auto" w:sz="4" w:space="0"/>
              <w:bottom w:val="single" w:color="auto" w:sz="4" w:space="0"/>
              <w:right w:val="single" w:color="auto" w:sz="4" w:space="0"/>
            </w:tcBorders>
            <w:noWrap/>
            <w:vAlign w:val="center"/>
          </w:tcPr>
          <w:p w14:paraId="23614614">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_GB2312" w:eastAsia="仿宋_GB2312" w:cs="仿宋_GB2312"/>
                <w:kern w:val="0"/>
                <w:sz w:val="32"/>
                <w:szCs w:val="32"/>
                <w:vertAlign w:val="baseline"/>
                <w:lang w:val="en-US" w:eastAsia="zh-CN"/>
              </w:rPr>
            </w:pPr>
            <w:r>
              <w:rPr>
                <w:rFonts w:hint="eastAsia" w:ascii="仿宋_GB2312" w:eastAsia="仿宋_GB2312" w:cs="仿宋_GB2312"/>
                <w:kern w:val="0"/>
                <w:sz w:val="32"/>
                <w:szCs w:val="32"/>
                <w:vertAlign w:val="baseline"/>
                <w:lang w:val="en-US" w:eastAsia="zh-CN"/>
              </w:rPr>
              <w:t>合计</w:t>
            </w:r>
          </w:p>
        </w:tc>
        <w:tc>
          <w:tcPr>
            <w:tcW w:w="1155" w:type="dxa"/>
            <w:tcBorders>
              <w:top w:val="single" w:color="auto" w:sz="4" w:space="0"/>
              <w:left w:val="single" w:color="auto" w:sz="4" w:space="0"/>
              <w:bottom w:val="single" w:color="auto" w:sz="4" w:space="0"/>
              <w:right w:val="single" w:color="auto" w:sz="4" w:space="0"/>
            </w:tcBorders>
            <w:noWrap/>
            <w:vAlign w:val="center"/>
          </w:tcPr>
          <w:p w14:paraId="1331FB3F">
            <w:pPr>
              <w:keepNext w:val="0"/>
              <w:keepLines w:val="0"/>
              <w:pageBreakBefore w:val="0"/>
              <w:widowControl/>
              <w:suppressLineNumbers w:val="0"/>
              <w:kinsoku/>
              <w:wordWrap/>
              <w:overflowPunct/>
              <w:topLinePunct w:val="0"/>
              <w:bidi w:val="0"/>
              <w:spacing w:line="560" w:lineRule="exact"/>
              <w:jc w:val="center"/>
              <w:textAlignment w:val="center"/>
              <w:rPr>
                <w:rFonts w:ascii="仿宋_GB2312" w:eastAsia="仿宋_GB2312" w:cs="仿宋_GB2312"/>
                <w:kern w:val="0"/>
                <w:sz w:val="32"/>
                <w:szCs w:val="32"/>
                <w:vertAlign w:val="baseline"/>
                <w:lang w:val="en-US" w:eastAsia="zh-CN"/>
              </w:rPr>
            </w:pPr>
            <w:r>
              <w:rPr>
                <w:rFonts w:hint="eastAsia" w:cs="Times New Roman"/>
                <w:kern w:val="0"/>
                <w:sz w:val="32"/>
                <w:szCs w:val="32"/>
                <w:lang w:val="en-US" w:eastAsia="zh-CN"/>
              </w:rPr>
              <w:t>12</w:t>
            </w:r>
          </w:p>
        </w:tc>
      </w:tr>
    </w:tbl>
    <w:p w14:paraId="15C26F65">
      <w:pPr>
        <w:keepNext w:val="0"/>
        <w:keepLines w:val="0"/>
        <w:pageBreakBefore w:val="0"/>
        <w:kinsoku/>
        <w:wordWrap/>
        <w:overflowPunct/>
        <w:topLinePunct w:val="0"/>
        <w:autoSpaceDE w:val="0"/>
        <w:autoSpaceDN w:val="0"/>
        <w:bidi w:val="0"/>
        <w:adjustRightInd w:val="0"/>
        <w:spacing w:line="560" w:lineRule="exact"/>
        <w:ind w:firstLine="640" w:firstLineChars="200"/>
        <w:jc w:val="left"/>
        <w:rPr>
          <w:rFonts w:hint="eastAsia" w:ascii="Calibri" w:hAnsi="Calibri" w:eastAsia="仿宋_GB2312" w:cs="Times New Roman"/>
          <w:color w:val="000000"/>
          <w:kern w:val="0"/>
          <w:sz w:val="32"/>
          <w:szCs w:val="32"/>
        </w:rPr>
      </w:pPr>
      <w:r>
        <w:rPr>
          <w:rFonts w:ascii="Times New Roman" w:hAnsi="Times New Roman" w:eastAsia="仿宋_GB2312" w:cs="Times New Roman"/>
          <w:kern w:val="0"/>
          <w:sz w:val="32"/>
          <w:szCs w:val="32"/>
          <w:lang w:eastAsia="zh-CN"/>
        </w:rPr>
        <w:t>市科技局干部教育培训项目计划财政资金12万元，资金到位12万元，到位率100%，全年资金使用12万元，完全按照资金计划标准支付，与预算完全相符，支付依据等合规合法。</w:t>
      </w:r>
    </w:p>
    <w:p w14:paraId="1D77AC5C">
      <w:pPr>
        <w:keepNext w:val="0"/>
        <w:keepLines w:val="0"/>
        <w:pageBreakBefore w:val="0"/>
        <w:kinsoku/>
        <w:wordWrap/>
        <w:overflowPunct/>
        <w:topLinePunct w:val="0"/>
        <w:bidi w:val="0"/>
        <w:adjustRightInd w:val="0"/>
        <w:snapToGrid w:val="0"/>
        <w:spacing w:line="560" w:lineRule="exact"/>
        <w:ind w:firstLine="720"/>
        <w:rPr>
          <w:rFonts w:ascii="楷体_GB2312" w:eastAsia="楷体_GB2312"/>
          <w:b/>
          <w:sz w:val="32"/>
          <w:szCs w:val="32"/>
          <w:lang w:val="zh-CN"/>
        </w:rPr>
      </w:pPr>
      <w:r>
        <w:rPr>
          <w:rFonts w:hint="eastAsia" w:ascii="楷体_GB2312" w:eastAsia="楷体_GB2312"/>
          <w:b/>
          <w:sz w:val="32"/>
          <w:szCs w:val="32"/>
          <w:lang w:val="zh-CN"/>
        </w:rPr>
        <w:t>（二）项目财务管理情况。</w:t>
      </w:r>
    </w:p>
    <w:p w14:paraId="6EF6FA7A">
      <w:pPr>
        <w:keepNext w:val="0"/>
        <w:keepLines w:val="0"/>
        <w:pageBreakBefore w:val="0"/>
        <w:kinsoku/>
        <w:wordWrap/>
        <w:overflowPunct/>
        <w:topLinePunct w:val="0"/>
        <w:autoSpaceDE w:val="0"/>
        <w:autoSpaceDN w:val="0"/>
        <w:bidi w:val="0"/>
        <w:adjustRightInd w:val="0"/>
        <w:spacing w:line="560" w:lineRule="exact"/>
        <w:ind w:firstLine="640" w:firstLineChars="200"/>
        <w:jc w:val="left"/>
        <w:rPr>
          <w:rFonts w:hint="eastAsia" w:ascii="仿宋_GB2312" w:eastAsia="仿宋_GB2312" w:cs="仿宋_GB2312"/>
          <w:color w:val="000000"/>
          <w:kern w:val="0"/>
          <w:sz w:val="32"/>
          <w:szCs w:val="32"/>
        </w:rPr>
      </w:pPr>
      <w:r>
        <w:rPr>
          <w:rFonts w:hint="eastAsia" w:cs="Times New Roman"/>
          <w:kern w:val="0"/>
          <w:sz w:val="32"/>
          <w:szCs w:val="32"/>
          <w:lang w:eastAsia="zh-CN"/>
        </w:rPr>
        <w:t>项目费用</w:t>
      </w:r>
      <w:r>
        <w:rPr>
          <w:rFonts w:hint="eastAsia" w:ascii="仿宋_GB2312" w:eastAsia="仿宋_GB2312"/>
          <w:kern w:val="0"/>
          <w:sz w:val="32"/>
          <w:szCs w:val="32"/>
          <w:lang w:eastAsia="zh-CN"/>
        </w:rPr>
        <w:t>使用范围符合项目规定，</w:t>
      </w:r>
      <w:r>
        <w:rPr>
          <w:rFonts w:hint="eastAsia" w:ascii="仿宋_GB2312" w:eastAsia="仿宋_GB2312"/>
          <w:kern w:val="0"/>
          <w:sz w:val="32"/>
          <w:szCs w:val="32"/>
        </w:rPr>
        <w:t>采取授权支付形式，严格按照项目资金管理办法对资金进行计划申请、划拨、使用，</w:t>
      </w:r>
      <w:r>
        <w:rPr>
          <w:rFonts w:hint="eastAsia" w:ascii="仿宋_GB2312" w:eastAsia="仿宋_GB2312" w:cs="仿宋_GB2312"/>
          <w:color w:val="000000"/>
          <w:kern w:val="0"/>
          <w:sz w:val="32"/>
          <w:szCs w:val="32"/>
        </w:rPr>
        <w:t>所有的支付严格按照</w:t>
      </w:r>
      <w:r>
        <w:rPr>
          <w:rFonts w:hint="eastAsia" w:ascii="仿宋_GB2312" w:eastAsia="仿宋_GB2312" w:cs="仿宋_GB2312"/>
          <w:color w:val="000000"/>
          <w:kern w:val="0"/>
          <w:sz w:val="32"/>
          <w:szCs w:val="32"/>
          <w:lang w:eastAsia="zh-CN"/>
        </w:rPr>
        <w:t>预算</w:t>
      </w:r>
      <w:r>
        <w:rPr>
          <w:rFonts w:hint="eastAsia" w:ascii="仿宋_GB2312" w:eastAsia="仿宋_GB2312" w:cs="仿宋_GB2312"/>
          <w:color w:val="000000"/>
          <w:kern w:val="0"/>
          <w:sz w:val="32"/>
          <w:szCs w:val="32"/>
        </w:rPr>
        <w:t>安排的资金执行，账务处理及时，会计核算规范。</w:t>
      </w:r>
    </w:p>
    <w:p w14:paraId="123AB375">
      <w:pPr>
        <w:keepNext w:val="0"/>
        <w:keepLines w:val="0"/>
        <w:pageBreakBefore w:val="0"/>
        <w:kinsoku/>
        <w:wordWrap/>
        <w:overflowPunct/>
        <w:topLinePunct w:val="0"/>
        <w:bidi w:val="0"/>
        <w:adjustRightInd w:val="0"/>
        <w:snapToGrid w:val="0"/>
        <w:spacing w:line="560" w:lineRule="exact"/>
        <w:ind w:firstLine="720"/>
        <w:rPr>
          <w:rFonts w:ascii="楷体_GB2312" w:eastAsia="楷体_GB2312"/>
          <w:b/>
          <w:sz w:val="32"/>
          <w:szCs w:val="32"/>
          <w:lang w:val="zh-CN"/>
        </w:rPr>
      </w:pPr>
      <w:r>
        <w:rPr>
          <w:rFonts w:hint="eastAsia" w:ascii="楷体_GB2312" w:eastAsia="楷体_GB2312"/>
          <w:b/>
          <w:sz w:val="32"/>
          <w:szCs w:val="32"/>
          <w:lang w:val="zh-CN"/>
        </w:rPr>
        <w:t>（三）项目组织实施情况。</w:t>
      </w:r>
    </w:p>
    <w:p w14:paraId="724B06FF">
      <w:pPr>
        <w:keepNext w:val="0"/>
        <w:keepLines w:val="0"/>
        <w:pageBreakBefore w:val="0"/>
        <w:kinsoku/>
        <w:wordWrap/>
        <w:overflowPunct/>
        <w:topLinePunct w:val="0"/>
        <w:bidi w:val="0"/>
        <w:adjustRightInd w:val="0"/>
        <w:snapToGrid w:val="0"/>
        <w:spacing w:line="560" w:lineRule="exact"/>
        <w:ind w:firstLine="720"/>
        <w:rPr>
          <w:rFonts w:ascii="Times New Roman" w:hAnsi="Times New Roman" w:eastAsia="仿宋_GB2312" w:cs="Times New Roman"/>
          <w:color w:val="auto"/>
          <w:kern w:val="0"/>
          <w:sz w:val="32"/>
          <w:szCs w:val="32"/>
          <w:lang w:eastAsia="zh-CN" w:bidi="ar-SA"/>
        </w:rPr>
      </w:pPr>
      <w:r>
        <w:rPr>
          <w:rFonts w:ascii="Times New Roman" w:hAnsi="Times New Roman" w:eastAsia="仿宋_GB2312" w:cs="Times New Roman"/>
          <w:color w:val="auto"/>
          <w:kern w:val="0"/>
          <w:sz w:val="32"/>
          <w:szCs w:val="32"/>
          <w:lang w:eastAsia="zh-CN" w:bidi="ar-SA"/>
        </w:rPr>
        <w:t>制定了项目培训方案，严格按照方案流程和要求开展培训工作。</w:t>
      </w:r>
    </w:p>
    <w:p w14:paraId="646795F0">
      <w:pPr>
        <w:keepNext w:val="0"/>
        <w:keepLines w:val="0"/>
        <w:pageBreakBefore w:val="0"/>
        <w:kinsoku/>
        <w:wordWrap/>
        <w:overflowPunct/>
        <w:topLinePunct w:val="0"/>
        <w:bidi w:val="0"/>
        <w:adjustRightInd w:val="0"/>
        <w:snapToGrid w:val="0"/>
        <w:spacing w:line="560" w:lineRule="exact"/>
        <w:ind w:firstLine="720"/>
        <w:rPr>
          <w:rFonts w:ascii="仿宋_GB2312" w:eastAsia="仿宋_GB2312"/>
          <w:sz w:val="32"/>
          <w:szCs w:val="32"/>
        </w:rPr>
      </w:pPr>
      <w:r>
        <w:rPr>
          <w:rFonts w:hint="eastAsia" w:ascii="Times New Roman" w:hAnsi="Times New Roman" w:eastAsia="仿宋_GB2312" w:cs="Times New Roman"/>
          <w:color w:val="000000"/>
          <w:kern w:val="0"/>
          <w:sz w:val="32"/>
          <w:szCs w:val="32"/>
          <w:lang w:val="en-US" w:eastAsia="zh-CN" w:bidi="ar-SA"/>
        </w:rPr>
        <w:t>市科技局</w:t>
      </w:r>
      <w:r>
        <w:rPr>
          <w:rFonts w:ascii="Times New Roman" w:hAnsi="Times New Roman" w:eastAsia="仿宋_GB2312" w:cs="Times New Roman"/>
          <w:color w:val="000000"/>
          <w:kern w:val="0"/>
          <w:sz w:val="32"/>
          <w:szCs w:val="32"/>
          <w:lang w:val="en-US" w:eastAsia="zh-CN" w:bidi="ar-SA"/>
        </w:rPr>
        <w:t>干部教育培训工作</w:t>
      </w:r>
      <w:r>
        <w:rPr>
          <w:rFonts w:hint="eastAsia" w:ascii="Times New Roman" w:hAnsi="Times New Roman" w:eastAsia="仿宋_GB2312" w:cs="Times New Roman"/>
          <w:color w:val="000000"/>
          <w:kern w:val="0"/>
          <w:sz w:val="32"/>
          <w:szCs w:val="32"/>
          <w:lang w:val="en-US" w:eastAsia="zh-CN" w:bidi="ar-SA"/>
        </w:rPr>
        <w:t>由局人事科负责，</w:t>
      </w:r>
      <w:r>
        <w:rPr>
          <w:rFonts w:hint="eastAsia" w:ascii="仿宋_GB2312" w:eastAsia="仿宋_GB2312"/>
          <w:sz w:val="32"/>
          <w:szCs w:val="32"/>
        </w:rPr>
        <w:t>培训过程中，参训学员严格服从主办单位的统一管理，严格执行中央、省市委关于加强学员管理的相关规定，遵守纪律，强化学风建设</w:t>
      </w:r>
      <w:r>
        <w:rPr>
          <w:rFonts w:hint="eastAsia" w:ascii="Times New Roman" w:hAnsi="Times New Roman" w:eastAsia="仿宋_GB2312" w:cs="Times New Roman"/>
          <w:color w:val="000000"/>
          <w:kern w:val="0"/>
          <w:sz w:val="32"/>
          <w:szCs w:val="32"/>
          <w:lang w:val="en-US" w:eastAsia="zh-CN" w:bidi="ar-SA"/>
        </w:rPr>
        <w:t>。</w:t>
      </w:r>
      <w:r>
        <w:rPr>
          <w:rFonts w:ascii="Times New Roman" w:hAnsi="Times New Roman" w:eastAsia="仿宋_GB2312" w:cs="Times New Roman"/>
          <w:color w:val="000000"/>
          <w:kern w:val="0"/>
          <w:sz w:val="32"/>
          <w:szCs w:val="32"/>
          <w:lang w:val="en-US" w:eastAsia="zh-CN" w:bidi="ar-SA"/>
        </w:rPr>
        <w:t>培训完成后</w:t>
      </w:r>
      <w:r>
        <w:rPr>
          <w:rFonts w:hint="eastAsia" w:ascii="仿宋_GB2312" w:eastAsia="仿宋_GB2312"/>
          <w:sz w:val="32"/>
          <w:szCs w:val="32"/>
        </w:rPr>
        <w:t>培训费统一由局机关专项经费支出</w:t>
      </w:r>
      <w:r>
        <w:rPr>
          <w:rFonts w:ascii="仿宋_GB2312" w:eastAsia="仿宋_GB2312"/>
          <w:sz w:val="32"/>
          <w:szCs w:val="32"/>
        </w:rPr>
        <w:t>。</w:t>
      </w:r>
    </w:p>
    <w:p w14:paraId="6EAB4451">
      <w:pPr>
        <w:keepNext w:val="0"/>
        <w:keepLines w:val="0"/>
        <w:pageBreakBefore w:val="0"/>
        <w:kinsoku/>
        <w:wordWrap/>
        <w:overflowPunct/>
        <w:topLinePunct w:val="0"/>
        <w:bidi w:val="0"/>
        <w:adjustRightInd w:val="0"/>
        <w:snapToGrid w:val="0"/>
        <w:spacing w:line="560" w:lineRule="exact"/>
        <w:ind w:firstLine="720"/>
        <w:rPr>
          <w:rFonts w:ascii="仿宋_GB2312"/>
          <w:sz w:val="32"/>
          <w:szCs w:val="32"/>
          <w:lang w:val="zh-CN"/>
        </w:rPr>
      </w:pPr>
      <w:r>
        <w:rPr>
          <w:rFonts w:hint="eastAsia" w:ascii="仿宋_GB2312" w:eastAsia="仿宋_GB2312" w:cs="仿宋_GB2312"/>
          <w:kern w:val="0"/>
          <w:sz w:val="32"/>
          <w:szCs w:val="32"/>
          <w:lang w:bidi="ar-SA"/>
        </w:rPr>
        <w:t>项目实施过程中，</w:t>
      </w:r>
      <w:r>
        <w:rPr>
          <w:rFonts w:hint="eastAsia" w:ascii="仿宋_GB2312" w:eastAsia="仿宋_GB2312" w:cs="仿宋_GB2312"/>
          <w:kern w:val="0"/>
          <w:sz w:val="32"/>
          <w:szCs w:val="32"/>
          <w:lang w:eastAsia="zh-CN" w:bidi="ar-SA"/>
        </w:rPr>
        <w:t>市科技局</w:t>
      </w:r>
      <w:r>
        <w:rPr>
          <w:rFonts w:hint="eastAsia" w:ascii="仿宋_GB2312" w:eastAsia="仿宋_GB2312" w:cs="仿宋_GB2312"/>
          <w:kern w:val="0"/>
          <w:sz w:val="32"/>
          <w:szCs w:val="32"/>
          <w:lang w:bidi="ar-SA"/>
        </w:rPr>
        <w:t>对项目的完成时效、质量</w:t>
      </w:r>
      <w:r>
        <w:rPr>
          <w:rFonts w:hint="eastAsia" w:ascii="仿宋_GB2312" w:eastAsia="仿宋_GB2312" w:cs="仿宋_GB2312"/>
          <w:kern w:val="0"/>
          <w:sz w:val="32"/>
          <w:szCs w:val="32"/>
          <w:lang w:eastAsia="zh-CN" w:bidi="ar-SA"/>
        </w:rPr>
        <w:t>进行</w:t>
      </w:r>
      <w:r>
        <w:rPr>
          <w:rFonts w:hint="eastAsia" w:ascii="仿宋_GB2312" w:eastAsia="仿宋_GB2312" w:cs="仿宋_GB2312"/>
          <w:kern w:val="0"/>
          <w:sz w:val="32"/>
          <w:szCs w:val="32"/>
          <w:lang w:bidi="ar-SA"/>
        </w:rPr>
        <w:t>全程监督，</w:t>
      </w:r>
      <w:r>
        <w:rPr>
          <w:rFonts w:hint="eastAsia" w:ascii="仿宋_GB2312" w:eastAsia="仿宋_GB2312" w:cs="仿宋_GB2312"/>
          <w:kern w:val="0"/>
          <w:sz w:val="32"/>
          <w:szCs w:val="32"/>
          <w:lang w:eastAsia="zh-CN" w:bidi="ar-SA"/>
        </w:rPr>
        <w:t>确保项目资金使用合理规范，</w:t>
      </w:r>
      <w:r>
        <w:rPr>
          <w:rFonts w:hint="eastAsia" w:ascii="仿宋_GB2312" w:eastAsia="仿宋_GB2312" w:cs="仿宋_GB2312"/>
          <w:kern w:val="0"/>
          <w:sz w:val="32"/>
          <w:szCs w:val="32"/>
          <w:lang w:bidi="ar-SA"/>
        </w:rPr>
        <w:t>在项目周期内圆满完成。</w:t>
      </w:r>
    </w:p>
    <w:p w14:paraId="19BA71E0">
      <w:pPr>
        <w:keepNext w:val="0"/>
        <w:keepLines w:val="0"/>
        <w:pageBreakBefore w:val="0"/>
        <w:kinsoku/>
        <w:wordWrap/>
        <w:overflowPunct/>
        <w:topLinePunct w:val="0"/>
        <w:bidi w:val="0"/>
        <w:adjustRightInd w:val="0"/>
        <w:snapToGrid w:val="0"/>
        <w:spacing w:line="560" w:lineRule="exact"/>
        <w:ind w:firstLine="720"/>
        <w:rPr>
          <w:rFonts w:ascii="仿宋_GB2312"/>
          <w:sz w:val="32"/>
          <w:szCs w:val="32"/>
          <w:lang w:val="zh-CN"/>
        </w:rPr>
      </w:pPr>
      <w:r>
        <w:rPr>
          <w:rFonts w:hint="eastAsia" w:ascii="黑体" w:eastAsia="黑体"/>
          <w:sz w:val="32"/>
          <w:szCs w:val="32"/>
        </w:rPr>
        <w:t>三、项目绩效情况</w:t>
      </w:r>
      <w:r>
        <w:rPr>
          <w:rFonts w:hint="eastAsia" w:ascii="仿宋_GB2312"/>
          <w:sz w:val="32"/>
          <w:szCs w:val="32"/>
          <w:lang w:val="zh-CN"/>
        </w:rPr>
        <w:tab/>
      </w:r>
    </w:p>
    <w:p w14:paraId="3AB10CB6">
      <w:pPr>
        <w:keepNext w:val="0"/>
        <w:keepLines w:val="0"/>
        <w:pageBreakBefore w:val="0"/>
        <w:kinsoku/>
        <w:wordWrap/>
        <w:overflowPunct/>
        <w:topLinePunct w:val="0"/>
        <w:bidi w:val="0"/>
        <w:adjustRightInd w:val="0"/>
        <w:snapToGrid w:val="0"/>
        <w:spacing w:line="560" w:lineRule="exact"/>
        <w:ind w:firstLine="720"/>
        <w:rPr>
          <w:rFonts w:ascii="楷体_GB2312" w:eastAsia="楷体_GB2312"/>
          <w:b/>
          <w:sz w:val="32"/>
          <w:szCs w:val="32"/>
          <w:lang w:val="zh-CN"/>
        </w:rPr>
      </w:pPr>
      <w:r>
        <w:rPr>
          <w:rFonts w:hint="eastAsia" w:ascii="楷体_GB2312" w:eastAsia="楷体_GB2312"/>
          <w:b/>
          <w:sz w:val="32"/>
          <w:szCs w:val="32"/>
          <w:lang w:val="zh-CN"/>
        </w:rPr>
        <w:t>（一）项目完成情况。</w:t>
      </w:r>
    </w:p>
    <w:p w14:paraId="2A5AAEE7">
      <w:pPr>
        <w:keepNext w:val="0"/>
        <w:keepLines w:val="0"/>
        <w:pageBreakBefore w:val="0"/>
        <w:kinsoku/>
        <w:wordWrap/>
        <w:overflowPunct/>
        <w:topLinePunct w:val="0"/>
        <w:autoSpaceDE w:val="0"/>
        <w:autoSpaceDN w:val="0"/>
        <w:bidi w:val="0"/>
        <w:adjustRightInd w:val="0"/>
        <w:spacing w:line="560" w:lineRule="exact"/>
        <w:ind w:firstLine="640" w:firstLineChars="200"/>
        <w:jc w:val="left"/>
        <w:rPr>
          <w:rFonts w:ascii="Times New Roman" w:hAnsi="Times New Roman" w:eastAsia="楷体_GB2312"/>
          <w:kern w:val="0"/>
          <w:sz w:val="32"/>
          <w:szCs w:val="32"/>
        </w:rPr>
      </w:pPr>
      <w:r>
        <w:rPr>
          <w:rFonts w:hint="eastAsia" w:ascii="Times New Roman" w:hAnsi="Times New Roman" w:eastAsia="仿宋_GB2312"/>
          <w:kern w:val="0"/>
          <w:sz w:val="32"/>
          <w:szCs w:val="32"/>
          <w:lang w:eastAsia="zh-CN"/>
        </w:rPr>
        <w:t>2021年10月，由市科技局组织市科技局系统有关领导及干部，市级相关部门分管领导或有关业务科室负责人，县（区）分管领导或相关部门负责人，以及全市主要科研院所、高校等有关管理人员共51人，在上海大学(新闸路校区)进行为期5天的专题培训工作，严格培训实施方案</w:t>
      </w:r>
      <w:r>
        <w:rPr>
          <w:rFonts w:ascii="Times New Roman" w:hAnsi="Times New Roman" w:eastAsia="仿宋_GB2312"/>
          <w:kern w:val="0"/>
          <w:sz w:val="32"/>
          <w:szCs w:val="32"/>
          <w:lang w:eastAsia="zh-CN"/>
        </w:rPr>
        <w:t>，并</w:t>
      </w:r>
      <w:r>
        <w:rPr>
          <w:rFonts w:hint="eastAsia" w:ascii="Times New Roman" w:hAnsi="Times New Roman" w:eastAsia="仿宋_GB2312"/>
          <w:kern w:val="0"/>
          <w:sz w:val="32"/>
          <w:szCs w:val="32"/>
          <w:lang w:eastAsia="zh-CN"/>
        </w:rPr>
        <w:t>保</w:t>
      </w:r>
      <w:r>
        <w:rPr>
          <w:rFonts w:ascii="Times New Roman" w:hAnsi="Times New Roman" w:eastAsia="仿宋_GB2312"/>
          <w:kern w:val="0"/>
          <w:sz w:val="32"/>
          <w:szCs w:val="32"/>
          <w:lang w:eastAsia="zh-CN"/>
        </w:rPr>
        <w:t>质</w:t>
      </w:r>
      <w:r>
        <w:rPr>
          <w:rFonts w:hint="eastAsia" w:ascii="Times New Roman" w:hAnsi="Times New Roman" w:eastAsia="仿宋_GB2312"/>
          <w:kern w:val="0"/>
          <w:sz w:val="32"/>
          <w:szCs w:val="32"/>
          <w:lang w:eastAsia="zh-CN"/>
        </w:rPr>
        <w:t>保量完成</w:t>
      </w:r>
      <w:r>
        <w:rPr>
          <w:rFonts w:ascii="Times New Roman" w:hAnsi="Times New Roman" w:eastAsia="仿宋_GB2312"/>
          <w:kern w:val="0"/>
          <w:sz w:val="32"/>
          <w:szCs w:val="32"/>
          <w:lang w:eastAsia="zh-CN"/>
        </w:rPr>
        <w:t>了培训工作</w:t>
      </w:r>
      <w:r>
        <w:rPr>
          <w:rFonts w:hint="eastAsia" w:ascii="Times New Roman" w:hAnsi="Times New Roman" w:eastAsia="仿宋_GB2312"/>
          <w:kern w:val="0"/>
          <w:sz w:val="32"/>
          <w:szCs w:val="32"/>
          <w:lang w:eastAsia="zh-CN"/>
        </w:rPr>
        <w:t>。</w:t>
      </w:r>
    </w:p>
    <w:p w14:paraId="604654BD">
      <w:pPr>
        <w:keepNext w:val="0"/>
        <w:keepLines w:val="0"/>
        <w:pageBreakBefore w:val="0"/>
        <w:kinsoku/>
        <w:wordWrap/>
        <w:overflowPunct/>
        <w:topLinePunct w:val="0"/>
        <w:autoSpaceDE w:val="0"/>
        <w:autoSpaceDN w:val="0"/>
        <w:bidi w:val="0"/>
        <w:adjustRightInd w:val="0"/>
        <w:spacing w:line="560" w:lineRule="exact"/>
        <w:ind w:left="420" w:leftChars="200"/>
        <w:jc w:val="left"/>
        <w:rPr>
          <w:rFonts w:hint="eastAsia" w:ascii="楷体_GB2312" w:eastAsia="楷体_GB2312"/>
          <w:b/>
          <w:sz w:val="32"/>
          <w:szCs w:val="32"/>
          <w:lang w:val="zh-CN"/>
        </w:rPr>
      </w:pPr>
      <w:r>
        <w:rPr>
          <w:rFonts w:hint="eastAsia" w:ascii="楷体_GB2312" w:eastAsia="楷体_GB2312"/>
          <w:b/>
          <w:sz w:val="32"/>
          <w:szCs w:val="32"/>
          <w:lang w:val="zh-CN"/>
        </w:rPr>
        <w:t>（二）项目效益情况。</w:t>
      </w:r>
    </w:p>
    <w:p w14:paraId="15C2994E">
      <w:pPr>
        <w:keepNext w:val="0"/>
        <w:keepLines w:val="0"/>
        <w:pageBreakBefore w:val="0"/>
        <w:kinsoku/>
        <w:wordWrap/>
        <w:overflowPunct/>
        <w:topLinePunct w:val="0"/>
        <w:autoSpaceDE w:val="0"/>
        <w:autoSpaceDN w:val="0"/>
        <w:bidi w:val="0"/>
        <w:adjustRightInd w:val="0"/>
        <w:spacing w:line="560" w:lineRule="exact"/>
        <w:rPr>
          <w:rFonts w:ascii="楷体_GB2312" w:eastAsia="楷体_GB2312"/>
          <w:b/>
          <w:sz w:val="32"/>
          <w:szCs w:val="32"/>
          <w:lang w:val="zh-CN"/>
        </w:rPr>
      </w:pPr>
      <w:r>
        <w:rPr>
          <w:rFonts w:hint="eastAsia" w:cs="Times New Roman"/>
          <w:kern w:val="0"/>
          <w:sz w:val="32"/>
          <w:szCs w:val="32"/>
          <w:lang w:val="en-US" w:eastAsia="zh-CN"/>
        </w:rPr>
        <w:t xml:space="preserve">    </w:t>
      </w:r>
      <w:r>
        <w:rPr>
          <w:rFonts w:hint="eastAsia" w:ascii="仿宋_GB2312" w:eastAsia="仿宋_GB2312" w:cs="仿宋_GB2312"/>
          <w:kern w:val="0"/>
          <w:sz w:val="32"/>
          <w:szCs w:val="32"/>
          <w:lang w:bidi="ar-SA"/>
        </w:rPr>
        <w:t>通过专题教育培训，</w:t>
      </w:r>
      <w:r>
        <w:rPr>
          <w:rFonts w:hint="eastAsia" w:ascii="仿宋_GB2312" w:eastAsia="仿宋_GB2312"/>
          <w:sz w:val="32"/>
          <w:szCs w:val="32"/>
        </w:rPr>
        <w:t>学习了国内有关创新驱动转型发展、科技成果转化、科技与经济深度融合、构建政产学研用一体化创新体系、“双创”、科技金融、高新技术园区建设等方面的先进理念经验，</w:t>
      </w:r>
      <w:r>
        <w:rPr>
          <w:rFonts w:hint="eastAsia" w:ascii="仿宋_GB2312" w:eastAsia="仿宋_GB2312" w:cs="仿宋_GB2312"/>
          <w:kern w:val="0"/>
          <w:sz w:val="32"/>
          <w:szCs w:val="32"/>
          <w:lang w:bidi="ar-SA"/>
        </w:rPr>
        <w:t>进一步提升了各级干部贯彻落实创新驱动战略推动攀枝花高质量发展的能力。</w:t>
      </w:r>
    </w:p>
    <w:p w14:paraId="398D06A3">
      <w:pPr>
        <w:keepNext w:val="0"/>
        <w:keepLines w:val="0"/>
        <w:pageBreakBefore w:val="0"/>
        <w:kinsoku/>
        <w:wordWrap/>
        <w:overflowPunct/>
        <w:topLinePunct w:val="0"/>
        <w:bidi w:val="0"/>
        <w:adjustRightInd w:val="0"/>
        <w:snapToGrid w:val="0"/>
        <w:spacing w:line="560" w:lineRule="exact"/>
        <w:ind w:firstLine="720"/>
        <w:rPr>
          <w:rFonts w:ascii="黑体" w:eastAsia="黑体"/>
          <w:sz w:val="32"/>
          <w:szCs w:val="32"/>
        </w:rPr>
      </w:pPr>
      <w:r>
        <w:rPr>
          <w:rFonts w:hint="eastAsia" w:ascii="黑体" w:eastAsia="黑体"/>
          <w:sz w:val="32"/>
          <w:szCs w:val="32"/>
        </w:rPr>
        <w:t>四、问题及建议</w:t>
      </w:r>
    </w:p>
    <w:p w14:paraId="1024DE2E">
      <w:pPr>
        <w:keepNext w:val="0"/>
        <w:keepLines w:val="0"/>
        <w:pageBreakBefore w:val="0"/>
        <w:kinsoku/>
        <w:wordWrap/>
        <w:overflowPunct/>
        <w:topLinePunct w:val="0"/>
        <w:bidi w:val="0"/>
        <w:adjustRightInd w:val="0"/>
        <w:snapToGrid w:val="0"/>
        <w:spacing w:line="560" w:lineRule="exact"/>
        <w:ind w:firstLine="720"/>
        <w:rPr>
          <w:rFonts w:hint="eastAsia" w:ascii="楷体_GB2312" w:eastAsia="楷体_GB2312"/>
          <w:b/>
          <w:sz w:val="32"/>
          <w:szCs w:val="32"/>
          <w:lang w:val="zh-CN"/>
        </w:rPr>
      </w:pPr>
      <w:r>
        <w:rPr>
          <w:rFonts w:hint="eastAsia" w:ascii="楷体_GB2312" w:eastAsia="楷体_GB2312"/>
          <w:b/>
          <w:sz w:val="32"/>
          <w:szCs w:val="32"/>
          <w:lang w:val="zh-CN"/>
        </w:rPr>
        <w:t>（一）存在的问题。</w:t>
      </w:r>
    </w:p>
    <w:p w14:paraId="17DA92BA">
      <w:pPr>
        <w:keepNext w:val="0"/>
        <w:keepLines w:val="0"/>
        <w:pageBreakBefore w:val="0"/>
        <w:kinsoku/>
        <w:wordWrap/>
        <w:overflowPunct/>
        <w:topLinePunct w:val="0"/>
        <w:bidi w:val="0"/>
        <w:adjustRightInd w:val="0"/>
        <w:snapToGrid w:val="0"/>
        <w:spacing w:line="560" w:lineRule="exact"/>
        <w:ind w:firstLine="720"/>
        <w:rPr>
          <w:rFonts w:hint="eastAsia" w:ascii="楷体_GB2312" w:eastAsia="楷体_GB2312"/>
          <w:b w:val="0"/>
          <w:bCs/>
          <w:sz w:val="32"/>
          <w:szCs w:val="32"/>
          <w:lang w:val="zh-CN"/>
        </w:rPr>
      </w:pPr>
      <w:r>
        <w:rPr>
          <w:rFonts w:hint="eastAsia" w:ascii="楷体_GB2312" w:eastAsia="楷体_GB2312"/>
          <w:b w:val="0"/>
          <w:bCs/>
          <w:sz w:val="32"/>
          <w:szCs w:val="32"/>
          <w:lang w:val="zh-CN"/>
        </w:rPr>
        <w:t>无</w:t>
      </w:r>
    </w:p>
    <w:p w14:paraId="7F104DAA">
      <w:pPr>
        <w:keepNext w:val="0"/>
        <w:keepLines w:val="0"/>
        <w:pageBreakBefore w:val="0"/>
        <w:kinsoku/>
        <w:wordWrap/>
        <w:overflowPunct/>
        <w:topLinePunct w:val="0"/>
        <w:bidi w:val="0"/>
        <w:adjustRightInd w:val="0"/>
        <w:snapToGrid w:val="0"/>
        <w:spacing w:line="560" w:lineRule="exact"/>
        <w:ind w:firstLine="720"/>
        <w:rPr>
          <w:rFonts w:hint="eastAsia" w:ascii="楷体_GB2312" w:eastAsia="楷体_GB2312"/>
          <w:b/>
          <w:sz w:val="32"/>
          <w:szCs w:val="32"/>
          <w:lang w:val="zh-CN"/>
        </w:rPr>
      </w:pPr>
      <w:r>
        <w:rPr>
          <w:rFonts w:hint="eastAsia" w:ascii="楷体_GB2312" w:eastAsia="楷体_GB2312"/>
          <w:b/>
          <w:sz w:val="32"/>
          <w:szCs w:val="32"/>
          <w:lang w:val="zh-CN"/>
        </w:rPr>
        <w:t>（二）相关建议。</w:t>
      </w:r>
    </w:p>
    <w:p w14:paraId="11CCCC8B">
      <w:pPr>
        <w:keepNext w:val="0"/>
        <w:keepLines w:val="0"/>
        <w:pageBreakBefore w:val="0"/>
        <w:kinsoku/>
        <w:wordWrap/>
        <w:overflowPunct/>
        <w:topLinePunct w:val="0"/>
        <w:bidi w:val="0"/>
        <w:adjustRightInd w:val="0"/>
        <w:snapToGrid w:val="0"/>
        <w:spacing w:line="560" w:lineRule="exact"/>
        <w:ind w:firstLine="720"/>
        <w:rPr>
          <w:rFonts w:hint="eastAsia" w:ascii="方正小标宋简体" w:hAnsi="方正小标宋简体" w:eastAsia="方正小标宋简体" w:cs="方正小标宋简体"/>
          <w:color w:val="auto"/>
          <w:kern w:val="2"/>
          <w:sz w:val="32"/>
          <w:szCs w:val="32"/>
          <w:lang w:val="en-US"/>
        </w:rPr>
      </w:pPr>
      <w:r>
        <w:rPr>
          <w:rFonts w:hint="eastAsia" w:ascii="仿宋_GB2312"/>
          <w:sz w:val="32"/>
          <w:szCs w:val="32"/>
          <w:lang w:val="zh-CN"/>
        </w:rPr>
        <w:t>无</w:t>
      </w:r>
    </w:p>
    <w:p w14:paraId="7A2DC895">
      <w:pPr>
        <w:jc w:val="center"/>
        <w:rPr>
          <w:rFonts w:hint="eastAsia" w:ascii="方正小标宋简体" w:hAnsi="方正小标宋简体" w:eastAsia="方正小标宋简体" w:cs="方正小标宋简体"/>
          <w:color w:val="auto"/>
          <w:kern w:val="2"/>
          <w:sz w:val="32"/>
          <w:szCs w:val="32"/>
          <w:lang w:val="en-US"/>
        </w:rPr>
      </w:pPr>
      <w:r>
        <w:br w:type="page"/>
      </w:r>
      <w:r>
        <w:rPr>
          <w:rFonts w:hint="eastAsia" w:ascii="方正小标宋简体" w:hAnsi="方正小标宋简体" w:eastAsia="方正小标宋简体" w:cs="方正小标宋简体"/>
          <w:color w:val="auto"/>
          <w:kern w:val="2"/>
          <w:sz w:val="32"/>
          <w:szCs w:val="32"/>
          <w:lang w:val="en-US"/>
        </w:rPr>
        <w:t>2023年市级专项资金预算项目绩效自评报告</w:t>
      </w:r>
    </w:p>
    <w:p w14:paraId="448F3307">
      <w:pPr>
        <w:jc w:val="center"/>
        <w:rPr>
          <w:rFonts w:hint="eastAsia" w:ascii="方正小标宋简体" w:hAnsi="方正小标宋简体" w:eastAsia="方正小标宋简体" w:cs="方正小标宋简体"/>
          <w:color w:val="auto"/>
          <w:kern w:val="2"/>
          <w:sz w:val="32"/>
          <w:szCs w:val="32"/>
          <w:lang w:val="en-US" w:eastAsia="zh-CN" w:bidi="ar-SA"/>
        </w:rPr>
      </w:pPr>
      <w:r>
        <w:rPr>
          <w:rFonts w:hint="eastAsia" w:ascii="方正小标宋简体" w:hAnsi="方正小标宋简体" w:eastAsia="方正小标宋简体" w:cs="方正小标宋简体"/>
          <w:color w:val="auto"/>
          <w:kern w:val="2"/>
          <w:sz w:val="32"/>
          <w:szCs w:val="32"/>
          <w:lang w:val="en-US" w:eastAsia="zh-CN" w:bidi="ar-SA"/>
        </w:rPr>
        <w:t>（</w:t>
      </w:r>
      <w:r>
        <w:rPr>
          <w:rFonts w:hint="eastAsia" w:ascii="方正小标宋简体" w:hAnsi="宋体" w:eastAsia="方正小标宋简体"/>
          <w:sz w:val="32"/>
          <w:szCs w:val="32"/>
          <w:lang w:eastAsia="zh-CN"/>
        </w:rPr>
        <w:t>“</w:t>
      </w:r>
      <w:r>
        <w:rPr>
          <w:rFonts w:hint="eastAsia" w:ascii="方正小标宋简体" w:hAnsi="宋体" w:eastAsia="方正小标宋简体"/>
          <w:sz w:val="32"/>
          <w:szCs w:val="32"/>
          <w:lang w:val="zh-CN" w:eastAsia="zh-CN"/>
        </w:rPr>
        <w:t>攀枝花市“四川科技扶贫在线”平台建设与运行维护</w:t>
      </w:r>
      <w:r>
        <w:rPr>
          <w:rFonts w:hint="eastAsia" w:ascii="方正小标宋简体" w:hAnsi="宋体" w:eastAsia="方正小标宋简体"/>
          <w:sz w:val="32"/>
          <w:szCs w:val="32"/>
          <w:lang w:eastAsia="zh-CN"/>
        </w:rPr>
        <w:t>”</w:t>
      </w:r>
      <w:r>
        <w:rPr>
          <w:rFonts w:hint="eastAsia" w:ascii="方正小标宋简体" w:hAnsi="方正小标宋简体" w:eastAsia="方正小标宋简体" w:cs="方正小标宋简体"/>
          <w:color w:val="auto"/>
          <w:kern w:val="2"/>
          <w:sz w:val="32"/>
          <w:szCs w:val="32"/>
          <w:lang w:val="en-US" w:eastAsia="zh-CN" w:bidi="ar-SA"/>
        </w:rPr>
        <w:t>）</w:t>
      </w:r>
    </w:p>
    <w:p w14:paraId="0F04A4BE">
      <w:pPr>
        <w:adjustRightInd w:val="0"/>
        <w:snapToGrid w:val="0"/>
        <w:spacing w:line="560" w:lineRule="exact"/>
        <w:ind w:firstLine="720"/>
        <w:rPr>
          <w:rFonts w:hint="eastAsia" w:ascii="黑体" w:hAnsi="宋体" w:eastAsia="黑体"/>
          <w:sz w:val="32"/>
          <w:szCs w:val="32"/>
        </w:rPr>
      </w:pPr>
    </w:p>
    <w:p w14:paraId="79A757CE">
      <w:pPr>
        <w:adjustRightInd w:val="0"/>
        <w:snapToGrid w:val="0"/>
        <w:spacing w:line="56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60AD9CD3">
      <w:pPr>
        <w:adjustRightInd w:val="0"/>
        <w:snapToGrid w:val="0"/>
        <w:spacing w:line="560" w:lineRule="exact"/>
        <w:ind w:firstLine="720"/>
        <w:rPr>
          <w:rFonts w:ascii="仿宋_GB2312" w:hAnsi="宋体"/>
          <w:sz w:val="32"/>
          <w:szCs w:val="32"/>
          <w:lang w:val="zh-CN"/>
        </w:rPr>
      </w:pPr>
      <w:r>
        <w:rPr>
          <w:rFonts w:hint="eastAsia" w:ascii="仿宋_GB2312" w:hAnsi="宋体"/>
          <w:sz w:val="32"/>
          <w:szCs w:val="32"/>
          <w:lang w:val="zh-CN"/>
        </w:rPr>
        <w:t>介绍项目基本情况，重点说明以下内容：</w:t>
      </w:r>
    </w:p>
    <w:p w14:paraId="35A74908">
      <w:pPr>
        <w:numPr>
          <w:ilvl w:val="0"/>
          <w:numId w:val="0"/>
        </w:numPr>
        <w:autoSpaceDE w:val="0"/>
        <w:autoSpaceDN w:val="0"/>
        <w:adjustRightInd w:val="0"/>
        <w:spacing w:line="600" w:lineRule="exact"/>
        <w:ind w:firstLine="643" w:firstLineChars="200"/>
        <w:jc w:val="left"/>
        <w:rPr>
          <w:rFonts w:hint="eastAsia" w:ascii="仿宋_GB2312" w:hAnsi="宋体"/>
          <w:sz w:val="32"/>
          <w:szCs w:val="32"/>
          <w:lang w:val="zh-CN"/>
        </w:rPr>
      </w:pPr>
      <w:r>
        <w:rPr>
          <w:rFonts w:hint="eastAsia" w:ascii="楷体_GB2312" w:hAnsi="宋体" w:eastAsia="楷体_GB2312"/>
          <w:b/>
          <w:sz w:val="32"/>
          <w:szCs w:val="32"/>
          <w:lang w:val="zh-CN"/>
        </w:rPr>
        <w:t>（一）项目资金申报及批复情况。</w:t>
      </w:r>
      <w:r>
        <w:rPr>
          <w:rFonts w:hint="eastAsia" w:ascii="仿宋_GB2312" w:hAnsi="宋体"/>
          <w:sz w:val="32"/>
          <w:szCs w:val="32"/>
          <w:lang w:val="zh-CN"/>
        </w:rPr>
        <w:t>资金项目由市科技局根据《关于下达</w:t>
      </w:r>
      <w:r>
        <w:rPr>
          <w:rFonts w:hint="eastAsia" w:ascii="仿宋_GB2312" w:hAnsi="宋体"/>
          <w:sz w:val="32"/>
          <w:szCs w:val="32"/>
          <w:lang w:val="en-US" w:eastAsia="zh-CN"/>
        </w:rPr>
        <w:t>2022年第二批省级科技计划项目专项资金预算的通知</w:t>
      </w:r>
      <w:r>
        <w:rPr>
          <w:rFonts w:hint="eastAsia" w:ascii="仿宋_GB2312" w:hAnsi="宋体"/>
          <w:sz w:val="32"/>
          <w:szCs w:val="32"/>
          <w:lang w:val="zh-CN"/>
        </w:rPr>
        <w:t>》（川财教</w:t>
      </w:r>
      <w:r>
        <w:rPr>
          <w:rFonts w:hint="eastAsia" w:ascii="仿宋_GB2312" w:hAnsi="宋体"/>
          <w:sz w:val="32"/>
          <w:szCs w:val="32"/>
          <w:lang w:val="zh-CN" w:eastAsia="zh-CN"/>
        </w:rPr>
        <w:t>〔202</w:t>
      </w:r>
      <w:r>
        <w:rPr>
          <w:rFonts w:hint="eastAsia" w:ascii="仿宋_GB2312" w:hAnsi="宋体"/>
          <w:sz w:val="32"/>
          <w:szCs w:val="32"/>
          <w:lang w:val="en-US" w:eastAsia="zh-CN"/>
        </w:rPr>
        <w:t>2</w:t>
      </w:r>
      <w:r>
        <w:rPr>
          <w:rFonts w:hint="eastAsia" w:ascii="仿宋_GB2312" w:hAnsi="宋体"/>
          <w:sz w:val="32"/>
          <w:szCs w:val="32"/>
          <w:lang w:val="zh-CN" w:eastAsia="zh-CN"/>
        </w:rPr>
        <w:t>〕</w:t>
      </w:r>
      <w:r>
        <w:rPr>
          <w:rFonts w:hint="eastAsia" w:ascii="仿宋_GB2312" w:hAnsi="宋体"/>
          <w:sz w:val="32"/>
          <w:szCs w:val="32"/>
          <w:lang w:val="en-US" w:eastAsia="zh-CN"/>
        </w:rPr>
        <w:t>59</w:t>
      </w:r>
      <w:r>
        <w:rPr>
          <w:rFonts w:hint="eastAsia" w:ascii="仿宋_GB2312" w:hAnsi="宋体"/>
          <w:sz w:val="32"/>
          <w:szCs w:val="32"/>
          <w:lang w:val="zh-CN" w:eastAsia="zh-CN"/>
        </w:rPr>
        <w:t>号</w:t>
      </w:r>
      <w:r>
        <w:rPr>
          <w:rFonts w:hint="eastAsia" w:ascii="仿宋_GB2312" w:hAnsi="宋体"/>
          <w:sz w:val="32"/>
          <w:szCs w:val="32"/>
          <w:lang w:val="zh-CN"/>
        </w:rPr>
        <w:t>）文件要求，由市科技局向财政局报送</w:t>
      </w:r>
      <w:r>
        <w:rPr>
          <w:rFonts w:hint="eastAsia" w:ascii="仿宋_GB2312" w:hAnsi="宋体"/>
          <w:sz w:val="32"/>
          <w:szCs w:val="32"/>
          <w:lang w:val="zh-CN" w:eastAsia="zh-CN"/>
        </w:rPr>
        <w:t>《关于商请下达2022年第二批省级科技计划项目专项资金预算的函》（攀科函〔202</w:t>
      </w:r>
      <w:r>
        <w:rPr>
          <w:rFonts w:hint="eastAsia" w:ascii="仿宋_GB2312" w:hAnsi="宋体"/>
          <w:sz w:val="32"/>
          <w:szCs w:val="32"/>
          <w:lang w:val="en-US" w:eastAsia="zh-CN"/>
        </w:rPr>
        <w:t>2</w:t>
      </w:r>
      <w:r>
        <w:rPr>
          <w:rFonts w:hint="eastAsia" w:ascii="仿宋_GB2312" w:hAnsi="宋体"/>
          <w:sz w:val="32"/>
          <w:szCs w:val="32"/>
          <w:lang w:val="zh-CN" w:eastAsia="zh-CN"/>
        </w:rPr>
        <w:t>〕</w:t>
      </w:r>
      <w:r>
        <w:rPr>
          <w:rFonts w:hint="eastAsia" w:ascii="仿宋_GB2312" w:hAnsi="宋体"/>
          <w:sz w:val="32"/>
          <w:szCs w:val="32"/>
          <w:lang w:val="en-US" w:eastAsia="zh-CN"/>
        </w:rPr>
        <w:t>113</w:t>
      </w:r>
      <w:r>
        <w:rPr>
          <w:rFonts w:hint="eastAsia" w:ascii="仿宋_GB2312" w:hAnsi="宋体"/>
          <w:sz w:val="32"/>
          <w:szCs w:val="32"/>
          <w:lang w:val="zh-CN" w:eastAsia="zh-CN"/>
        </w:rPr>
        <w:t>号）</w:t>
      </w:r>
      <w:r>
        <w:rPr>
          <w:rFonts w:hint="eastAsia" w:ascii="仿宋_GB2312" w:hAnsi="宋体"/>
          <w:sz w:val="32"/>
          <w:szCs w:val="32"/>
          <w:lang w:val="zh-CN"/>
        </w:rPr>
        <w:t>，经市政府同意后下达</w:t>
      </w:r>
      <w:r>
        <w:rPr>
          <w:rFonts w:hint="eastAsia" w:ascii="仿宋_GB2312" w:hAnsi="宋体"/>
          <w:sz w:val="32"/>
          <w:szCs w:val="32"/>
          <w:lang w:val="zh-CN" w:eastAsia="zh-CN"/>
        </w:rPr>
        <w:t>我单位</w:t>
      </w:r>
      <w:r>
        <w:rPr>
          <w:rFonts w:hint="eastAsia" w:ascii="仿宋_GB2312" w:hAnsi="宋体"/>
          <w:sz w:val="32"/>
          <w:szCs w:val="32"/>
          <w:lang w:val="zh-CN"/>
        </w:rPr>
        <w:t>项目资金</w:t>
      </w:r>
      <w:r>
        <w:rPr>
          <w:rFonts w:hint="eastAsia" w:ascii="仿宋_GB2312" w:hAnsi="宋体"/>
          <w:sz w:val="32"/>
          <w:szCs w:val="32"/>
          <w:lang w:val="en-US" w:eastAsia="zh-CN"/>
        </w:rPr>
        <w:t>20万</w:t>
      </w:r>
      <w:r>
        <w:rPr>
          <w:rFonts w:hint="eastAsia" w:ascii="仿宋_GB2312" w:hAnsi="宋体"/>
          <w:sz w:val="32"/>
          <w:szCs w:val="32"/>
          <w:lang w:val="zh-CN"/>
        </w:rPr>
        <w:t>。</w:t>
      </w:r>
    </w:p>
    <w:p w14:paraId="24AEDFA1">
      <w:pPr>
        <w:numPr>
          <w:ilvl w:val="0"/>
          <w:numId w:val="0"/>
        </w:numPr>
        <w:autoSpaceDE w:val="0"/>
        <w:autoSpaceDN w:val="0"/>
        <w:adjustRightInd w:val="0"/>
        <w:spacing w:line="600" w:lineRule="exact"/>
        <w:ind w:firstLine="643" w:firstLineChars="200"/>
        <w:jc w:val="left"/>
        <w:rPr>
          <w:rFonts w:hint="eastAsia" w:ascii="仿宋_GB2312" w:hAnsi="宋体"/>
          <w:sz w:val="32"/>
          <w:szCs w:val="32"/>
          <w:lang w:val="zh-CN"/>
        </w:rPr>
      </w:pPr>
      <w:r>
        <w:rPr>
          <w:rFonts w:hint="eastAsia" w:ascii="楷体_GB2312" w:hAnsi="宋体" w:eastAsia="楷体_GB2312"/>
          <w:b/>
          <w:sz w:val="32"/>
          <w:szCs w:val="32"/>
          <w:lang w:val="zh-CN"/>
        </w:rPr>
        <w:t>（二）项目绩效目标。</w:t>
      </w:r>
      <w:r>
        <w:rPr>
          <w:rFonts w:hint="eastAsia" w:ascii="仿宋_GB2312" w:hAnsi="宋体"/>
          <w:sz w:val="32"/>
          <w:szCs w:val="32"/>
          <w:lang w:val="zh-CN"/>
        </w:rPr>
        <w:t>该</w:t>
      </w:r>
      <w:r>
        <w:rPr>
          <w:rFonts w:hint="eastAsia" w:ascii="仿宋_GB2312" w:hAnsi="宋体"/>
          <w:sz w:val="32"/>
          <w:szCs w:val="32"/>
          <w:lang w:val="zh-CN" w:eastAsia="zh-CN"/>
        </w:rPr>
        <w:t>项目资金主要用于攀</w:t>
      </w:r>
      <w:r>
        <w:rPr>
          <w:rFonts w:hint="eastAsia" w:ascii="仿宋_GB2312" w:hAnsi="宋体"/>
          <w:sz w:val="32"/>
          <w:szCs w:val="32"/>
          <w:lang w:val="zh-CN"/>
        </w:rPr>
        <w:t>枝花市“四川科技扶贫在线”平台建设中涉及的项目调研、专家评审及聘用人员劳务等费用。</w:t>
      </w:r>
    </w:p>
    <w:p w14:paraId="667F6B9D">
      <w:pPr>
        <w:autoSpaceDE w:val="0"/>
        <w:autoSpaceDN w:val="0"/>
        <w:adjustRightInd w:val="0"/>
        <w:spacing w:line="600" w:lineRule="exact"/>
        <w:ind w:firstLine="643" w:firstLineChars="200"/>
        <w:jc w:val="left"/>
        <w:rPr>
          <w:rFonts w:ascii="仿宋_GB2312" w:hAnsi="宋体"/>
          <w:sz w:val="32"/>
          <w:szCs w:val="32"/>
          <w:lang w:val="zh-CN"/>
        </w:rPr>
      </w:pPr>
      <w:r>
        <w:rPr>
          <w:rFonts w:hint="eastAsia" w:ascii="楷体_GB2312" w:hAnsi="宋体" w:eastAsia="楷体_GB2312"/>
          <w:b/>
          <w:sz w:val="32"/>
          <w:szCs w:val="32"/>
          <w:lang w:val="zh-CN"/>
        </w:rPr>
        <w:t>（三）项目资金申报相符性。</w:t>
      </w:r>
      <w:r>
        <w:rPr>
          <w:rFonts w:hint="eastAsia" w:ascii="仿宋_GB2312" w:eastAsia="仿宋_GB2312"/>
          <w:kern w:val="0"/>
          <w:sz w:val="32"/>
          <w:szCs w:val="32"/>
        </w:rPr>
        <w:t>该项目</w:t>
      </w:r>
      <w:r>
        <w:rPr>
          <w:rFonts w:hint="eastAsia" w:ascii="仿宋_GB2312"/>
          <w:kern w:val="0"/>
          <w:sz w:val="32"/>
          <w:szCs w:val="32"/>
          <w:lang w:eastAsia="zh-CN"/>
        </w:rPr>
        <w:t>按照</w:t>
      </w:r>
      <w:r>
        <w:rPr>
          <w:rFonts w:hint="eastAsia" w:ascii="仿宋_GB2312" w:eastAsia="仿宋_GB2312"/>
          <w:kern w:val="0"/>
          <w:sz w:val="32"/>
          <w:szCs w:val="32"/>
        </w:rPr>
        <w:t>《四川省科技计划项目专项资金管理办法》（川财规</w:t>
      </w:r>
      <w:r>
        <w:rPr>
          <w:rFonts w:hint="eastAsia" w:ascii="仿宋_GB2312" w:hAnsi="宋体"/>
          <w:sz w:val="32"/>
          <w:szCs w:val="32"/>
          <w:lang w:val="zh-CN" w:eastAsia="zh-CN"/>
        </w:rPr>
        <w:t>〔20</w:t>
      </w:r>
      <w:r>
        <w:rPr>
          <w:rFonts w:hint="eastAsia" w:ascii="仿宋_GB2312" w:hAnsi="宋体"/>
          <w:sz w:val="32"/>
          <w:szCs w:val="32"/>
          <w:lang w:val="en-US" w:eastAsia="zh-CN"/>
        </w:rPr>
        <w:t>19</w:t>
      </w:r>
      <w:r>
        <w:rPr>
          <w:rFonts w:hint="eastAsia" w:ascii="仿宋_GB2312" w:hAnsi="宋体"/>
          <w:sz w:val="32"/>
          <w:szCs w:val="32"/>
          <w:lang w:val="zh-CN" w:eastAsia="zh-CN"/>
        </w:rPr>
        <w:t>〕</w:t>
      </w:r>
      <w:r>
        <w:rPr>
          <w:rFonts w:hint="eastAsia" w:ascii="仿宋_GB2312" w:eastAsia="仿宋_GB2312"/>
          <w:kern w:val="0"/>
          <w:sz w:val="32"/>
          <w:szCs w:val="32"/>
        </w:rPr>
        <w:t>10号）</w:t>
      </w:r>
      <w:r>
        <w:rPr>
          <w:rFonts w:hint="eastAsia" w:ascii="仿宋_GB2312"/>
          <w:kern w:val="0"/>
          <w:sz w:val="32"/>
          <w:szCs w:val="32"/>
          <w:lang w:eastAsia="zh-CN"/>
        </w:rPr>
        <w:t>文件</w:t>
      </w:r>
      <w:r>
        <w:rPr>
          <w:rFonts w:hint="eastAsia" w:ascii="仿宋_GB2312" w:eastAsia="仿宋_GB2312"/>
          <w:kern w:val="0"/>
          <w:sz w:val="32"/>
          <w:szCs w:val="32"/>
        </w:rPr>
        <w:t>精神，根据项目立项时任务合同</w:t>
      </w:r>
      <w:r>
        <w:rPr>
          <w:rFonts w:hint="eastAsia" w:ascii="仿宋_GB2312"/>
          <w:kern w:val="0"/>
          <w:sz w:val="32"/>
          <w:szCs w:val="32"/>
          <w:lang w:eastAsia="zh-CN"/>
        </w:rPr>
        <w:t>规范资金使用条件和范围，</w:t>
      </w:r>
      <w:r>
        <w:rPr>
          <w:rFonts w:hint="eastAsia" w:ascii="仿宋_GB2312" w:eastAsia="仿宋_GB2312"/>
          <w:kern w:val="0"/>
          <w:sz w:val="32"/>
          <w:szCs w:val="32"/>
        </w:rPr>
        <w:t>进行资金管理</w:t>
      </w:r>
      <w:r>
        <w:rPr>
          <w:rFonts w:hint="eastAsia" w:ascii="仿宋_GB2312"/>
          <w:kern w:val="0"/>
          <w:sz w:val="32"/>
          <w:szCs w:val="32"/>
          <w:lang w:eastAsia="zh-CN"/>
        </w:rPr>
        <w:t>，</w:t>
      </w:r>
      <w:r>
        <w:rPr>
          <w:rFonts w:hint="eastAsia" w:ascii="仿宋_GB2312" w:hAnsi="宋体"/>
          <w:sz w:val="32"/>
          <w:szCs w:val="32"/>
          <w:lang w:val="zh-CN"/>
        </w:rPr>
        <w:t>项目申报内容与具体实施内容相符、申报目标合理可行。</w:t>
      </w:r>
    </w:p>
    <w:p w14:paraId="50D66C4E">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二、项目实施及管理情况</w:t>
      </w:r>
    </w:p>
    <w:p w14:paraId="47E3F4A8">
      <w:pPr>
        <w:adjustRightInd w:val="0"/>
        <w:snapToGrid w:val="0"/>
        <w:spacing w:line="560" w:lineRule="exact"/>
        <w:ind w:firstLine="720"/>
        <w:rPr>
          <w:rFonts w:ascii="楷体_GB2312" w:hAnsi="宋体" w:eastAsia="楷体_GB2312"/>
          <w:b/>
          <w:sz w:val="32"/>
          <w:szCs w:val="32"/>
          <w:lang w:val="zh-CN"/>
        </w:rPr>
      </w:pPr>
      <w:r>
        <w:rPr>
          <w:rFonts w:hint="eastAsia" w:ascii="仿宋_GB2312" w:hAnsi="宋体"/>
          <w:sz w:val="32"/>
          <w:szCs w:val="32"/>
          <w:lang w:val="zh-CN"/>
        </w:rPr>
        <w:tab/>
      </w:r>
      <w:r>
        <w:rPr>
          <w:rFonts w:hint="eastAsia" w:ascii="楷体_GB2312" w:hAnsi="宋体" w:eastAsia="楷体_GB2312"/>
          <w:b/>
          <w:sz w:val="32"/>
          <w:szCs w:val="32"/>
          <w:lang w:val="zh-CN"/>
        </w:rPr>
        <w:t>（一）资金计划、到位及使用情况。</w:t>
      </w:r>
    </w:p>
    <w:p w14:paraId="5999FF91">
      <w:pPr>
        <w:autoSpaceDE w:val="0"/>
        <w:autoSpaceDN w:val="0"/>
        <w:adjustRightInd w:val="0"/>
        <w:spacing w:line="560" w:lineRule="exact"/>
        <w:ind w:firstLine="640" w:firstLineChars="200"/>
        <w:jc w:val="left"/>
        <w:rPr>
          <w:rFonts w:ascii="仿宋_GB2312" w:eastAsia="仿宋_GB2312"/>
          <w:kern w:val="0"/>
          <w:sz w:val="32"/>
          <w:szCs w:val="32"/>
        </w:rPr>
      </w:pPr>
      <w:r>
        <w:rPr>
          <w:rFonts w:hint="eastAsia" w:ascii="楷体_GB2312" w:hAnsi="宋体" w:eastAsia="楷体_GB2312"/>
          <w:sz w:val="32"/>
          <w:szCs w:val="32"/>
          <w:lang w:val="zh-CN"/>
        </w:rPr>
        <w:t>1．资金计划及时</w:t>
      </w:r>
      <w:bookmarkStart w:id="78" w:name="_GoBack"/>
      <w:bookmarkEnd w:id="78"/>
      <w:r>
        <w:rPr>
          <w:rFonts w:hint="eastAsia" w:ascii="楷体_GB2312" w:hAnsi="宋体" w:eastAsia="楷体_GB2312"/>
          <w:sz w:val="32"/>
          <w:szCs w:val="32"/>
          <w:lang w:val="zh-CN"/>
        </w:rPr>
        <w:t>到位。</w:t>
      </w:r>
    </w:p>
    <w:p w14:paraId="7437A322">
      <w:pPr>
        <w:adjustRightInd w:val="0"/>
        <w:snapToGrid w:val="0"/>
        <w:spacing w:line="560" w:lineRule="exact"/>
        <w:ind w:firstLine="720"/>
        <w:rPr>
          <w:rFonts w:hint="eastAsia" w:ascii="仿宋_GB2312" w:hAnsi="宋体"/>
          <w:sz w:val="32"/>
          <w:szCs w:val="32"/>
          <w:lang w:val="zh-CN"/>
        </w:rPr>
      </w:pPr>
      <w:r>
        <w:rPr>
          <w:rFonts w:hint="eastAsia" w:ascii="仿宋_GB2312" w:hAnsi="黑体" w:eastAsia="仿宋_GB2312"/>
          <w:sz w:val="32"/>
          <w:szCs w:val="32"/>
        </w:rPr>
        <w:t>根据（攀财资教</w:t>
      </w:r>
      <w:r>
        <w:rPr>
          <w:rFonts w:hint="eastAsia" w:ascii="仿宋_GB2312" w:eastAsia="仿宋_GB2312"/>
          <w:color w:val="auto"/>
          <w:kern w:val="0"/>
          <w:sz w:val="32"/>
          <w:szCs w:val="32"/>
          <w:lang w:val="en"/>
        </w:rPr>
        <w:t>〔202</w:t>
      </w:r>
      <w:r>
        <w:rPr>
          <w:rFonts w:hint="eastAsia" w:ascii="仿宋_GB2312"/>
          <w:color w:val="auto"/>
          <w:kern w:val="0"/>
          <w:sz w:val="32"/>
          <w:szCs w:val="32"/>
          <w:lang w:val="en-US" w:eastAsia="zh-CN"/>
        </w:rPr>
        <w:t>2</w:t>
      </w:r>
      <w:r>
        <w:rPr>
          <w:rFonts w:hint="eastAsia" w:ascii="仿宋_GB2312" w:eastAsia="仿宋_GB2312"/>
          <w:color w:val="auto"/>
          <w:kern w:val="0"/>
          <w:sz w:val="32"/>
          <w:szCs w:val="32"/>
          <w:lang w:val="en"/>
        </w:rPr>
        <w:t>〕</w:t>
      </w:r>
      <w:r>
        <w:rPr>
          <w:rFonts w:hint="eastAsia" w:ascii="仿宋_GB2312" w:hAnsi="黑体" w:eastAsia="仿宋_GB2312"/>
          <w:sz w:val="32"/>
          <w:szCs w:val="32"/>
        </w:rPr>
        <w:t>50号）</w:t>
      </w:r>
      <w:r>
        <w:rPr>
          <w:rFonts w:hint="eastAsia" w:ascii="仿宋_GB2312" w:hAnsi="黑体"/>
          <w:sz w:val="32"/>
          <w:szCs w:val="32"/>
          <w:lang w:eastAsia="zh-CN"/>
        </w:rPr>
        <w:t>，</w:t>
      </w:r>
      <w:r>
        <w:rPr>
          <w:rFonts w:hint="eastAsia" w:ascii="仿宋_GB2312" w:hAnsi="黑体" w:eastAsia="仿宋_GB2312"/>
          <w:sz w:val="32"/>
          <w:szCs w:val="32"/>
        </w:rPr>
        <w:t>于2022年9月</w:t>
      </w:r>
      <w:r>
        <w:rPr>
          <w:rFonts w:hint="eastAsia" w:ascii="仿宋_GB2312" w:hAnsi="黑体"/>
          <w:sz w:val="32"/>
          <w:szCs w:val="32"/>
          <w:lang w:eastAsia="zh-CN"/>
        </w:rPr>
        <w:t>，项目资金全部到位，</w:t>
      </w:r>
      <w:r>
        <w:rPr>
          <w:rFonts w:hint="eastAsia" w:ascii="仿宋_GB2312" w:eastAsia="仿宋_GB2312"/>
          <w:kern w:val="0"/>
          <w:sz w:val="32"/>
          <w:szCs w:val="32"/>
        </w:rPr>
        <w:t>共计</w:t>
      </w:r>
      <w:r>
        <w:rPr>
          <w:rFonts w:hint="eastAsia" w:ascii="仿宋_GB2312" w:eastAsia="仿宋_GB2312"/>
          <w:kern w:val="0"/>
          <w:sz w:val="32"/>
          <w:szCs w:val="32"/>
          <w:lang w:val="en-US" w:eastAsia="zh-CN"/>
        </w:rPr>
        <w:t>2</w:t>
      </w:r>
      <w:r>
        <w:rPr>
          <w:rFonts w:hint="eastAsia" w:ascii="仿宋_GB2312"/>
          <w:kern w:val="0"/>
          <w:sz w:val="32"/>
          <w:szCs w:val="32"/>
          <w:lang w:val="en-US" w:eastAsia="zh-CN"/>
        </w:rPr>
        <w:t>0</w:t>
      </w:r>
      <w:r>
        <w:rPr>
          <w:rFonts w:hint="eastAsia" w:ascii="仿宋_GB2312" w:eastAsia="仿宋_GB2312"/>
          <w:kern w:val="0"/>
          <w:sz w:val="32"/>
          <w:szCs w:val="32"/>
          <w:lang w:val="en" w:eastAsia="zh-CN"/>
        </w:rPr>
        <w:t>万</w:t>
      </w:r>
      <w:r>
        <w:rPr>
          <w:rFonts w:hint="eastAsia" w:ascii="仿宋_GB2312" w:eastAsia="仿宋_GB2312"/>
          <w:kern w:val="0"/>
          <w:sz w:val="32"/>
          <w:szCs w:val="32"/>
        </w:rPr>
        <w:t>元</w:t>
      </w:r>
      <w:r>
        <w:rPr>
          <w:rFonts w:hint="eastAsia" w:ascii="仿宋_GB2312" w:hAnsi="黑体" w:eastAsia="仿宋_GB2312"/>
          <w:sz w:val="32"/>
          <w:szCs w:val="32"/>
        </w:rPr>
        <w:t>。</w:t>
      </w:r>
    </w:p>
    <w:p w14:paraId="1C12055A">
      <w:pPr>
        <w:autoSpaceDE w:val="0"/>
        <w:autoSpaceDN w:val="0"/>
        <w:adjustRightInd w:val="0"/>
        <w:spacing w:line="600" w:lineRule="exact"/>
        <w:ind w:firstLine="640" w:firstLineChars="200"/>
        <w:jc w:val="left"/>
        <w:rPr>
          <w:rFonts w:hint="eastAsia" w:ascii="楷体_GB2312" w:hAnsi="宋体" w:eastAsia="楷体_GB2312"/>
          <w:sz w:val="32"/>
          <w:szCs w:val="32"/>
          <w:lang w:val="zh-CN"/>
        </w:rPr>
      </w:pPr>
      <w:r>
        <w:rPr>
          <w:rFonts w:hint="eastAsia" w:ascii="楷体_GB2312" w:hAnsi="宋体" w:eastAsia="楷体_GB2312"/>
          <w:sz w:val="32"/>
          <w:szCs w:val="32"/>
          <w:lang w:val="zh-CN"/>
        </w:rPr>
        <w:t>2．资金使用。</w:t>
      </w:r>
    </w:p>
    <w:p w14:paraId="4464FBAE">
      <w:pPr>
        <w:adjustRightInd w:val="0"/>
        <w:snapToGrid w:val="0"/>
        <w:spacing w:line="560" w:lineRule="exact"/>
        <w:ind w:firstLine="720"/>
        <w:rPr>
          <w:rFonts w:hint="eastAsia" w:ascii="仿宋_GB2312" w:hAnsi="黑体" w:eastAsia="仿宋_GB2312"/>
          <w:sz w:val="32"/>
          <w:szCs w:val="32"/>
          <w:lang w:eastAsia="zh-CN"/>
        </w:rPr>
      </w:pPr>
      <w:r>
        <w:rPr>
          <w:rFonts w:hint="eastAsia" w:ascii="仿宋_GB2312" w:hAnsi="黑体"/>
          <w:sz w:val="32"/>
          <w:szCs w:val="32"/>
          <w:lang w:eastAsia="zh-CN"/>
        </w:rPr>
        <w:t>截止</w:t>
      </w:r>
      <w:r>
        <w:rPr>
          <w:rFonts w:hint="eastAsia" w:ascii="仿宋_GB2312" w:hAnsi="黑体"/>
          <w:sz w:val="32"/>
          <w:szCs w:val="32"/>
          <w:lang w:val="en-US" w:eastAsia="zh-CN"/>
        </w:rPr>
        <w:t>2022年底，项目</w:t>
      </w:r>
      <w:r>
        <w:rPr>
          <w:rFonts w:hint="eastAsia" w:ascii="仿宋_GB2312" w:hAnsi="黑体" w:eastAsia="仿宋_GB2312"/>
          <w:sz w:val="32"/>
          <w:szCs w:val="32"/>
        </w:rPr>
        <w:t>已列支差旅费5334.98元、劳务费12500.37元，小计17835.35元</w:t>
      </w:r>
      <w:r>
        <w:rPr>
          <w:rFonts w:hint="eastAsia" w:ascii="仿宋_GB2312" w:hAnsi="黑体" w:eastAsia="仿宋_GB2312"/>
          <w:sz w:val="32"/>
          <w:szCs w:val="32"/>
          <w:lang w:eastAsia="zh-CN"/>
        </w:rPr>
        <w:t>，</w:t>
      </w:r>
      <w:r>
        <w:rPr>
          <w:rFonts w:hint="eastAsia" w:ascii="仿宋_GB2312" w:hAnsi="黑体"/>
          <w:sz w:val="32"/>
          <w:szCs w:val="32"/>
          <w:lang w:eastAsia="zh-CN"/>
        </w:rPr>
        <w:t>经费支出</w:t>
      </w:r>
      <w:r>
        <w:rPr>
          <w:rFonts w:hint="eastAsia" w:ascii="仿宋_GB2312" w:hAnsi="黑体" w:eastAsia="仿宋_GB2312"/>
          <w:sz w:val="32"/>
          <w:szCs w:val="32"/>
        </w:rPr>
        <w:t>完全按照资金计划标准</w:t>
      </w:r>
      <w:r>
        <w:rPr>
          <w:rFonts w:hint="eastAsia" w:ascii="仿宋_GB2312" w:hAnsi="黑体" w:eastAsia="仿宋_GB2312"/>
          <w:sz w:val="32"/>
          <w:szCs w:val="32"/>
          <w:lang w:eastAsia="zh-CN"/>
        </w:rPr>
        <w:t>，</w:t>
      </w:r>
      <w:r>
        <w:rPr>
          <w:rFonts w:hint="eastAsia" w:ascii="仿宋_GB2312" w:hAnsi="黑体" w:eastAsia="仿宋_GB2312"/>
          <w:sz w:val="32"/>
          <w:szCs w:val="32"/>
        </w:rPr>
        <w:t>与</w:t>
      </w:r>
      <w:r>
        <w:rPr>
          <w:rFonts w:hint="eastAsia" w:ascii="仿宋_GB2312" w:hAnsi="黑体" w:eastAsia="仿宋_GB2312"/>
          <w:sz w:val="32"/>
          <w:szCs w:val="32"/>
          <w:lang w:eastAsia="zh-CN"/>
        </w:rPr>
        <w:t>资金计划</w:t>
      </w:r>
      <w:r>
        <w:rPr>
          <w:rFonts w:hint="eastAsia" w:ascii="仿宋_GB2312" w:hAnsi="黑体" w:eastAsia="仿宋_GB2312"/>
          <w:sz w:val="32"/>
          <w:szCs w:val="32"/>
        </w:rPr>
        <w:t>完全相符，支付依据等合规合法。</w:t>
      </w:r>
    </w:p>
    <w:p w14:paraId="77C86DDE">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14:paraId="3FADA798">
      <w:pPr>
        <w:ind w:firstLine="640" w:firstLineChars="200"/>
        <w:rPr>
          <w:rFonts w:ascii="仿宋_GB2312" w:hAnsi="黑体" w:eastAsia="仿宋_GB2312"/>
          <w:sz w:val="32"/>
          <w:szCs w:val="32"/>
        </w:rPr>
      </w:pPr>
      <w:r>
        <w:rPr>
          <w:rFonts w:hint="eastAsia" w:ascii="仿宋_GB2312" w:hAnsi="黑体" w:eastAsia="仿宋_GB2312"/>
          <w:sz w:val="32"/>
          <w:szCs w:val="32"/>
        </w:rPr>
        <w:t>我单位财务管理制度健全，所有项目经费均列“科技成果转化与服务”支出预算科目，同时严格批准预算执行，无擅自调整外拨资金情况。我单位承担项目在预算经费使用时，账务及时处理，会计核算符合规范，没有违反《资金管理办法》与财经纪律的行为发生。</w:t>
      </w:r>
    </w:p>
    <w:p w14:paraId="32741B83">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14:paraId="5A967895">
      <w:pPr>
        <w:autoSpaceDE w:val="0"/>
        <w:autoSpaceDN w:val="0"/>
        <w:adjustRightInd w:val="0"/>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该项目由项目组人员按照项目负责人负总责，各成员分工负责的方式开展项目实施。</w:t>
      </w:r>
    </w:p>
    <w:p w14:paraId="1D71527C">
      <w:pPr>
        <w:adjustRightInd w:val="0"/>
        <w:snapToGrid w:val="0"/>
        <w:spacing w:line="560" w:lineRule="exact"/>
        <w:ind w:firstLine="720"/>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14:paraId="2037D039">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5CA3B8B5">
      <w:pPr>
        <w:adjustRightInd w:val="0"/>
        <w:snapToGrid w:val="0"/>
        <w:spacing w:line="560" w:lineRule="exact"/>
        <w:ind w:firstLine="720"/>
        <w:rPr>
          <w:rFonts w:hint="eastAsia" w:ascii="仿宋_GB2312" w:hAnsi="宋体"/>
          <w:sz w:val="32"/>
          <w:szCs w:val="32"/>
          <w:lang w:val="zh-CN"/>
        </w:rPr>
      </w:pPr>
      <w:r>
        <w:rPr>
          <w:rFonts w:hint="eastAsia" w:ascii="仿宋_GB2312" w:hAnsi="宋体"/>
          <w:sz w:val="32"/>
          <w:szCs w:val="32"/>
          <w:lang w:val="zh-CN"/>
        </w:rPr>
        <w:t>按照《四川省衔接推进乡村振兴科技服务类项目实施细则》（川科农</w:t>
      </w:r>
      <w:r>
        <w:rPr>
          <w:rFonts w:hint="eastAsia" w:ascii="仿宋_GB2312" w:hAnsi="宋体"/>
          <w:sz w:val="32"/>
          <w:szCs w:val="32"/>
          <w:lang w:val="en"/>
        </w:rPr>
        <w:t>〔202</w:t>
      </w:r>
      <w:r>
        <w:rPr>
          <w:rFonts w:hint="eastAsia" w:ascii="仿宋_GB2312" w:hAnsi="宋体"/>
          <w:sz w:val="32"/>
          <w:szCs w:val="32"/>
          <w:lang w:val="en-US" w:eastAsia="zh-CN"/>
        </w:rPr>
        <w:t>1</w:t>
      </w:r>
      <w:r>
        <w:rPr>
          <w:rFonts w:hint="eastAsia" w:ascii="仿宋_GB2312" w:hAnsi="宋体"/>
          <w:sz w:val="32"/>
          <w:szCs w:val="32"/>
          <w:lang w:val="en"/>
        </w:rPr>
        <w:t>〕</w:t>
      </w:r>
      <w:r>
        <w:rPr>
          <w:rFonts w:hint="eastAsia" w:ascii="仿宋_GB2312" w:hAnsi="宋体"/>
          <w:sz w:val="32"/>
          <w:szCs w:val="32"/>
          <w:lang w:val="zh-CN"/>
        </w:rPr>
        <w:t>20号）要求，结合省运管中心月度例会培训实例核实信息员及专家咨询信息的有效性，全年完成有效性咨询判定6323条，其中驳回无效咨询269条</w:t>
      </w:r>
      <w:r>
        <w:rPr>
          <w:rFonts w:hint="eastAsia" w:ascii="仿宋_GB2312" w:hAnsi="宋体"/>
          <w:sz w:val="32"/>
          <w:szCs w:val="32"/>
          <w:lang w:val="zh-CN" w:eastAsia="zh-CN"/>
        </w:rPr>
        <w:t>；</w:t>
      </w:r>
      <w:r>
        <w:rPr>
          <w:rFonts w:hint="eastAsia" w:ascii="仿宋_GB2312" w:hAnsi="宋体"/>
          <w:sz w:val="32"/>
          <w:szCs w:val="32"/>
          <w:lang w:val="zh-CN"/>
        </w:rPr>
        <w:t>市平台共分诊各县区平台信息咨询339条，抽查回访农户231户，开展现场回访20余户。完成2022年度科技兴村服务类项目补助申领收集整理统计上报工作</w:t>
      </w:r>
      <w:r>
        <w:rPr>
          <w:rFonts w:hint="eastAsia" w:ascii="仿宋_GB2312" w:hAnsi="宋体"/>
          <w:sz w:val="32"/>
          <w:szCs w:val="32"/>
          <w:lang w:val="zh-CN" w:eastAsia="zh-CN"/>
        </w:rPr>
        <w:t>，申报</w:t>
      </w:r>
      <w:r>
        <w:rPr>
          <w:rFonts w:hint="eastAsia" w:ascii="仿宋_GB2312" w:hAnsi="宋体"/>
          <w:sz w:val="32"/>
          <w:szCs w:val="32"/>
          <w:lang w:val="zh-CN"/>
        </w:rPr>
        <w:t>信息员</w:t>
      </w:r>
      <w:r>
        <w:rPr>
          <w:rFonts w:hint="eastAsia" w:ascii="仿宋_GB2312" w:hAnsi="宋体"/>
          <w:sz w:val="32"/>
          <w:szCs w:val="32"/>
          <w:lang w:val="zh-CN" w:eastAsia="zh-CN"/>
        </w:rPr>
        <w:t>补助</w:t>
      </w:r>
      <w:r>
        <w:rPr>
          <w:rFonts w:hint="eastAsia" w:ascii="仿宋_GB2312" w:hAnsi="宋体"/>
          <w:sz w:val="32"/>
          <w:szCs w:val="32"/>
          <w:lang w:val="zh-CN"/>
        </w:rPr>
        <w:t>217人</w:t>
      </w:r>
      <w:r>
        <w:rPr>
          <w:rFonts w:hint="eastAsia" w:ascii="仿宋_GB2312" w:hAnsi="宋体"/>
          <w:sz w:val="32"/>
          <w:szCs w:val="32"/>
          <w:lang w:val="zh-CN" w:eastAsia="zh-CN"/>
        </w:rPr>
        <w:t>、</w:t>
      </w:r>
      <w:r>
        <w:rPr>
          <w:rFonts w:hint="eastAsia" w:ascii="仿宋_GB2312" w:hAnsi="宋体"/>
          <w:sz w:val="32"/>
          <w:szCs w:val="32"/>
          <w:lang w:val="en"/>
        </w:rPr>
        <w:t>137210</w:t>
      </w:r>
      <w:r>
        <w:rPr>
          <w:rFonts w:hint="eastAsia" w:ascii="仿宋_GB2312" w:hAnsi="宋体"/>
          <w:sz w:val="32"/>
          <w:szCs w:val="32"/>
          <w:lang w:val="zh-CN"/>
        </w:rPr>
        <w:t>元，</w:t>
      </w:r>
      <w:r>
        <w:rPr>
          <w:rFonts w:hint="eastAsia" w:ascii="仿宋_GB2312" w:hAnsi="宋体"/>
          <w:sz w:val="32"/>
          <w:szCs w:val="32"/>
          <w:lang w:val="zh-CN" w:eastAsia="zh-CN"/>
        </w:rPr>
        <w:t>申报</w:t>
      </w:r>
      <w:r>
        <w:rPr>
          <w:rFonts w:hint="eastAsia" w:ascii="仿宋_GB2312" w:hAnsi="宋体"/>
          <w:sz w:val="32"/>
          <w:szCs w:val="32"/>
          <w:lang w:val="zh-CN"/>
        </w:rPr>
        <w:t>专家补助271人</w:t>
      </w:r>
      <w:r>
        <w:rPr>
          <w:rFonts w:hint="eastAsia" w:ascii="仿宋_GB2312" w:hAnsi="宋体"/>
          <w:sz w:val="32"/>
          <w:szCs w:val="32"/>
          <w:lang w:val="en"/>
        </w:rPr>
        <w:t>/次</w:t>
      </w:r>
      <w:r>
        <w:rPr>
          <w:rFonts w:hint="eastAsia" w:ascii="仿宋_GB2312" w:hAnsi="宋体"/>
          <w:sz w:val="32"/>
          <w:szCs w:val="32"/>
          <w:lang w:val="zh-CN" w:eastAsia="zh-CN"/>
        </w:rPr>
        <w:t>、</w:t>
      </w:r>
      <w:r>
        <w:rPr>
          <w:rFonts w:hint="eastAsia" w:ascii="仿宋_GB2312" w:hAnsi="宋体"/>
          <w:sz w:val="32"/>
          <w:szCs w:val="32"/>
          <w:lang w:val="zh-CN"/>
        </w:rPr>
        <w:t>费用为</w:t>
      </w:r>
      <w:r>
        <w:rPr>
          <w:rFonts w:hint="eastAsia" w:ascii="仿宋_GB2312" w:hAnsi="宋体"/>
          <w:sz w:val="32"/>
          <w:szCs w:val="32"/>
          <w:lang w:val="en"/>
        </w:rPr>
        <w:t>317664</w:t>
      </w:r>
      <w:r>
        <w:rPr>
          <w:rFonts w:hint="eastAsia" w:ascii="仿宋_GB2312" w:hAnsi="宋体"/>
          <w:sz w:val="32"/>
          <w:szCs w:val="32"/>
          <w:lang w:val="zh-CN"/>
        </w:rPr>
        <w:t>元，其中省平台分摊</w:t>
      </w:r>
      <w:r>
        <w:rPr>
          <w:rFonts w:hint="eastAsia" w:ascii="仿宋_GB2312" w:hAnsi="宋体"/>
          <w:sz w:val="32"/>
          <w:szCs w:val="32"/>
          <w:lang w:val="en"/>
        </w:rPr>
        <w:t>267412</w:t>
      </w:r>
      <w:r>
        <w:rPr>
          <w:rFonts w:hint="eastAsia" w:ascii="仿宋_GB2312" w:hAnsi="宋体"/>
          <w:sz w:val="32"/>
          <w:szCs w:val="32"/>
          <w:lang w:val="zh-CN"/>
        </w:rPr>
        <w:t>元，市平台分摊</w:t>
      </w:r>
      <w:r>
        <w:rPr>
          <w:rFonts w:hint="eastAsia" w:ascii="仿宋_GB2312" w:hAnsi="宋体"/>
          <w:sz w:val="32"/>
          <w:szCs w:val="32"/>
          <w:lang w:val="en"/>
        </w:rPr>
        <w:t>136463</w:t>
      </w:r>
      <w:r>
        <w:rPr>
          <w:rFonts w:hint="eastAsia" w:ascii="仿宋_GB2312" w:hAnsi="宋体"/>
          <w:sz w:val="32"/>
          <w:szCs w:val="32"/>
          <w:lang w:val="zh-CN"/>
        </w:rPr>
        <w:t>元，</w:t>
      </w:r>
      <w:r>
        <w:rPr>
          <w:rFonts w:hint="eastAsia" w:ascii="仿宋_GB2312" w:hAnsi="宋体"/>
          <w:sz w:val="32"/>
          <w:szCs w:val="32"/>
          <w:lang w:val="en"/>
        </w:rPr>
        <w:t>县级</w:t>
      </w:r>
      <w:r>
        <w:rPr>
          <w:rFonts w:hint="eastAsia" w:ascii="仿宋_GB2312" w:hAnsi="宋体"/>
          <w:sz w:val="32"/>
          <w:szCs w:val="32"/>
          <w:lang w:val="zh-CN"/>
        </w:rPr>
        <w:t>分摊50999元。市平台先后在盐边县、东区、西区运管中心开展培训5次，召开“四川科技兴村在线”攀枝花平台工作会1次，培训信息员、专家和分诊员140余人。</w:t>
      </w:r>
    </w:p>
    <w:p w14:paraId="5B47E1BD">
      <w:pPr>
        <w:adjustRightInd w:val="0"/>
        <w:snapToGrid w:val="0"/>
        <w:spacing w:line="560" w:lineRule="exact"/>
        <w:ind w:firstLine="720"/>
        <w:rPr>
          <w:rFonts w:hint="eastAsia" w:ascii="仿宋_GB2312" w:hAnsi="宋体"/>
          <w:sz w:val="32"/>
          <w:szCs w:val="32"/>
          <w:lang w:val="zh-CN"/>
        </w:rPr>
      </w:pPr>
      <w:r>
        <w:rPr>
          <w:rFonts w:hint="eastAsia" w:ascii="仿宋_GB2312" w:hAnsi="宋体"/>
          <w:sz w:val="32"/>
          <w:szCs w:val="32"/>
          <w:lang w:val="zh-CN"/>
        </w:rPr>
        <w:t>截止目前，全市平台运管中心入库专家503人，入库信息员812人，分诊员29人。2022年专家在线咨询服务4231条，录入成果转化、产业支撑、供销对接20项；服务农户1664户，种植规模23811亩，养殖规模17405头/只；服务新型农业经营主体70个，种植规模共3785亩，养殖规模3150头/只；产生经济效益8408万元，挽回经济损失836万元，为科技助力乡村振兴提供了抓手，为农村产业发展、农民增收做出了贡献。</w:t>
      </w:r>
    </w:p>
    <w:p w14:paraId="68D3B182">
      <w:pPr>
        <w:spacing w:line="560"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44B2826D">
      <w:pPr>
        <w:spacing w:line="560" w:lineRule="exact"/>
        <w:ind w:firstLine="640" w:firstLineChars="200"/>
        <w:rPr>
          <w:rFonts w:hint="eastAsia" w:ascii="楷体_GB2312" w:hAnsi="宋体" w:eastAsia="楷体_GB2312"/>
          <w:b/>
          <w:sz w:val="32"/>
          <w:szCs w:val="32"/>
          <w:lang w:val="zh-CN"/>
        </w:rPr>
      </w:pPr>
      <w:r>
        <w:rPr>
          <w:rFonts w:hint="eastAsia" w:ascii="仿宋_GB2312" w:hAnsi="仿宋_GB2312" w:eastAsia="仿宋_GB2312" w:cs="仿宋_GB2312"/>
          <w:sz w:val="32"/>
          <w:szCs w:val="32"/>
        </w:rPr>
        <w:t>2022年按照“六有”（有机构、有职能、有人员、有场地、有条件、有经费）标准建成了盐边县、西区平台运管中心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实现了“四川科技兴村在线”</w:t>
      </w:r>
      <w:r>
        <w:rPr>
          <w:rFonts w:hint="eastAsia" w:ascii="仿宋_GB2312" w:hAnsi="仿宋_GB2312" w:cs="仿宋_GB2312"/>
          <w:sz w:val="32"/>
          <w:szCs w:val="32"/>
          <w:lang w:eastAsia="zh-CN"/>
        </w:rPr>
        <w:t>全市</w:t>
      </w:r>
      <w:r>
        <w:rPr>
          <w:rFonts w:hint="eastAsia" w:ascii="仿宋_GB2312" w:hAnsi="仿宋_GB2312" w:eastAsia="仿宋_GB2312" w:cs="仿宋_GB2312"/>
          <w:sz w:val="32"/>
          <w:szCs w:val="32"/>
        </w:rPr>
        <w:t>覆盖</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县两级平台</w:t>
      </w:r>
      <w:r>
        <w:rPr>
          <w:rFonts w:hint="eastAsia" w:ascii="Times New Roman" w:hAnsi="Times New Roman" w:eastAsia="仿宋_GB2312"/>
          <w:sz w:val="32"/>
          <w:szCs w:val="32"/>
        </w:rPr>
        <w:t>工作按照专人报送、专业分诊、专家解答、专家答复有序推进“线上线下”咨询服务，根据“一具体”“两性”“三精准”原则判定信息有效性，确保了平台高质高效运行。</w:t>
      </w:r>
    </w:p>
    <w:p w14:paraId="623E5800">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四、问题及建议</w:t>
      </w:r>
    </w:p>
    <w:p w14:paraId="1D5CEAC1">
      <w:pPr>
        <w:adjustRightInd w:val="0"/>
        <w:snapToGrid w:val="0"/>
        <w:spacing w:line="56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（一）存在的问题。</w:t>
      </w:r>
    </w:p>
    <w:p w14:paraId="2ED38AC0">
      <w:pPr>
        <w:adjustRightInd w:val="0"/>
        <w:snapToGrid w:val="0"/>
        <w:spacing w:line="560" w:lineRule="exact"/>
        <w:ind w:firstLine="720"/>
        <w:rPr>
          <w:rFonts w:hint="eastAsia" w:ascii="仿宋_GB2312" w:hAnsi="宋体"/>
          <w:sz w:val="32"/>
          <w:szCs w:val="32"/>
          <w:lang w:val="zh-CN"/>
        </w:rPr>
      </w:pPr>
      <w:r>
        <w:rPr>
          <w:rFonts w:hint="eastAsia" w:ascii="仿宋_GB2312" w:hAnsi="宋体"/>
          <w:sz w:val="32"/>
          <w:szCs w:val="32"/>
          <w:lang w:val="zh-CN"/>
        </w:rPr>
        <w:t>无。</w:t>
      </w:r>
    </w:p>
    <w:p w14:paraId="52BD0EAC">
      <w:pPr>
        <w:adjustRightInd w:val="0"/>
        <w:snapToGrid w:val="0"/>
        <w:spacing w:line="56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（二）相关建议。</w:t>
      </w:r>
    </w:p>
    <w:p w14:paraId="34E2E045">
      <w:pPr>
        <w:adjustRightInd w:val="0"/>
        <w:snapToGrid w:val="0"/>
        <w:spacing w:line="560" w:lineRule="exact"/>
        <w:ind w:firstLine="720"/>
        <w:rPr>
          <w:rFonts w:hint="eastAsia" w:ascii="仿宋_GB2312" w:hAnsi="宋体"/>
          <w:sz w:val="32"/>
          <w:szCs w:val="32"/>
          <w:lang w:val="zh-CN"/>
        </w:rPr>
      </w:pPr>
      <w:r>
        <w:rPr>
          <w:rFonts w:hint="eastAsia" w:ascii="仿宋_GB2312" w:hAnsi="宋体"/>
          <w:sz w:val="32"/>
          <w:szCs w:val="32"/>
          <w:lang w:val="zh-CN"/>
        </w:rPr>
        <w:t>无。</w:t>
      </w:r>
      <w:bookmarkStart w:id="62" w:name="_Toc15396618"/>
    </w:p>
    <w:p w14:paraId="4AC20138">
      <w:pPr>
        <w:rPr>
          <w:rFonts w:hint="eastAsia" w:ascii="仿宋_GB2312" w:hAnsi="宋体"/>
          <w:sz w:val="32"/>
          <w:szCs w:val="32"/>
          <w:lang w:val="zh-CN"/>
        </w:rPr>
      </w:pPr>
      <w:r>
        <w:rPr>
          <w:rFonts w:hint="eastAsia" w:ascii="仿宋_GB2312" w:hAnsi="宋体"/>
          <w:sz w:val="32"/>
          <w:szCs w:val="32"/>
          <w:lang w:val="zh-CN"/>
        </w:rPr>
        <w:br w:type="page"/>
      </w:r>
    </w:p>
    <w:p w14:paraId="38970A6B">
      <w:pPr>
        <w:jc w:val="center"/>
        <w:rPr>
          <w:rFonts w:hint="eastAsia"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2023年市级专项资金预算项目绩效自评报告</w:t>
      </w:r>
    </w:p>
    <w:p w14:paraId="49C64707">
      <w:pPr>
        <w:jc w:val="center"/>
        <w:rPr>
          <w:rFonts w:hint="eastAsia" w:ascii="方正仿宋_GBK" w:hAnsi="方正仿宋_GBK" w:eastAsia="方正仿宋_GBK" w:cs="方正仿宋_GBK"/>
          <w:b/>
          <w:bCs/>
          <w:color w:val="auto"/>
          <w:kern w:val="2"/>
          <w:sz w:val="32"/>
          <w:szCs w:val="32"/>
          <w:lang w:val="en-US" w:eastAsia="zh-CN"/>
        </w:rPr>
      </w:pPr>
      <w:r>
        <w:rPr>
          <w:rFonts w:hint="eastAsia" w:ascii="方正仿宋_GBK" w:hAnsi="方正仿宋_GBK" w:eastAsia="方正仿宋_GBK" w:cs="方正仿宋_GBK"/>
          <w:b/>
          <w:bCs/>
          <w:color w:val="auto"/>
          <w:kern w:val="2"/>
          <w:sz w:val="32"/>
          <w:szCs w:val="32"/>
          <w:lang w:val="en-US" w:eastAsia="zh-CN"/>
        </w:rPr>
        <w:t>（</w:t>
      </w:r>
      <w:r>
        <w:rPr>
          <w:rFonts w:hint="eastAsia" w:ascii="方正仿宋_GBK" w:hAnsi="方正仿宋_GBK" w:eastAsia="方正仿宋_GBK" w:cs="方正仿宋_GBK"/>
          <w:b/>
          <w:bCs/>
          <w:color w:val="auto"/>
          <w:kern w:val="2"/>
          <w:sz w:val="32"/>
          <w:szCs w:val="32"/>
          <w:lang w:val="en-US"/>
        </w:rPr>
        <w:t>市级科技创新劵</w:t>
      </w:r>
      <w:r>
        <w:rPr>
          <w:rFonts w:hint="eastAsia" w:ascii="方正仿宋_GBK" w:hAnsi="方正仿宋_GBK" w:eastAsia="方正仿宋_GBK" w:cs="方正仿宋_GBK"/>
          <w:b/>
          <w:bCs/>
          <w:color w:val="auto"/>
          <w:kern w:val="2"/>
          <w:sz w:val="32"/>
          <w:szCs w:val="32"/>
          <w:lang w:val="en-US" w:eastAsia="zh-CN"/>
        </w:rPr>
        <w:t>）</w:t>
      </w:r>
    </w:p>
    <w:p w14:paraId="7C4AC4A3">
      <w:pPr>
        <w:adjustRightInd w:val="0"/>
        <w:snapToGrid w:val="0"/>
        <w:spacing w:line="560" w:lineRule="exact"/>
        <w:ind w:firstLine="720"/>
        <w:rPr>
          <w:rFonts w:hint="eastAsia" w:ascii="黑体" w:hAnsi="宋体" w:eastAsia="黑体"/>
          <w:sz w:val="32"/>
          <w:szCs w:val="32"/>
        </w:rPr>
      </w:pPr>
    </w:p>
    <w:p w14:paraId="65912DE0">
      <w:pPr>
        <w:adjustRightInd w:val="0"/>
        <w:snapToGrid w:val="0"/>
        <w:spacing w:line="56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70930033">
      <w:pPr>
        <w:adjustRightInd w:val="0"/>
        <w:snapToGrid w:val="0"/>
        <w:spacing w:line="560" w:lineRule="exact"/>
        <w:ind w:firstLine="720"/>
        <w:rPr>
          <w:rFonts w:ascii="仿宋_GB2312" w:hAnsi="宋体"/>
          <w:sz w:val="32"/>
          <w:szCs w:val="32"/>
          <w:lang w:val="zh-CN"/>
        </w:rPr>
      </w:pPr>
      <w:r>
        <w:rPr>
          <w:rFonts w:hint="eastAsia" w:ascii="仿宋_GB2312" w:hAnsi="宋体"/>
          <w:sz w:val="32"/>
          <w:szCs w:val="32"/>
          <w:lang w:val="zh-CN"/>
        </w:rPr>
        <w:t>介绍项目基本情况，重点说明以下内容：</w:t>
      </w:r>
    </w:p>
    <w:p w14:paraId="22866BC1">
      <w:pPr>
        <w:pStyle w:val="31"/>
        <w:numPr>
          <w:ilvl w:val="0"/>
          <w:numId w:val="12"/>
        </w:numPr>
        <w:adjustRightInd w:val="0"/>
        <w:snapToGrid w:val="0"/>
        <w:spacing w:line="560" w:lineRule="exact"/>
        <w:ind w:firstLineChars="0"/>
        <w:rPr>
          <w:rFonts w:ascii="仿宋_GB2312" w:hAnsi="宋体"/>
          <w:sz w:val="32"/>
          <w:szCs w:val="32"/>
          <w:lang w:val="zh-CN"/>
        </w:rPr>
      </w:pPr>
      <w:r>
        <w:rPr>
          <w:rFonts w:hint="eastAsia" w:ascii="楷体_GB2312" w:hAnsi="宋体" w:eastAsia="楷体_GB2312"/>
          <w:b/>
          <w:sz w:val="32"/>
          <w:szCs w:val="32"/>
          <w:lang w:val="zh-CN"/>
        </w:rPr>
        <w:t>项目资金申报及批复情况</w:t>
      </w:r>
    </w:p>
    <w:tbl>
      <w:tblPr>
        <w:tblStyle w:val="18"/>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1783"/>
        <w:gridCol w:w="5426"/>
      </w:tblGrid>
      <w:tr w14:paraId="05A5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91" w:type="dxa"/>
            <w:vAlign w:val="center"/>
          </w:tcPr>
          <w:p w14:paraId="362F2A1C">
            <w:pPr>
              <w:jc w:val="center"/>
              <w:rPr>
                <w:rFonts w:ascii="仿宋_GB2312"/>
                <w:b/>
                <w:sz w:val="32"/>
                <w:szCs w:val="32"/>
              </w:rPr>
            </w:pPr>
            <w:r>
              <w:rPr>
                <w:rFonts w:hint="eastAsia" w:ascii="仿宋_GB2312"/>
                <w:b/>
                <w:sz w:val="32"/>
                <w:szCs w:val="32"/>
              </w:rPr>
              <w:t>资金计划</w:t>
            </w:r>
          </w:p>
        </w:tc>
        <w:tc>
          <w:tcPr>
            <w:tcW w:w="1783" w:type="dxa"/>
            <w:vAlign w:val="center"/>
          </w:tcPr>
          <w:p w14:paraId="76F55482">
            <w:pPr>
              <w:jc w:val="center"/>
              <w:rPr>
                <w:rFonts w:ascii="仿宋_GB2312"/>
                <w:b/>
                <w:sz w:val="32"/>
                <w:szCs w:val="32"/>
              </w:rPr>
            </w:pPr>
            <w:r>
              <w:rPr>
                <w:rFonts w:hint="eastAsia" w:ascii="仿宋_GB2312"/>
                <w:b/>
                <w:sz w:val="32"/>
                <w:szCs w:val="32"/>
              </w:rPr>
              <w:t>资金到位情况</w:t>
            </w:r>
          </w:p>
        </w:tc>
        <w:tc>
          <w:tcPr>
            <w:tcW w:w="5426" w:type="dxa"/>
            <w:vAlign w:val="center"/>
          </w:tcPr>
          <w:p w14:paraId="0A739D7D">
            <w:pPr>
              <w:jc w:val="center"/>
              <w:rPr>
                <w:rFonts w:ascii="仿宋_GB2312"/>
                <w:b/>
                <w:sz w:val="32"/>
                <w:szCs w:val="32"/>
              </w:rPr>
            </w:pPr>
            <w:r>
              <w:rPr>
                <w:rFonts w:hint="eastAsia" w:ascii="仿宋_GB2312"/>
                <w:b/>
                <w:sz w:val="32"/>
                <w:szCs w:val="32"/>
              </w:rPr>
              <w:t>资金使用情况</w:t>
            </w:r>
          </w:p>
        </w:tc>
      </w:tr>
      <w:tr w14:paraId="42FB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8" w:hRule="atLeast"/>
          <w:jc w:val="center"/>
        </w:trPr>
        <w:tc>
          <w:tcPr>
            <w:tcW w:w="1291" w:type="dxa"/>
            <w:vAlign w:val="center"/>
          </w:tcPr>
          <w:p w14:paraId="77FBBCB9">
            <w:pPr>
              <w:jc w:val="center"/>
              <w:rPr>
                <w:rFonts w:ascii="仿宋_GB2312"/>
                <w:sz w:val="32"/>
                <w:szCs w:val="32"/>
              </w:rPr>
            </w:pPr>
            <w:r>
              <w:rPr>
                <w:rFonts w:hint="eastAsia" w:ascii="仿宋_GB2312"/>
                <w:sz w:val="32"/>
                <w:szCs w:val="32"/>
              </w:rPr>
              <w:t>25万元</w:t>
            </w:r>
          </w:p>
        </w:tc>
        <w:tc>
          <w:tcPr>
            <w:tcW w:w="1783" w:type="dxa"/>
            <w:vAlign w:val="center"/>
          </w:tcPr>
          <w:p w14:paraId="34B3A011">
            <w:pPr>
              <w:jc w:val="center"/>
              <w:rPr>
                <w:rFonts w:ascii="仿宋_GB2312"/>
                <w:sz w:val="32"/>
                <w:szCs w:val="32"/>
              </w:rPr>
            </w:pPr>
            <w:r>
              <w:rPr>
                <w:rFonts w:hint="eastAsia" w:ascii="仿宋_GB2312"/>
                <w:sz w:val="32"/>
                <w:szCs w:val="32"/>
              </w:rPr>
              <w:t>市级</w:t>
            </w:r>
            <w:r>
              <w:rPr>
                <w:rFonts w:hint="eastAsia" w:ascii="仿宋_GB2312"/>
                <w:sz w:val="32"/>
                <w:szCs w:val="32"/>
                <w:lang w:eastAsia="zh-CN"/>
              </w:rPr>
              <w:t>科技创新劵</w:t>
            </w:r>
            <w:r>
              <w:rPr>
                <w:rFonts w:hint="eastAsia" w:ascii="仿宋_GB2312"/>
                <w:sz w:val="32"/>
                <w:szCs w:val="32"/>
              </w:rPr>
              <w:t>25万元</w:t>
            </w:r>
          </w:p>
        </w:tc>
        <w:tc>
          <w:tcPr>
            <w:tcW w:w="5426" w:type="dxa"/>
            <w:vAlign w:val="center"/>
          </w:tcPr>
          <w:p w14:paraId="26F1EC7E">
            <w:pPr>
              <w:adjustRightInd w:val="0"/>
              <w:snapToGrid w:val="0"/>
              <w:spacing w:line="360" w:lineRule="auto"/>
              <w:ind w:left="315" w:leftChars="150" w:firstLine="480" w:firstLineChars="150"/>
              <w:rPr>
                <w:rFonts w:ascii="仿宋_GB2312" w:cs="仿宋"/>
                <w:color w:val="000000"/>
                <w:kern w:val="0"/>
                <w:sz w:val="32"/>
                <w:szCs w:val="32"/>
              </w:rPr>
            </w:pPr>
            <w:r>
              <w:rPr>
                <w:rFonts w:hint="eastAsia" w:ascii="仿宋_GB2312" w:cs="仿宋"/>
                <w:color w:val="000000"/>
                <w:kern w:val="0"/>
                <w:sz w:val="32"/>
                <w:szCs w:val="32"/>
              </w:rPr>
              <w:t>1、共应兑付科技创新券补贴24.14万元，其中补贴企业14家共16.14万元，补贴机构5家、7.31万元。</w:t>
            </w:r>
          </w:p>
          <w:p w14:paraId="160F41B5">
            <w:pPr>
              <w:adjustRightInd w:val="0"/>
              <w:snapToGrid w:val="0"/>
              <w:spacing w:line="360" w:lineRule="auto"/>
              <w:ind w:left="315" w:leftChars="150" w:firstLine="480" w:firstLineChars="150"/>
              <w:rPr>
                <w:rFonts w:ascii="仿宋_GB2312" w:cs="仿宋"/>
                <w:color w:val="000000"/>
                <w:kern w:val="0"/>
                <w:sz w:val="32"/>
                <w:szCs w:val="32"/>
              </w:rPr>
            </w:pPr>
            <w:r>
              <w:rPr>
                <w:rFonts w:hint="eastAsia" w:ascii="仿宋_GB2312" w:cs="仿宋"/>
                <w:color w:val="000000"/>
                <w:kern w:val="0"/>
                <w:sz w:val="32"/>
                <w:szCs w:val="32"/>
              </w:rPr>
              <w:t>实际兑付23.45万元。其中补贴企业13家共15.44万元，补贴机构5家、7.31万元。</w:t>
            </w:r>
          </w:p>
          <w:p w14:paraId="61B9E9AE">
            <w:pPr>
              <w:adjustRightInd w:val="0"/>
              <w:snapToGrid w:val="0"/>
              <w:spacing w:line="360" w:lineRule="auto"/>
              <w:ind w:firstLine="1120" w:firstLineChars="350"/>
              <w:rPr>
                <w:rFonts w:ascii="仿宋_GB2312" w:cs="仿宋"/>
                <w:color w:val="000000"/>
                <w:kern w:val="0"/>
                <w:sz w:val="32"/>
                <w:szCs w:val="32"/>
              </w:rPr>
            </w:pPr>
            <w:r>
              <w:rPr>
                <w:rFonts w:hint="eastAsia" w:ascii="仿宋_GB2312" w:cs="仿宋"/>
                <w:color w:val="000000"/>
                <w:kern w:val="0"/>
                <w:sz w:val="32"/>
                <w:szCs w:val="32"/>
              </w:rPr>
              <w:t>2、创新券申兑系统维护费0.85万元。</w:t>
            </w:r>
          </w:p>
          <w:p w14:paraId="086DAF75">
            <w:pPr>
              <w:adjustRightInd w:val="0"/>
              <w:snapToGrid w:val="0"/>
              <w:spacing w:line="360" w:lineRule="auto"/>
              <w:ind w:firstLine="988" w:firstLineChars="309"/>
              <w:rPr>
                <w:rFonts w:ascii="仿宋_GB2312" w:cs="仿宋"/>
                <w:color w:val="000000"/>
                <w:kern w:val="0"/>
                <w:sz w:val="32"/>
                <w:szCs w:val="32"/>
              </w:rPr>
            </w:pPr>
            <w:r>
              <w:rPr>
                <w:rFonts w:hint="eastAsia" w:ascii="仿宋_GB2312" w:cs="仿宋"/>
                <w:color w:val="000000"/>
                <w:kern w:val="0"/>
                <w:sz w:val="32"/>
                <w:szCs w:val="32"/>
              </w:rPr>
              <w:t>两项合计使用资金24.30万元</w:t>
            </w:r>
          </w:p>
        </w:tc>
      </w:tr>
    </w:tbl>
    <w:p w14:paraId="04C2ABC8">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3736AE95">
      <w:pPr>
        <w:adjustRightInd w:val="0"/>
        <w:snapToGrid w:val="0"/>
        <w:spacing w:line="560" w:lineRule="exact"/>
        <w:ind w:firstLine="720"/>
        <w:rPr>
          <w:rFonts w:ascii="仿宋_GB2312"/>
          <w:sz w:val="32"/>
          <w:szCs w:val="32"/>
        </w:rPr>
      </w:pPr>
      <w:r>
        <w:rPr>
          <w:rFonts w:hint="eastAsia" w:ascii="仿宋_GB2312"/>
          <w:sz w:val="32"/>
          <w:szCs w:val="32"/>
        </w:rPr>
        <w:t>攀枝花市科技</w:t>
      </w:r>
      <w:r>
        <w:rPr>
          <w:rFonts w:ascii="仿宋_GB2312"/>
          <w:sz w:val="32"/>
          <w:szCs w:val="32"/>
        </w:rPr>
        <w:t>创新券是</w:t>
      </w:r>
      <w:r>
        <w:rPr>
          <w:rFonts w:hint="eastAsia" w:ascii="仿宋_GB2312"/>
          <w:sz w:val="32"/>
          <w:szCs w:val="32"/>
        </w:rPr>
        <w:t>攀枝花市</w:t>
      </w:r>
      <w:r>
        <w:rPr>
          <w:rFonts w:ascii="仿宋_GB2312"/>
          <w:sz w:val="32"/>
          <w:szCs w:val="32"/>
        </w:rPr>
        <w:t>政府向企业免费发放的权益凭证，主要用于本市企业向科技服务机构购买检验检测、专利申报及评估、高企申报和科技成果评价等科技创新服务以及市内科技服务机构开展以上科技创新服务的补贴。</w:t>
      </w:r>
      <w:r>
        <w:rPr>
          <w:rFonts w:hint="eastAsia" w:ascii="仿宋_GB2312"/>
          <w:sz w:val="32"/>
          <w:szCs w:val="32"/>
        </w:rPr>
        <w:t>2022年度计划补贴企业12家，服务机构4家，补贴总额15万元。创新券申领工作每年度年初开始，11月上旬结束；创新券补贴审核兑现工作每年度9月份开始，11月上旬结束。</w:t>
      </w:r>
    </w:p>
    <w:p w14:paraId="5B9CA69C">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（三）项目资金申报相符性。</w:t>
      </w:r>
    </w:p>
    <w:p w14:paraId="446EE0A5">
      <w:pPr>
        <w:adjustRightInd w:val="0"/>
        <w:snapToGrid w:val="0"/>
        <w:spacing w:line="560" w:lineRule="exact"/>
        <w:ind w:firstLine="720"/>
        <w:rPr>
          <w:rFonts w:ascii="仿宋_GB2312"/>
          <w:sz w:val="32"/>
          <w:szCs w:val="32"/>
        </w:rPr>
      </w:pPr>
      <w:r>
        <w:rPr>
          <w:rFonts w:hint="eastAsia" w:ascii="仿宋_GB2312"/>
          <w:sz w:val="32"/>
          <w:szCs w:val="32"/>
        </w:rPr>
        <w:t>攀枝花市科技</w:t>
      </w:r>
      <w:r>
        <w:rPr>
          <w:rFonts w:ascii="仿宋_GB2312"/>
          <w:sz w:val="32"/>
          <w:szCs w:val="32"/>
        </w:rPr>
        <w:t>创新券用于</w:t>
      </w:r>
      <w:r>
        <w:rPr>
          <w:rFonts w:hint="eastAsia" w:ascii="仿宋_GB2312"/>
          <w:sz w:val="32"/>
          <w:szCs w:val="32"/>
        </w:rPr>
        <w:t>对参与创新活动的本市企业和服务机构进行补贴。</w:t>
      </w:r>
      <w:r>
        <w:rPr>
          <w:rFonts w:hint="eastAsia" w:ascii="仿宋_GB2312" w:hAnsi="宋体"/>
          <w:sz w:val="32"/>
          <w:szCs w:val="32"/>
          <w:lang w:val="zh-CN"/>
        </w:rPr>
        <w:t>项目计划补贴企业和机构数量、计划补贴金额根据上一年度数据测算并适度调整。</w:t>
      </w:r>
      <w:r>
        <w:rPr>
          <w:rFonts w:hint="eastAsia" w:ascii="仿宋_GB2312"/>
          <w:sz w:val="32"/>
          <w:szCs w:val="32"/>
        </w:rPr>
        <w:t>本年度项目资金已全部拨付相关机构和企业。</w:t>
      </w:r>
    </w:p>
    <w:p w14:paraId="16088F86">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二、项目实施及管理情况</w:t>
      </w:r>
    </w:p>
    <w:p w14:paraId="70E6CBAF">
      <w:pPr>
        <w:adjustRightInd w:val="0"/>
        <w:snapToGrid w:val="0"/>
        <w:spacing w:line="560" w:lineRule="exact"/>
        <w:ind w:firstLine="720"/>
        <w:rPr>
          <w:rFonts w:ascii="楷体_GB2312" w:hAnsi="宋体" w:eastAsia="楷体_GB2312"/>
          <w:b/>
          <w:sz w:val="32"/>
          <w:szCs w:val="32"/>
          <w:lang w:val="zh-CN"/>
        </w:rPr>
      </w:pPr>
      <w:r>
        <w:rPr>
          <w:rFonts w:hint="eastAsia" w:ascii="仿宋_GB2312" w:hAnsi="宋体"/>
          <w:sz w:val="32"/>
          <w:szCs w:val="32"/>
          <w:lang w:val="zh-CN"/>
        </w:rPr>
        <w:tab/>
      </w:r>
      <w:r>
        <w:rPr>
          <w:rFonts w:hint="eastAsia" w:ascii="楷体_GB2312" w:hAnsi="宋体" w:eastAsia="楷体_GB2312"/>
          <w:b/>
          <w:sz w:val="32"/>
          <w:szCs w:val="32"/>
          <w:lang w:val="zh-CN"/>
        </w:rPr>
        <w:t>（一）资金计划、到位及使用情况。</w:t>
      </w:r>
    </w:p>
    <w:p w14:paraId="57B9030E">
      <w:pPr>
        <w:adjustRightInd w:val="0"/>
        <w:snapToGrid w:val="0"/>
        <w:spacing w:line="560" w:lineRule="exact"/>
        <w:ind w:firstLine="993"/>
        <w:rPr>
          <w:rFonts w:ascii="仿宋_GB2312"/>
          <w:sz w:val="32"/>
          <w:szCs w:val="32"/>
        </w:rPr>
      </w:pPr>
      <w:r>
        <w:rPr>
          <w:rFonts w:hint="eastAsia" w:ascii="仿宋_GB2312"/>
          <w:sz w:val="32"/>
          <w:szCs w:val="32"/>
        </w:rPr>
        <w:t>1．资金计划及到位</w:t>
      </w:r>
    </w:p>
    <w:p w14:paraId="50DADD6B">
      <w:pPr>
        <w:adjustRightInd w:val="0"/>
        <w:snapToGrid w:val="0"/>
        <w:spacing w:line="560" w:lineRule="exact"/>
        <w:ind w:left="279" w:leftChars="133" w:firstLine="567"/>
        <w:rPr>
          <w:rFonts w:ascii="仿宋_GB2312"/>
          <w:sz w:val="32"/>
          <w:szCs w:val="32"/>
        </w:rPr>
      </w:pPr>
      <w:r>
        <w:rPr>
          <w:rFonts w:hint="eastAsia" w:ascii="仿宋_GB2312"/>
          <w:sz w:val="32"/>
          <w:szCs w:val="32"/>
        </w:rPr>
        <w:t>该项目资金省级后补助资金14.75万元与市级专项资金10.25万元已及时到位。</w:t>
      </w:r>
    </w:p>
    <w:p w14:paraId="0EB9A48C">
      <w:pPr>
        <w:adjustRightInd w:val="0"/>
        <w:snapToGrid w:val="0"/>
        <w:spacing w:line="560" w:lineRule="exact"/>
        <w:ind w:left="279" w:leftChars="133" w:firstLine="567"/>
        <w:rPr>
          <w:rFonts w:ascii="仿宋_GB2312"/>
          <w:sz w:val="32"/>
          <w:szCs w:val="32"/>
        </w:rPr>
      </w:pPr>
      <w:r>
        <w:rPr>
          <w:rFonts w:hint="eastAsia" w:ascii="仿宋_GB2312"/>
          <w:sz w:val="32"/>
          <w:szCs w:val="32"/>
        </w:rPr>
        <w:t>2．资金使用</w:t>
      </w:r>
    </w:p>
    <w:p w14:paraId="7E0E1B2F">
      <w:pPr>
        <w:adjustRightInd w:val="0"/>
        <w:snapToGrid w:val="0"/>
        <w:spacing w:line="560" w:lineRule="exact"/>
        <w:ind w:left="279" w:leftChars="133" w:firstLine="567"/>
        <w:rPr>
          <w:rFonts w:ascii="仿宋_GB2312"/>
          <w:sz w:val="32"/>
          <w:szCs w:val="32"/>
        </w:rPr>
      </w:pPr>
      <w:r>
        <w:rPr>
          <w:rFonts w:ascii="仿宋_GB2312"/>
          <w:sz w:val="32"/>
          <w:szCs w:val="32"/>
        </w:rPr>
        <w:t>根据《管理办法》，我市组织开展了</w:t>
      </w:r>
      <w:r>
        <w:rPr>
          <w:rFonts w:hint="eastAsia" w:ascii="仿宋_GB2312"/>
          <w:sz w:val="32"/>
          <w:szCs w:val="32"/>
        </w:rPr>
        <w:t>2021年度</w:t>
      </w:r>
      <w:r>
        <w:rPr>
          <w:rFonts w:ascii="仿宋_GB2312"/>
          <w:sz w:val="32"/>
          <w:szCs w:val="32"/>
        </w:rPr>
        <w:t>攀枝花市科技创新券</w:t>
      </w:r>
      <w:r>
        <w:rPr>
          <w:rFonts w:hint="eastAsia" w:ascii="仿宋_GB2312"/>
          <w:sz w:val="32"/>
          <w:szCs w:val="32"/>
        </w:rPr>
        <w:t>（第三批）与</w:t>
      </w:r>
      <w:r>
        <w:rPr>
          <w:rFonts w:ascii="仿宋_GB2312"/>
          <w:sz w:val="32"/>
          <w:szCs w:val="32"/>
        </w:rPr>
        <w:t>202</w:t>
      </w:r>
      <w:r>
        <w:rPr>
          <w:rFonts w:hint="eastAsia" w:ascii="仿宋_GB2312"/>
          <w:sz w:val="32"/>
          <w:szCs w:val="32"/>
        </w:rPr>
        <w:t>2</w:t>
      </w:r>
      <w:r>
        <w:rPr>
          <w:rFonts w:ascii="仿宋_GB2312"/>
          <w:sz w:val="32"/>
          <w:szCs w:val="32"/>
        </w:rPr>
        <w:t>年度攀枝花市科技创新券奖补工作，</w:t>
      </w:r>
      <w:r>
        <w:rPr>
          <w:rFonts w:hint="eastAsia" w:ascii="仿宋_GB2312"/>
          <w:sz w:val="32"/>
          <w:szCs w:val="32"/>
        </w:rPr>
        <w:t>共应兑付科技创新券补贴24.14万元，其中补贴企业14家共16.14万元，补贴机构5家共7.31万元。实际兑付23.45万元。其中补贴企业13家共15.44万元，补贴机构5家共7.31万元。</w:t>
      </w:r>
    </w:p>
    <w:p w14:paraId="1C3A94FC">
      <w:pPr>
        <w:adjustRightInd w:val="0"/>
        <w:snapToGrid w:val="0"/>
        <w:spacing w:line="560" w:lineRule="exact"/>
        <w:ind w:left="279" w:leftChars="133" w:firstLine="567"/>
        <w:rPr>
          <w:rFonts w:ascii="仿宋_GB2312"/>
          <w:sz w:val="32"/>
          <w:szCs w:val="32"/>
        </w:rPr>
      </w:pPr>
      <w:r>
        <w:rPr>
          <w:rFonts w:hint="eastAsia" w:ascii="仿宋_GB2312"/>
          <w:sz w:val="32"/>
          <w:szCs w:val="32"/>
        </w:rPr>
        <w:t>支付成都生产力促进中心创新券申兑系统维护费0.85万元。</w:t>
      </w:r>
    </w:p>
    <w:p w14:paraId="42E5E443">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14:paraId="5187BA88">
      <w:pPr>
        <w:adjustRightInd w:val="0"/>
        <w:snapToGrid w:val="0"/>
        <w:spacing w:line="560" w:lineRule="exact"/>
        <w:ind w:firstLine="720"/>
        <w:rPr>
          <w:rFonts w:hint="eastAsia" w:ascii="仿宋_GB2312" w:hAnsi="宋体"/>
          <w:sz w:val="32"/>
          <w:szCs w:val="32"/>
          <w:lang w:val="zh-CN"/>
        </w:rPr>
      </w:pPr>
      <w:r>
        <w:rPr>
          <w:rFonts w:hint="eastAsia" w:ascii="仿宋_GB2312" w:eastAsia="仿宋_GB2312" w:cs="Times New Roman"/>
          <w:kern w:val="2"/>
          <w:sz w:val="32"/>
          <w:szCs w:val="32"/>
          <w:lang w:val="zh-CN"/>
        </w:rPr>
        <w:t>202</w:t>
      </w:r>
      <w:r>
        <w:rPr>
          <w:rFonts w:hint="eastAsia" w:ascii="仿宋_GB2312" w:cs="Times New Roman"/>
          <w:kern w:val="2"/>
          <w:sz w:val="32"/>
          <w:szCs w:val="32"/>
          <w:lang w:val="en-US" w:eastAsia="zh-CN"/>
        </w:rPr>
        <w:t>2</w:t>
      </w:r>
      <w:r>
        <w:rPr>
          <w:rFonts w:hint="eastAsia" w:ascii="仿宋_GB2312" w:eastAsia="仿宋_GB2312" w:cs="Times New Roman"/>
          <w:kern w:val="2"/>
          <w:sz w:val="32"/>
          <w:szCs w:val="32"/>
          <w:lang w:val="zh-CN"/>
        </w:rPr>
        <w:t>年度市</w:t>
      </w:r>
      <w:r>
        <w:rPr>
          <w:rFonts w:hint="eastAsia" w:ascii="仿宋_GB2312" w:cs="Times New Roman"/>
          <w:kern w:val="2"/>
          <w:sz w:val="32"/>
          <w:szCs w:val="32"/>
          <w:lang w:val="zh-CN" w:eastAsia="zh-CN"/>
        </w:rPr>
        <w:t>级</w:t>
      </w:r>
      <w:r>
        <w:rPr>
          <w:rFonts w:hint="eastAsia" w:ascii="仿宋_GB2312" w:eastAsia="仿宋_GB2312" w:cs="Times New Roman"/>
          <w:kern w:val="2"/>
          <w:sz w:val="32"/>
          <w:szCs w:val="32"/>
          <w:lang w:val="zh-CN"/>
        </w:rPr>
        <w:t>科技创新券</w:t>
      </w:r>
      <w:r>
        <w:rPr>
          <w:rFonts w:hint="eastAsia" w:ascii="仿宋_GB2312" w:eastAsia="仿宋_GB2312" w:cs="Times New Roman"/>
          <w:kern w:val="2"/>
          <w:sz w:val="32"/>
          <w:szCs w:val="32"/>
          <w:lang w:val="en-US" w:eastAsia="zh-CN"/>
        </w:rPr>
        <w:t>,</w:t>
      </w:r>
      <w:r>
        <w:rPr>
          <w:rFonts w:hint="eastAsia" w:ascii="仿宋_GB2312" w:cs="Times New Roman"/>
          <w:kern w:val="2"/>
          <w:sz w:val="32"/>
          <w:szCs w:val="32"/>
          <w:lang w:val="en-US" w:eastAsia="zh-CN"/>
        </w:rPr>
        <w:t>严格</w:t>
      </w:r>
      <w:r>
        <w:rPr>
          <w:rFonts w:hint="eastAsia" w:ascii="仿宋_GB2312" w:eastAsia="仿宋_GB2312" w:cs="Times New Roman"/>
          <w:kern w:val="2"/>
          <w:sz w:val="32"/>
          <w:szCs w:val="32"/>
          <w:lang w:val="en-US" w:eastAsia="zh-CN"/>
        </w:rPr>
        <w:t>按照</w:t>
      </w:r>
      <w:r>
        <w:rPr>
          <w:rFonts w:ascii="仿宋_GB2312" w:eastAsia="仿宋_GB2312" w:cs="Times New Roman"/>
          <w:kern w:val="2"/>
          <w:sz w:val="32"/>
          <w:szCs w:val="32"/>
          <w:lang w:val="zh-CN"/>
        </w:rPr>
        <w:t>《</w:t>
      </w:r>
      <w:r>
        <w:rPr>
          <w:rFonts w:hint="eastAsia" w:ascii="仿宋_GB2312" w:eastAsia="仿宋_GB2312" w:cs="Times New Roman"/>
          <w:kern w:val="2"/>
          <w:sz w:val="32"/>
          <w:szCs w:val="32"/>
          <w:lang w:val="zh-CN"/>
        </w:rPr>
        <w:t>攀枝花市科技创新券</w:t>
      </w:r>
      <w:r>
        <w:rPr>
          <w:rFonts w:ascii="仿宋_GB2312" w:eastAsia="仿宋_GB2312" w:cs="Times New Roman"/>
          <w:kern w:val="2"/>
          <w:sz w:val="32"/>
          <w:szCs w:val="32"/>
          <w:lang w:val="zh-CN"/>
        </w:rPr>
        <w:t>管理办法》</w:t>
      </w:r>
      <w:r>
        <w:rPr>
          <w:rFonts w:hint="eastAsia" w:ascii="仿宋_GB2312" w:cs="Times New Roman"/>
          <w:b w:val="0"/>
          <w:bCs w:val="0"/>
          <w:kern w:val="2"/>
          <w:sz w:val="32"/>
          <w:szCs w:val="32"/>
          <w:lang w:val="zh-CN"/>
        </w:rPr>
        <w:t>及相关管理制度</w:t>
      </w:r>
      <w:r>
        <w:rPr>
          <w:rFonts w:hint="eastAsia" w:ascii="仿宋_GB2312" w:cs="Times New Roman"/>
          <w:kern w:val="2"/>
          <w:sz w:val="32"/>
          <w:szCs w:val="32"/>
          <w:lang w:val="zh-CN"/>
        </w:rPr>
        <w:t>，明确了创新劵的支持对象、使用范围和标准、申领流程、兑换审核、以及使用过程中的监督管理等等都进行了规范。</w:t>
      </w:r>
      <w:r>
        <w:rPr>
          <w:rFonts w:hint="eastAsia" w:ascii="仿宋_GB2312" w:cs="Times New Roman"/>
          <w:kern w:val="2"/>
          <w:sz w:val="32"/>
          <w:szCs w:val="32"/>
          <w:lang w:val="en-US" w:eastAsia="zh-CN"/>
        </w:rPr>
        <w:t>2022年12月</w:t>
      </w:r>
      <w:r>
        <w:rPr>
          <w:rFonts w:hint="eastAsia" w:ascii="仿宋_GB2312" w:cs="Times New Roman"/>
          <w:kern w:val="2"/>
          <w:sz w:val="32"/>
          <w:szCs w:val="32"/>
          <w:lang w:val="zh-CN"/>
        </w:rPr>
        <w:t>财政拨付创新劵补贴</w:t>
      </w:r>
      <w:r>
        <w:rPr>
          <w:rFonts w:hint="eastAsia" w:ascii="仿宋_GB2312" w:cs="Times New Roman"/>
          <w:kern w:val="2"/>
          <w:sz w:val="32"/>
          <w:szCs w:val="32"/>
          <w:lang w:val="en-US" w:eastAsia="zh-CN"/>
        </w:rPr>
        <w:t>25万元，实际支付24.3万元，支付失败0.69万元，财政收回0.01万元。当月对该笔收支进行了</w:t>
      </w:r>
      <w:r>
        <w:rPr>
          <w:rFonts w:hint="eastAsia" w:ascii="仿宋_GB2312" w:cs="Times New Roman"/>
          <w:kern w:val="2"/>
          <w:sz w:val="32"/>
          <w:szCs w:val="32"/>
          <w:lang w:val="zh-CN"/>
        </w:rPr>
        <w:t>账务处理，并于</w:t>
      </w:r>
      <w:r>
        <w:rPr>
          <w:rFonts w:hint="eastAsia" w:ascii="仿宋_GB2312" w:cs="Times New Roman"/>
          <w:kern w:val="2"/>
          <w:sz w:val="32"/>
          <w:szCs w:val="32"/>
          <w:lang w:val="en-US" w:eastAsia="zh-CN"/>
        </w:rPr>
        <w:t>2022年末</w:t>
      </w:r>
      <w:r>
        <w:rPr>
          <w:rFonts w:ascii="仿宋_GB2312" w:hAnsi="仿宋" w:eastAsia="仿宋_GB2312"/>
          <w:sz w:val="32"/>
          <w:szCs w:val="32"/>
        </w:rPr>
        <w:t>编</w:t>
      </w:r>
      <w:r>
        <w:rPr>
          <w:rFonts w:hint="eastAsia" w:ascii="仿宋_GB2312" w:hAnsi="仿宋"/>
          <w:sz w:val="32"/>
          <w:szCs w:val="32"/>
          <w:lang w:eastAsia="zh-CN"/>
        </w:rPr>
        <w:t>入</w:t>
      </w:r>
      <w:r>
        <w:rPr>
          <w:rFonts w:ascii="仿宋_GB2312" w:hAnsi="仿宋" w:eastAsia="仿宋_GB2312"/>
          <w:sz w:val="32"/>
          <w:szCs w:val="32"/>
        </w:rPr>
        <w:t>了部门决算</w:t>
      </w:r>
      <w:r>
        <w:rPr>
          <w:rFonts w:hint="eastAsia" w:ascii="仿宋_GB2312" w:hAnsi="仿宋"/>
          <w:sz w:val="32"/>
          <w:szCs w:val="32"/>
          <w:lang w:eastAsia="zh-CN"/>
        </w:rPr>
        <w:t>。该笔创新劵</w:t>
      </w:r>
      <w:r>
        <w:rPr>
          <w:rFonts w:ascii="仿宋_GB2312" w:hAnsi="仿宋" w:eastAsia="仿宋_GB2312"/>
          <w:sz w:val="32"/>
          <w:szCs w:val="32"/>
        </w:rPr>
        <w:t>严格遵守市财政局经费来源和分配、管理、使用原则。一是规范账户管理。二是严格遵守支出审批制度。三是严格遵守财务内审和监督制度</w:t>
      </w:r>
      <w:r>
        <w:rPr>
          <w:rFonts w:hint="eastAsia" w:ascii="仿宋_GB2312" w:cs="Times New Roman"/>
          <w:kern w:val="2"/>
          <w:sz w:val="32"/>
          <w:szCs w:val="32"/>
          <w:lang w:val="zh-CN"/>
        </w:rPr>
        <w:t>，是严格按照审批流程完成支付。在《管理办法》中第十六条也作了相应的规定：创新劵专项资金的使用接受财政、审计、监察等部门的监督检查，同时接受社会监督。</w:t>
      </w:r>
    </w:p>
    <w:p w14:paraId="7ACFE766">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14:paraId="50527C66">
      <w:pPr>
        <w:ind w:firstLine="630"/>
        <w:rPr>
          <w:rFonts w:ascii="仿宋_GB2312"/>
          <w:sz w:val="32"/>
          <w:szCs w:val="32"/>
        </w:rPr>
      </w:pPr>
      <w:r>
        <w:rPr>
          <w:rFonts w:hint="eastAsia" w:ascii="仿宋_GB2312"/>
          <w:sz w:val="32"/>
          <w:szCs w:val="32"/>
          <w:lang w:val="en-US" w:eastAsia="zh-CN"/>
        </w:rPr>
        <w:t>1.</w:t>
      </w:r>
      <w:r>
        <w:rPr>
          <w:rFonts w:hint="eastAsia" w:ascii="仿宋_GB2312"/>
          <w:sz w:val="32"/>
          <w:szCs w:val="32"/>
        </w:rPr>
        <w:t>项目组织架构及实施流程</w:t>
      </w:r>
    </w:p>
    <w:p w14:paraId="634E89EF">
      <w:pPr>
        <w:ind w:firstLine="630"/>
        <w:rPr>
          <w:rFonts w:ascii="仿宋_GB2312"/>
          <w:sz w:val="32"/>
          <w:szCs w:val="32"/>
        </w:rPr>
      </w:pPr>
      <w:r>
        <w:rPr>
          <w:rFonts w:hint="eastAsia" w:ascii="仿宋_GB2312"/>
          <w:sz w:val="32"/>
          <w:szCs w:val="32"/>
        </w:rPr>
        <w:t>企业申请创新券→生产力促进中心审批→企业使用创新券→企业和服务机构申请兑付创新券→生产力促进中心线上和线下审核材料→汇总公示并报市科技局审查→获批后兑现创新券→资金发放→资料汇总存档。</w:t>
      </w:r>
    </w:p>
    <w:p w14:paraId="137C5ECC">
      <w:pPr>
        <w:ind w:firstLine="630"/>
        <w:rPr>
          <w:rFonts w:ascii="仿宋_GB2312"/>
          <w:sz w:val="32"/>
          <w:szCs w:val="32"/>
        </w:rPr>
      </w:pPr>
      <w:r>
        <w:rPr>
          <w:rFonts w:hint="eastAsia" w:ascii="仿宋_GB2312"/>
          <w:sz w:val="32"/>
          <w:szCs w:val="32"/>
          <w:lang w:val="en-US" w:eastAsia="zh-CN"/>
        </w:rPr>
        <w:t>2.</w:t>
      </w:r>
      <w:r>
        <w:rPr>
          <w:rFonts w:hint="eastAsia" w:ascii="仿宋_GB2312"/>
          <w:sz w:val="32"/>
          <w:szCs w:val="32"/>
        </w:rPr>
        <w:t>项目管理情况</w:t>
      </w:r>
    </w:p>
    <w:p w14:paraId="3B5D6A9A">
      <w:pPr>
        <w:adjustRightInd w:val="0"/>
        <w:snapToGrid w:val="0"/>
        <w:spacing w:line="560" w:lineRule="exact"/>
        <w:ind w:firstLine="720"/>
        <w:rPr>
          <w:rFonts w:ascii="仿宋_GB2312"/>
          <w:sz w:val="32"/>
          <w:szCs w:val="32"/>
        </w:rPr>
      </w:pPr>
      <w:r>
        <w:rPr>
          <w:rFonts w:hint="eastAsia" w:ascii="仿宋_GB2312"/>
          <w:sz w:val="32"/>
          <w:szCs w:val="32"/>
        </w:rPr>
        <w:t>本项目严格按照《管理办法》规定，由市科学技术局负责创新券相关政策制定、组织实施和监督管理，由市生产力促进中心负责创新券的申请受理、资格审查、兑现、发放等工作。</w:t>
      </w:r>
    </w:p>
    <w:p w14:paraId="6B2095FD">
      <w:pPr>
        <w:adjustRightInd w:val="0"/>
        <w:snapToGrid w:val="0"/>
        <w:spacing w:line="560" w:lineRule="exact"/>
        <w:ind w:firstLine="720"/>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14:paraId="3799C6B9">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2C95F65F">
      <w:pPr>
        <w:adjustRightInd w:val="0"/>
        <w:snapToGrid w:val="0"/>
        <w:spacing w:line="560" w:lineRule="exact"/>
        <w:ind w:left="279" w:leftChars="133" w:firstLine="567"/>
        <w:rPr>
          <w:rFonts w:ascii="仿宋_GB2312"/>
          <w:sz w:val="32"/>
          <w:szCs w:val="32"/>
          <w:lang w:val="zh-CN"/>
        </w:rPr>
      </w:pPr>
      <w:r>
        <w:rPr>
          <w:rFonts w:ascii="仿宋_GB2312"/>
          <w:sz w:val="32"/>
          <w:szCs w:val="32"/>
          <w:lang w:val="zh-CN"/>
        </w:rPr>
        <w:t>根据《管理办法》，</w:t>
      </w:r>
      <w:r>
        <w:rPr>
          <w:rFonts w:ascii="仿宋_GB2312"/>
          <w:sz w:val="32"/>
          <w:szCs w:val="32"/>
        </w:rPr>
        <w:t>202</w:t>
      </w:r>
      <w:r>
        <w:rPr>
          <w:rFonts w:hint="eastAsia" w:ascii="仿宋_GB2312"/>
          <w:sz w:val="32"/>
          <w:szCs w:val="32"/>
        </w:rPr>
        <w:t>2</w:t>
      </w:r>
      <w:r>
        <w:rPr>
          <w:rFonts w:ascii="仿宋_GB2312"/>
          <w:sz w:val="32"/>
          <w:szCs w:val="32"/>
        </w:rPr>
        <w:t>年我市22家科技型企业成功申领创新券，发放创新券金额264万元（虚拟币）。</w:t>
      </w:r>
      <w:r>
        <w:rPr>
          <w:rFonts w:hint="eastAsia" w:ascii="仿宋_GB2312"/>
          <w:sz w:val="32"/>
          <w:szCs w:val="32"/>
        </w:rPr>
        <w:t>涉及服务22项次、服务合同总金额106.75万元。共兑付奖补资金23.45万元。完成创新券申兑系统全年运行与安全维护，支付成都生产力促进中心系统维护费0.85万元。</w:t>
      </w:r>
    </w:p>
    <w:p w14:paraId="51CB5D33">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512B4973">
      <w:pPr>
        <w:adjustRightInd w:val="0"/>
        <w:snapToGrid w:val="0"/>
        <w:spacing w:line="560" w:lineRule="exact"/>
        <w:ind w:firstLine="720"/>
        <w:rPr>
          <w:rFonts w:ascii="仿宋_GB2312"/>
          <w:sz w:val="32"/>
          <w:szCs w:val="32"/>
        </w:rPr>
      </w:pPr>
      <w:r>
        <w:rPr>
          <w:rFonts w:hint="eastAsia" w:ascii="仿宋_GB2312"/>
          <w:sz w:val="32"/>
          <w:szCs w:val="32"/>
        </w:rPr>
        <w:t>2022年，市科技局进一步优化科创券审核流程，提升审核效率，支持企业创新创业。做到了创新券申领兑现全流程的及时发放、及时审核、及时兑现。服务对象满意度达到了100%。</w:t>
      </w:r>
      <w:r>
        <w:rPr>
          <w:rFonts w:ascii="仿宋_GB2312"/>
          <w:sz w:val="32"/>
          <w:szCs w:val="32"/>
        </w:rPr>
        <w:t>具有良好的社会效益。</w:t>
      </w:r>
    </w:p>
    <w:p w14:paraId="0D29BA47">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四、问题及建议</w:t>
      </w:r>
    </w:p>
    <w:p w14:paraId="4C4E202F">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p>
    <w:p w14:paraId="792D45FA">
      <w:pPr>
        <w:ind w:firstLine="630"/>
        <w:rPr>
          <w:rFonts w:ascii="仿宋_GB2312"/>
          <w:sz w:val="32"/>
          <w:szCs w:val="32"/>
        </w:rPr>
      </w:pPr>
      <w:r>
        <w:rPr>
          <w:rFonts w:hint="eastAsia" w:ascii="仿宋_GB2312"/>
          <w:sz w:val="32"/>
          <w:szCs w:val="32"/>
        </w:rPr>
        <w:t>1.创新券网络平台建设还需继续加强。优化科技服务网的科技创新券运行管理系统，进一步简化科技创新券申请、兑换流程，适当删减原流程中的操作步骤，提高办事效率和服务效率。</w:t>
      </w:r>
    </w:p>
    <w:p w14:paraId="1D634BCB">
      <w:pPr>
        <w:ind w:firstLine="630"/>
        <w:rPr>
          <w:rFonts w:ascii="仿宋_GB2312"/>
          <w:sz w:val="32"/>
          <w:szCs w:val="32"/>
        </w:rPr>
      </w:pPr>
      <w:r>
        <w:rPr>
          <w:rFonts w:hint="eastAsia" w:ascii="仿宋_GB2312"/>
          <w:sz w:val="32"/>
          <w:szCs w:val="32"/>
        </w:rPr>
        <w:t>2.缺少创新券区域合作机制。目前创新券兑换以市内为主，市外机构补贴不多，与成都、绵阳等技术要素丰富地区的创新券互通合作机制尚未建立，对企业在市外寻求技术服务，开展技术交流合作的引导激励作用未完全发挥。</w:t>
      </w:r>
    </w:p>
    <w:p w14:paraId="77AE9F63">
      <w:pPr>
        <w:adjustRightInd w:val="0"/>
        <w:snapToGrid w:val="0"/>
        <w:spacing w:line="560" w:lineRule="exact"/>
        <w:ind w:firstLine="720"/>
        <w:rPr>
          <w:rFonts w:ascii="仿宋_GB2312" w:hAnsi="宋体"/>
          <w:sz w:val="32"/>
          <w:szCs w:val="32"/>
          <w:lang w:val="zh-CN"/>
        </w:rPr>
      </w:pPr>
      <w:r>
        <w:rPr>
          <w:rFonts w:hint="eastAsia" w:ascii="楷体_GB2312" w:hAnsi="宋体" w:eastAsia="楷体_GB2312"/>
          <w:b/>
          <w:sz w:val="32"/>
          <w:szCs w:val="32"/>
          <w:lang w:val="zh-CN"/>
        </w:rPr>
        <w:t>（二）相关建议。</w:t>
      </w:r>
    </w:p>
    <w:p w14:paraId="71C6A12A">
      <w:pPr>
        <w:adjustRightInd w:val="0"/>
        <w:snapToGrid w:val="0"/>
        <w:spacing w:line="360" w:lineRule="auto"/>
        <w:ind w:firstLine="640" w:firstLineChars="200"/>
        <w:rPr>
          <w:rFonts w:ascii="仿宋_GB2312" w:cs="仿宋"/>
          <w:color w:val="000000"/>
          <w:kern w:val="0"/>
          <w:sz w:val="32"/>
          <w:szCs w:val="32"/>
        </w:rPr>
      </w:pPr>
      <w:r>
        <w:rPr>
          <w:rFonts w:hint="eastAsia" w:ascii="仿宋_GB2312" w:cs="仿宋"/>
          <w:color w:val="000000"/>
          <w:kern w:val="0"/>
          <w:sz w:val="32"/>
          <w:szCs w:val="32"/>
        </w:rPr>
        <w:t>1.</w:t>
      </w:r>
      <w:r>
        <w:rPr>
          <w:rFonts w:ascii="仿宋_GB2312" w:cs="仿宋"/>
          <w:color w:val="000000"/>
          <w:kern w:val="0"/>
          <w:sz w:val="32"/>
          <w:szCs w:val="32"/>
        </w:rPr>
        <w:t>加强与</w:t>
      </w:r>
      <w:r>
        <w:rPr>
          <w:rFonts w:hint="eastAsia" w:ascii="仿宋_GB2312" w:cs="仿宋"/>
          <w:color w:val="000000"/>
          <w:kern w:val="0"/>
          <w:sz w:val="32"/>
          <w:szCs w:val="32"/>
        </w:rPr>
        <w:t>省科技创新券管理服务中心的数据对接，不断优化调整分中心申兑系统，为科创券后续申兑工作顺利开展提供保证。</w:t>
      </w:r>
    </w:p>
    <w:p w14:paraId="6178171B">
      <w:pPr>
        <w:adjustRightInd w:val="0"/>
        <w:snapToGrid w:val="0"/>
        <w:spacing w:line="360" w:lineRule="auto"/>
        <w:ind w:firstLine="640" w:firstLineChars="200"/>
        <w:rPr>
          <w:rFonts w:ascii="仿宋_GB2312" w:cs="仿宋"/>
          <w:color w:val="000000"/>
          <w:kern w:val="0"/>
          <w:sz w:val="32"/>
          <w:szCs w:val="32"/>
        </w:rPr>
      </w:pPr>
      <w:r>
        <w:rPr>
          <w:rFonts w:hint="eastAsia" w:ascii="仿宋_GB2312" w:cs="仿宋"/>
          <w:color w:val="000000"/>
          <w:kern w:val="0"/>
          <w:sz w:val="32"/>
          <w:szCs w:val="32"/>
        </w:rPr>
        <w:t>2.</w:t>
      </w:r>
      <w:r>
        <w:rPr>
          <w:rFonts w:ascii="仿宋_GB2312" w:cs="仿宋"/>
          <w:color w:val="000000"/>
          <w:kern w:val="0"/>
          <w:sz w:val="32"/>
          <w:szCs w:val="32"/>
        </w:rPr>
        <w:t>继续落实科技创新券补贴政策，强化政策宣传和补贴工作的组织实施。</w:t>
      </w:r>
    </w:p>
    <w:p w14:paraId="58359668">
      <w:pPr>
        <w:rPr>
          <w:rFonts w:hint="eastAsia" w:ascii="黑体" w:hAnsi="黑体" w:eastAsia="黑体"/>
          <w:sz w:val="44"/>
          <w:szCs w:val="44"/>
        </w:rPr>
      </w:pPr>
      <w:r>
        <w:rPr>
          <w:rFonts w:hint="eastAsia" w:ascii="黑体" w:hAnsi="黑体" w:eastAsia="黑体"/>
          <w:sz w:val="44"/>
          <w:szCs w:val="44"/>
        </w:rPr>
        <w:br w:type="page"/>
      </w:r>
    </w:p>
    <w:p w14:paraId="2054A95F">
      <w:pPr>
        <w:jc w:val="center"/>
        <w:rPr>
          <w:rFonts w:hint="eastAsia"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2023年市级专项资金预算项目绩效自评报告</w:t>
      </w:r>
    </w:p>
    <w:p w14:paraId="3E27F296">
      <w:pPr>
        <w:jc w:val="center"/>
        <w:rPr>
          <w:rFonts w:hint="eastAsia" w:ascii="方正仿宋_GBK" w:hAnsi="方正仿宋_GBK" w:eastAsia="方正仿宋_GBK" w:cs="方正仿宋_GBK"/>
          <w:b/>
          <w:bCs/>
          <w:color w:val="auto"/>
          <w:kern w:val="2"/>
          <w:sz w:val="32"/>
          <w:szCs w:val="32"/>
          <w:lang w:val="en-US" w:eastAsia="zh-CN"/>
        </w:rPr>
      </w:pPr>
      <w:r>
        <w:rPr>
          <w:rFonts w:hint="eastAsia" w:ascii="方正仿宋_GBK" w:hAnsi="方正仿宋_GBK" w:eastAsia="方正仿宋_GBK" w:cs="方正仿宋_GBK"/>
          <w:b/>
          <w:bCs/>
          <w:color w:val="auto"/>
          <w:kern w:val="2"/>
          <w:sz w:val="32"/>
          <w:szCs w:val="32"/>
          <w:lang w:val="en-US" w:eastAsia="zh-CN"/>
        </w:rPr>
        <w:t>（</w:t>
      </w:r>
      <w:r>
        <w:rPr>
          <w:rFonts w:hint="eastAsia" w:ascii="方正小标宋简体" w:hAnsi="宋体" w:eastAsia="方正小标宋简体"/>
          <w:sz w:val="32"/>
          <w:szCs w:val="32"/>
        </w:rPr>
        <w:t>攀西经济区绿色低碳工业体系构建研究</w:t>
      </w:r>
      <w:r>
        <w:rPr>
          <w:rFonts w:hint="eastAsia" w:ascii="方正仿宋_GBK" w:hAnsi="方正仿宋_GBK" w:eastAsia="方正仿宋_GBK" w:cs="方正仿宋_GBK"/>
          <w:b/>
          <w:bCs/>
          <w:color w:val="auto"/>
          <w:kern w:val="2"/>
          <w:sz w:val="32"/>
          <w:szCs w:val="32"/>
          <w:lang w:val="en-US" w:eastAsia="zh-CN"/>
        </w:rPr>
        <w:t>）</w:t>
      </w:r>
    </w:p>
    <w:p w14:paraId="64030228">
      <w:pPr>
        <w:adjustRightInd w:val="0"/>
        <w:snapToGrid w:val="0"/>
        <w:spacing w:line="560" w:lineRule="exact"/>
        <w:ind w:firstLine="720"/>
        <w:rPr>
          <w:rFonts w:hint="eastAsia" w:ascii="黑体" w:hAnsi="宋体" w:eastAsia="黑体"/>
          <w:sz w:val="32"/>
          <w:szCs w:val="32"/>
        </w:rPr>
      </w:pPr>
    </w:p>
    <w:p w14:paraId="4A1C8DAF">
      <w:pPr>
        <w:adjustRightInd w:val="0"/>
        <w:snapToGrid w:val="0"/>
        <w:spacing w:line="56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65A98936">
      <w:pPr>
        <w:widowControl/>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1BBE5EFB">
      <w:pPr>
        <w:widowControl/>
        <w:ind w:firstLine="640" w:firstLineChars="200"/>
        <w:rPr>
          <w:rFonts w:hint="eastAsia" w:ascii="仿宋_GB2312" w:hAnsi="仿宋_GB2312" w:eastAsia="仿宋_GB2312" w:cs="仿宋_GB2312"/>
          <w:kern w:val="0"/>
          <w:sz w:val="32"/>
          <w:szCs w:val="32"/>
          <w:lang w:val="zh-CN" w:bidi="ar"/>
        </w:rPr>
      </w:pPr>
      <w:r>
        <w:rPr>
          <w:rFonts w:hint="eastAsia" w:ascii="仿宋_GB2312" w:hAnsi="仿宋_GB2312" w:eastAsia="仿宋_GB2312" w:cs="仿宋_GB2312"/>
          <w:kern w:val="0"/>
          <w:sz w:val="32"/>
          <w:szCs w:val="32"/>
          <w:lang w:bidi="ar"/>
        </w:rPr>
        <w:t>《攀西经济区绿色低碳工业体系构建研究》</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bidi="ar"/>
        </w:rPr>
        <w:t xml:space="preserve">项目编号：2022JDR0115 </w:t>
      </w:r>
      <w:r>
        <w:rPr>
          <w:rFonts w:hint="eastAsia" w:ascii="仿宋_GB2312" w:hAnsi="仿宋_GB2312" w:eastAsia="仿宋_GB2312" w:cs="仿宋_GB2312"/>
          <w:kern w:val="0"/>
          <w:sz w:val="32"/>
          <w:szCs w:val="32"/>
          <w:lang w:val="en-US" w:eastAsia="zh-CN" w:bidi="ar"/>
        </w:rPr>
        <w:t>)是2022年立项的四川</w:t>
      </w:r>
      <w:r>
        <w:rPr>
          <w:rFonts w:hint="eastAsia" w:ascii="仿宋_GB2312" w:hAnsi="仿宋_GB2312" w:eastAsia="仿宋_GB2312" w:cs="仿宋_GB2312"/>
          <w:kern w:val="0"/>
          <w:sz w:val="32"/>
          <w:szCs w:val="32"/>
          <w:lang w:bidi="ar"/>
        </w:rPr>
        <w:t>省科技计</w:t>
      </w:r>
      <w:r>
        <w:rPr>
          <w:rFonts w:hint="eastAsia" w:ascii="仿宋_GB2312" w:hAnsi="仿宋_GB2312" w:eastAsia="仿宋_GB2312" w:cs="仿宋_GB2312"/>
          <w:kern w:val="0"/>
          <w:sz w:val="32"/>
          <w:szCs w:val="32"/>
          <w:lang w:val="en-US" w:eastAsia="zh-CN" w:bidi="ar"/>
        </w:rPr>
        <w:t>划项目，计划类别：科技创新基地（平台）和人才计划，承担单位：</w:t>
      </w:r>
      <w:r>
        <w:rPr>
          <w:rFonts w:hint="eastAsia" w:ascii="仿宋_GB2312" w:hAnsi="仿宋_GB2312" w:eastAsia="仿宋_GB2312" w:cs="仿宋_GB2312"/>
          <w:kern w:val="0"/>
          <w:sz w:val="32"/>
          <w:szCs w:val="32"/>
          <w:lang w:eastAsia="zh-CN" w:bidi="ar"/>
        </w:rPr>
        <w:t>攀枝花市科技发展战略研究所，</w:t>
      </w:r>
      <w:r>
        <w:rPr>
          <w:rFonts w:hint="eastAsia" w:ascii="仿宋_GB2312" w:hAnsi="仿宋_GB2312" w:eastAsia="仿宋_GB2312" w:cs="仿宋_GB2312"/>
          <w:kern w:val="0"/>
          <w:sz w:val="32"/>
          <w:szCs w:val="32"/>
          <w:lang w:bidi="ar"/>
        </w:rPr>
        <w:t>项目起止年限为2022-01-01至2023-12-31，</w:t>
      </w:r>
      <w:r>
        <w:rPr>
          <w:rFonts w:hint="eastAsia" w:ascii="仿宋_GB2312" w:hAnsi="仿宋_GB2312" w:eastAsia="仿宋_GB2312" w:cs="仿宋_GB2312"/>
          <w:kern w:val="0"/>
          <w:sz w:val="32"/>
          <w:szCs w:val="32"/>
          <w:lang w:val="zh-CN" w:bidi="ar"/>
        </w:rPr>
        <w:t>项目资金申报</w:t>
      </w:r>
      <w:r>
        <w:rPr>
          <w:rFonts w:hint="eastAsia" w:ascii="仿宋_GB2312" w:hAnsi="仿宋_GB2312" w:eastAsia="仿宋_GB2312" w:cs="仿宋_GB2312"/>
          <w:kern w:val="0"/>
          <w:sz w:val="32"/>
          <w:szCs w:val="32"/>
          <w:lang w:val="en-US" w:eastAsia="zh-CN" w:bidi="ar"/>
        </w:rPr>
        <w:t>10万元，</w:t>
      </w:r>
      <w:r>
        <w:rPr>
          <w:rFonts w:hint="eastAsia" w:ascii="仿宋_GB2312" w:hAnsi="仿宋_GB2312" w:eastAsia="仿宋_GB2312" w:cs="仿宋_GB2312"/>
          <w:kern w:val="0"/>
          <w:sz w:val="32"/>
          <w:szCs w:val="32"/>
          <w:lang w:val="zh-CN" w:bidi="ar"/>
        </w:rPr>
        <w:t>批复</w:t>
      </w:r>
      <w:r>
        <w:rPr>
          <w:rFonts w:hint="eastAsia" w:ascii="仿宋_GB2312" w:hAnsi="仿宋_GB2312" w:eastAsia="仿宋_GB2312" w:cs="仿宋_GB2312"/>
          <w:kern w:val="0"/>
          <w:sz w:val="32"/>
          <w:szCs w:val="32"/>
          <w:lang w:val="en-US" w:eastAsia="zh-CN" w:bidi="ar"/>
        </w:rPr>
        <w:t>10万元，</w:t>
      </w:r>
      <w:r>
        <w:rPr>
          <w:rFonts w:hint="eastAsia" w:ascii="仿宋_GB2312" w:hAnsi="仿宋_GB2312" w:eastAsia="仿宋_GB2312" w:cs="仿宋_GB2312"/>
          <w:kern w:val="0"/>
          <w:sz w:val="32"/>
          <w:szCs w:val="32"/>
          <w:lang w:eastAsia="zh-CN" w:bidi="ar"/>
        </w:rPr>
        <w:t>不</w:t>
      </w:r>
      <w:r>
        <w:rPr>
          <w:rFonts w:hint="eastAsia" w:ascii="仿宋_GB2312" w:hAnsi="仿宋_GB2312" w:eastAsia="仿宋_GB2312" w:cs="仿宋_GB2312"/>
          <w:kern w:val="0"/>
          <w:sz w:val="32"/>
          <w:szCs w:val="32"/>
          <w:lang w:val="zh-CN" w:bidi="ar"/>
        </w:rPr>
        <w:t>涉及预算调整，符合《</w:t>
      </w:r>
      <w:r>
        <w:rPr>
          <w:rFonts w:hint="eastAsia" w:ascii="仿宋_GB2312" w:hAnsi="仿宋_GB2312" w:eastAsia="仿宋_GB2312" w:cs="仿宋_GB2312"/>
          <w:kern w:val="0"/>
          <w:sz w:val="32"/>
          <w:szCs w:val="32"/>
          <w:lang w:val="zh-CN" w:bidi="ar"/>
        </w:rPr>
        <w:fldChar w:fldCharType="begin"/>
      </w:r>
      <w:r>
        <w:rPr>
          <w:rFonts w:hint="eastAsia" w:ascii="仿宋_GB2312" w:hAnsi="仿宋_GB2312" w:eastAsia="仿宋_GB2312" w:cs="仿宋_GB2312"/>
          <w:kern w:val="0"/>
          <w:sz w:val="32"/>
          <w:szCs w:val="32"/>
          <w:lang w:val="zh-CN" w:bidi="ar"/>
        </w:rPr>
        <w:instrText xml:space="preserve"> HYPERLINK "http://www.baidu.com/link?url=RXcE9Bbhk32k8jcpkGjQokKsLVfSOeT6epGZDIDGSPKt76FJ7ZU6RHOqr0iOsAKxKQcUPZ_HZKRod2bLTayh5MefmlDpLXMeOYEVEr_Q5r0sewh-P2DjOdR2S4N5vTwn" \t "_blank" </w:instrText>
      </w:r>
      <w:r>
        <w:rPr>
          <w:rFonts w:hint="eastAsia" w:ascii="仿宋_GB2312" w:hAnsi="仿宋_GB2312" w:eastAsia="仿宋_GB2312" w:cs="仿宋_GB2312"/>
          <w:kern w:val="0"/>
          <w:sz w:val="32"/>
          <w:szCs w:val="32"/>
          <w:lang w:val="zh-CN" w:bidi="ar"/>
        </w:rPr>
        <w:fldChar w:fldCharType="separate"/>
      </w:r>
      <w:r>
        <w:rPr>
          <w:rFonts w:hint="eastAsia" w:ascii="仿宋_GB2312" w:hAnsi="仿宋_GB2312" w:eastAsia="仿宋_GB2312" w:cs="仿宋_GB2312"/>
          <w:kern w:val="0"/>
          <w:sz w:val="32"/>
          <w:szCs w:val="32"/>
          <w:lang w:val="zh-CN" w:bidi="ar"/>
        </w:rPr>
        <w:t>四川省科技计划管理办法</w:t>
      </w:r>
      <w:r>
        <w:rPr>
          <w:rFonts w:hint="eastAsia" w:ascii="仿宋_GB2312" w:hAnsi="仿宋_GB2312" w:eastAsia="仿宋_GB2312" w:cs="仿宋_GB2312"/>
          <w:kern w:val="0"/>
          <w:sz w:val="32"/>
          <w:szCs w:val="32"/>
          <w:lang w:val="zh-CN" w:bidi="ar"/>
        </w:rPr>
        <w:fldChar w:fldCharType="end"/>
      </w:r>
      <w:r>
        <w:rPr>
          <w:rFonts w:hint="eastAsia" w:ascii="仿宋_GB2312" w:hAnsi="仿宋_GB2312" w:eastAsia="仿宋_GB2312" w:cs="仿宋_GB2312"/>
          <w:kern w:val="0"/>
          <w:sz w:val="32"/>
          <w:szCs w:val="32"/>
          <w:lang w:val="zh-CN" w:bidi="ar"/>
        </w:rPr>
        <w:t>》、《四川省科技计划项目专项资金管理办法》等资金管理办法相关规定。</w:t>
      </w:r>
    </w:p>
    <w:p w14:paraId="55502E8F">
      <w:pPr>
        <w:numPr>
          <w:ilvl w:val="0"/>
          <w:numId w:val="13"/>
        </w:numPr>
        <w:adjustRightInd w:val="0"/>
        <w:snapToGrid w:val="0"/>
        <w:spacing w:line="560" w:lineRule="exact"/>
        <w:ind w:firstLine="720"/>
        <w:rPr>
          <w:rFonts w:hint="eastAsia" w:ascii="楷体_GB2312" w:hAnsi="宋体" w:eastAsia="楷体_GB2312"/>
          <w:b/>
          <w:sz w:val="32"/>
          <w:szCs w:val="32"/>
          <w:lang w:val="zh-CN"/>
        </w:rPr>
      </w:pPr>
      <w:r>
        <w:rPr>
          <w:rFonts w:hint="eastAsia" w:ascii="楷体_GB2312" w:hAnsi="宋体" w:eastAsia="楷体_GB2312"/>
          <w:b/>
          <w:bCs w:val="0"/>
          <w:sz w:val="32"/>
          <w:szCs w:val="32"/>
          <w:lang w:val="zh-CN"/>
        </w:rPr>
        <w:t>项目绩效</w:t>
      </w:r>
      <w:r>
        <w:rPr>
          <w:rFonts w:hint="eastAsia" w:ascii="楷体_GB2312" w:hAnsi="宋体" w:eastAsia="楷体_GB2312"/>
          <w:b/>
          <w:sz w:val="32"/>
          <w:szCs w:val="32"/>
          <w:lang w:val="zh-CN"/>
        </w:rPr>
        <w:t>目标。</w:t>
      </w:r>
    </w:p>
    <w:p w14:paraId="78EC0C2B">
      <w:pPr>
        <w:widowControl/>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本项目围绕“双碳”目标实现的大背景，以攀西经济区作为区域研究边界，从绿色发展理论、低碳发展理论和可持续发展理论等理论的基本原理出发，探讨并提出 “双碳”目标下工业绿色低碳发展的理论基础；从现有工业布局入手，完成区域内现有工业体系构成图和碳排放图的绘制，并以此作为区域内工业绿色低碳发展的现实基础。以攀西经济区绿色低碳发展的理论和现实基础为依据，按照淘汰落后生产能力、改造升级传统产业、加快发展战略性新兴产业的思路，完成攀西经济区绿色低碳工业体系构建和总体布局，并提出对应的发展策略。</w:t>
      </w:r>
    </w:p>
    <w:p w14:paraId="17E37ED8">
      <w:pPr>
        <w:widowControl/>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通过本项目的实施，拟形成1 篇研究报告、2篇科技报告（1篇进展报告、1篇最终报告）、1篇调研报告、1份政策建议。</w:t>
      </w:r>
      <w:r>
        <w:rPr>
          <w:rFonts w:hint="eastAsia" w:ascii="仿宋_GB2312" w:hAnsi="仿宋_GB2312" w:eastAsia="仿宋_GB2312" w:cs="仿宋_GB2312"/>
          <w:kern w:val="0"/>
          <w:sz w:val="32"/>
          <w:szCs w:val="32"/>
          <w:lang w:val="zh-CN" w:eastAsia="zh-CN" w:bidi="ar"/>
        </w:rPr>
        <w:t>本项目</w:t>
      </w:r>
      <w:r>
        <w:rPr>
          <w:rFonts w:hint="eastAsia" w:ascii="仿宋_GB2312" w:hAnsi="仿宋_GB2312" w:eastAsia="仿宋_GB2312" w:cs="仿宋_GB2312"/>
          <w:kern w:val="0"/>
          <w:sz w:val="32"/>
          <w:szCs w:val="32"/>
          <w:lang w:val="en-US" w:eastAsia="zh-CN" w:bidi="ar"/>
        </w:rPr>
        <w:t>研究成果对区域产业结构调整和经济可持续发展具有重要的指导意义，可为省内外相似区域构建绿色低碳工业体系提供理论和实践经验。此外，通过本课题研究，项目组的研究水平</w:t>
      </w:r>
      <w:r>
        <w:rPr>
          <w:rFonts w:hint="eastAsia" w:ascii="仿宋_GB2312" w:hAnsi="仿宋_GB2312" w:cs="仿宋_GB2312"/>
          <w:kern w:val="0"/>
          <w:sz w:val="32"/>
          <w:szCs w:val="32"/>
          <w:lang w:val="en-US" w:eastAsia="zh-CN" w:bidi="ar"/>
        </w:rPr>
        <w:t>可</w:t>
      </w:r>
      <w:r>
        <w:rPr>
          <w:rFonts w:hint="eastAsia" w:ascii="仿宋_GB2312" w:hAnsi="仿宋_GB2312" w:eastAsia="仿宋_GB2312" w:cs="仿宋_GB2312"/>
          <w:kern w:val="0"/>
          <w:sz w:val="32"/>
          <w:szCs w:val="32"/>
          <w:lang w:val="en-US" w:eastAsia="zh-CN" w:bidi="ar"/>
        </w:rPr>
        <w:t>得到大幅提升，可长期为攀西经济区实现工业高质量发展提供智力服务。</w:t>
      </w:r>
    </w:p>
    <w:p w14:paraId="6EE1676C">
      <w:pPr>
        <w:widowControl/>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本项目主要分四个阶段实施：</w:t>
      </w:r>
    </w:p>
    <w:p w14:paraId="575A59CA">
      <w:pPr>
        <w:widowControl/>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第一阶段（2022-01-01 </w:t>
      </w: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2022-06-30）  前期准备及预研究：组建课题工作组，制定课题实施方案，理论准备，收集分析文献资料，开展预调研及分析。</w:t>
      </w:r>
    </w:p>
    <w:p w14:paraId="7C1FBF22">
      <w:pPr>
        <w:widowControl/>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第二阶段（2022-07-01</w:t>
      </w: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2022-12-31 ）  分析研究：系统梳理相关资料，开展实地调研，对相关问题进行系统分析研究，形成研究思路，在此基础上撰写研究报告和调研报告。</w:t>
      </w:r>
    </w:p>
    <w:p w14:paraId="0B9333E3">
      <w:pPr>
        <w:widowControl/>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第三阶段（2023-01-01</w:t>
      </w: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2023-06-30）  修订完善定稿：在研究报告初稿的基础上，听取相关专家意见建议，并根据专家意见进行修改完善，最终形成研究报告。</w:t>
      </w:r>
    </w:p>
    <w:p w14:paraId="251D90BF">
      <w:pPr>
        <w:widowControl/>
        <w:ind w:firstLine="640" w:firstLineChars="200"/>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第四阶段（2023-07-01</w:t>
      </w:r>
      <w:r>
        <w:rPr>
          <w:rFonts w:hint="eastAsia" w:ascii="仿宋_GB2312" w:hAnsi="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2023-12-31 ）  项目验收：准备项目验收资料，申请并完成项目验收。</w:t>
      </w:r>
    </w:p>
    <w:p w14:paraId="551C0280">
      <w:pPr>
        <w:numPr>
          <w:ilvl w:val="0"/>
          <w:numId w:val="13"/>
        </w:numPr>
        <w:adjustRightInd w:val="0"/>
        <w:snapToGrid w:val="0"/>
        <w:spacing w:line="560" w:lineRule="exact"/>
        <w:ind w:left="0" w:leftChars="0" w:firstLine="720" w:firstLineChars="0"/>
        <w:rPr>
          <w:rFonts w:hint="eastAsia" w:ascii="仿宋_GB2312" w:hAnsi="宋体"/>
          <w:sz w:val="32"/>
          <w:szCs w:val="32"/>
          <w:lang w:val="zh-CN"/>
        </w:rPr>
      </w:pPr>
      <w:r>
        <w:rPr>
          <w:rFonts w:hint="eastAsia" w:ascii="楷体_GB2312" w:hAnsi="宋体" w:eastAsia="楷体_GB2312"/>
          <w:b/>
          <w:sz w:val="32"/>
          <w:szCs w:val="32"/>
          <w:lang w:val="zh-CN"/>
        </w:rPr>
        <w:t>项目资金申报相符性。</w:t>
      </w:r>
    </w:p>
    <w:p w14:paraId="6DF4C5D4">
      <w:pPr>
        <w:numPr>
          <w:ilvl w:val="0"/>
          <w:numId w:val="0"/>
        </w:numPr>
        <w:adjustRightInd w:val="0"/>
        <w:snapToGrid w:val="0"/>
        <w:spacing w:line="560" w:lineRule="exact"/>
        <w:ind w:firstLine="640" w:firstLineChars="200"/>
        <w:rPr>
          <w:rFonts w:ascii="仿宋_GB2312" w:hAnsi="宋体"/>
          <w:sz w:val="32"/>
          <w:szCs w:val="32"/>
          <w:lang w:val="zh-CN"/>
        </w:rPr>
      </w:pPr>
      <w:r>
        <w:rPr>
          <w:rFonts w:hint="eastAsia" w:ascii="仿宋_GB2312" w:hAnsi="宋体"/>
          <w:sz w:val="32"/>
          <w:szCs w:val="32"/>
          <w:lang w:val="zh-CN"/>
        </w:rPr>
        <w:t>本项目申报内容与具体实施内容相符、申报目标合理可行。</w:t>
      </w:r>
    </w:p>
    <w:p w14:paraId="581F8832">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二、项目实施及管理情况</w:t>
      </w:r>
    </w:p>
    <w:p w14:paraId="77CD5254">
      <w:pPr>
        <w:adjustRightInd w:val="0"/>
        <w:snapToGrid w:val="0"/>
        <w:spacing w:line="560" w:lineRule="exact"/>
        <w:ind w:firstLine="720"/>
        <w:rPr>
          <w:rFonts w:ascii="楷体_GB2312" w:hAnsi="宋体" w:eastAsia="楷体_GB2312"/>
          <w:b/>
          <w:sz w:val="32"/>
          <w:szCs w:val="32"/>
          <w:lang w:val="zh-CN"/>
        </w:rPr>
      </w:pPr>
      <w:r>
        <w:rPr>
          <w:rFonts w:hint="eastAsia" w:ascii="仿宋_GB2312" w:hAnsi="宋体"/>
          <w:sz w:val="32"/>
          <w:szCs w:val="32"/>
          <w:lang w:val="zh-CN"/>
        </w:rPr>
        <w:tab/>
      </w:r>
      <w:r>
        <w:rPr>
          <w:rFonts w:hint="eastAsia" w:ascii="楷体_GB2312" w:hAnsi="宋体" w:eastAsia="楷体_GB2312"/>
          <w:b/>
          <w:sz w:val="32"/>
          <w:szCs w:val="32"/>
          <w:lang w:val="zh-CN"/>
        </w:rPr>
        <w:t>（一）资金计划、到位及使用情况。</w:t>
      </w:r>
    </w:p>
    <w:p w14:paraId="2C055D02">
      <w:pPr>
        <w:adjustRightInd w:val="0"/>
        <w:snapToGrid w:val="0"/>
        <w:spacing w:line="560" w:lineRule="exact"/>
        <w:ind w:firstLine="720"/>
        <w:rPr>
          <w:rFonts w:hint="eastAsia" w:ascii="楷体_GB2312" w:hAnsi="宋体" w:eastAsia="楷体_GB2312"/>
          <w:sz w:val="32"/>
          <w:szCs w:val="32"/>
          <w:lang w:val="zh-CN"/>
        </w:rPr>
      </w:pPr>
      <w:r>
        <w:rPr>
          <w:rFonts w:hint="eastAsia" w:ascii="楷体_GB2312" w:hAnsi="宋体" w:eastAsia="楷体_GB2312"/>
          <w:sz w:val="32"/>
          <w:szCs w:val="32"/>
          <w:lang w:val="zh-CN"/>
        </w:rPr>
        <w:t>1．资金计划及到位。</w:t>
      </w:r>
    </w:p>
    <w:p w14:paraId="4D3CE173">
      <w:pPr>
        <w:widowControl/>
        <w:ind w:firstLine="640" w:firstLineChars="200"/>
        <w:rPr>
          <w:rFonts w:hint="eastAsia" w:ascii="楷体_GB2312" w:hAnsi="宋体" w:eastAsia="楷体_GB2312"/>
          <w:sz w:val="32"/>
          <w:szCs w:val="32"/>
          <w:lang w:val="zh-CN"/>
        </w:rPr>
      </w:pPr>
      <w:r>
        <w:rPr>
          <w:rFonts w:hint="eastAsia" w:ascii="仿宋_GB2312" w:hAnsi="仿宋_GB2312" w:eastAsia="仿宋_GB2312" w:cs="仿宋_GB2312"/>
          <w:kern w:val="0"/>
          <w:sz w:val="32"/>
          <w:szCs w:val="32"/>
          <w:lang w:bidi="ar"/>
        </w:rPr>
        <w:t>《攀西经济区绿色低碳工业体系构建研究》项目计划总投入10万元，其中省级科技计划项目专项资金10万元，自筹经费0万元。</w:t>
      </w:r>
      <w:r>
        <w:rPr>
          <w:rFonts w:ascii="Times New Roman" w:hAnsi="Times New Roman" w:eastAsia="仿宋_GB2312"/>
          <w:kern w:val="0"/>
          <w:sz w:val="32"/>
          <w:szCs w:val="32"/>
          <w:lang w:bidi="ar"/>
        </w:rPr>
        <w:t>2022年4月，攀枝花市科技发展战略研究所收到省级科技计划项目专项资金10万元。该经费拨付及时，资金到位率100%。</w:t>
      </w:r>
    </w:p>
    <w:p w14:paraId="39001470">
      <w:pPr>
        <w:numPr>
          <w:ilvl w:val="0"/>
          <w:numId w:val="14"/>
        </w:numPr>
        <w:adjustRightInd w:val="0"/>
        <w:snapToGrid w:val="0"/>
        <w:spacing w:line="560" w:lineRule="exact"/>
        <w:ind w:firstLine="720"/>
        <w:rPr>
          <w:rFonts w:ascii="仿宋_GB2312" w:hAnsi="宋体"/>
          <w:sz w:val="32"/>
          <w:szCs w:val="32"/>
          <w:lang w:val="zh-CN"/>
        </w:rPr>
      </w:pPr>
      <w:r>
        <w:rPr>
          <w:rFonts w:hint="eastAsia" w:ascii="楷体_GB2312" w:hAnsi="宋体" w:eastAsia="楷体_GB2312"/>
          <w:sz w:val="32"/>
          <w:szCs w:val="32"/>
          <w:lang w:val="zh-CN"/>
        </w:rPr>
        <w:t>资金使用。</w:t>
      </w:r>
    </w:p>
    <w:p w14:paraId="7D316A56">
      <w:pPr>
        <w:numPr>
          <w:ilvl w:val="0"/>
          <w:numId w:val="0"/>
        </w:numPr>
        <w:adjustRightInd w:val="0"/>
        <w:snapToGrid w:val="0"/>
        <w:spacing w:line="560" w:lineRule="exact"/>
        <w:ind w:firstLine="640" w:firstLineChars="200"/>
        <w:rPr>
          <w:rFonts w:hint="eastAsia" w:ascii="楷体_GB2312" w:hAnsi="宋体" w:eastAsia="楷体_GB2312"/>
          <w:sz w:val="32"/>
          <w:szCs w:val="32"/>
          <w:lang w:val="zh-CN"/>
        </w:rPr>
      </w:pPr>
      <w:r>
        <w:rPr>
          <w:rFonts w:hint="eastAsia"/>
          <w:kern w:val="0"/>
          <w:sz w:val="32"/>
          <w:szCs w:val="32"/>
          <w:lang w:eastAsia="zh-CN" w:bidi="ar"/>
        </w:rPr>
        <w:t>本</w:t>
      </w:r>
      <w:r>
        <w:rPr>
          <w:rFonts w:hint="eastAsia" w:ascii="Times New Roman" w:hAnsi="Times New Roman" w:eastAsia="仿宋_GB2312"/>
          <w:kern w:val="0"/>
          <w:sz w:val="32"/>
          <w:szCs w:val="32"/>
          <w:lang w:bidi="ar"/>
        </w:rPr>
        <w:t>项目专项资金10万元拨付到位后，项目承担单位立即按照相关资金使用管理规定设立专款账户，并做好资金使用计划。目前，已使用</w:t>
      </w:r>
      <w:r>
        <w:rPr>
          <w:rFonts w:hint="eastAsia"/>
          <w:kern w:val="0"/>
          <w:sz w:val="32"/>
          <w:szCs w:val="32"/>
          <w:lang w:val="en-US" w:eastAsia="zh-CN" w:bidi="ar"/>
        </w:rPr>
        <w:t>1.505</w:t>
      </w:r>
      <w:r>
        <w:rPr>
          <w:rFonts w:hint="eastAsia" w:ascii="Times New Roman" w:hAnsi="Times New Roman" w:eastAsia="仿宋_GB2312"/>
          <w:kern w:val="0"/>
          <w:sz w:val="32"/>
          <w:szCs w:val="32"/>
          <w:lang w:bidi="ar"/>
        </w:rPr>
        <w:t>万元，剩余</w:t>
      </w:r>
      <w:r>
        <w:rPr>
          <w:rFonts w:hint="eastAsia"/>
          <w:kern w:val="0"/>
          <w:sz w:val="32"/>
          <w:szCs w:val="32"/>
          <w:lang w:val="en-US" w:eastAsia="zh-CN" w:bidi="ar"/>
        </w:rPr>
        <w:t>8.495</w:t>
      </w:r>
      <w:r>
        <w:rPr>
          <w:rFonts w:hint="eastAsia" w:ascii="Times New Roman" w:hAnsi="Times New Roman" w:eastAsia="仿宋_GB2312"/>
          <w:kern w:val="0"/>
          <w:sz w:val="32"/>
          <w:szCs w:val="32"/>
          <w:lang w:bidi="ar"/>
        </w:rPr>
        <w:t>万元。项目资金支付范围、支付标准、支付进度及支付依据等合规合法，与预算相符。确保了资金使用的安全性、规范性及有效性。</w:t>
      </w:r>
    </w:p>
    <w:p w14:paraId="592F8F62">
      <w:pPr>
        <w:numPr>
          <w:ilvl w:val="0"/>
          <w:numId w:val="15"/>
        </w:numPr>
        <w:adjustRightInd w:val="0"/>
        <w:snapToGrid w:val="0"/>
        <w:spacing w:line="56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项目财务管理情况。</w:t>
      </w:r>
    </w:p>
    <w:p w14:paraId="0398249C">
      <w:pPr>
        <w:widowControl/>
        <w:ind w:firstLine="640" w:firstLineChars="200"/>
        <w:jc w:val="left"/>
        <w:rPr>
          <w:rFonts w:hint="eastAsia" w:ascii="仿宋_GB2312" w:hAnsi="仿宋_GB2312" w:eastAsia="仿宋_GB2312" w:cs="仿宋_GB2312"/>
          <w:kern w:val="0"/>
          <w:sz w:val="32"/>
          <w:szCs w:val="32"/>
          <w:lang w:val="zh-CN" w:bidi="ar"/>
        </w:rPr>
      </w:pPr>
      <w:r>
        <w:rPr>
          <w:rFonts w:hint="eastAsia" w:ascii="仿宋_GB2312" w:hAnsi="仿宋_GB2312" w:eastAsia="仿宋_GB2312" w:cs="仿宋_GB2312"/>
          <w:kern w:val="0"/>
          <w:sz w:val="32"/>
          <w:szCs w:val="32"/>
          <w:lang w:bidi="ar"/>
        </w:rPr>
        <w:t>市科技发展战略研究所拥有</w:t>
      </w:r>
      <w:r>
        <w:rPr>
          <w:rFonts w:hint="eastAsia" w:ascii="仿宋_GB2312" w:hAnsi="仿宋_GB2312" w:eastAsia="仿宋_GB2312" w:cs="仿宋_GB2312"/>
          <w:kern w:val="0"/>
          <w:sz w:val="32"/>
          <w:szCs w:val="32"/>
          <w:lang w:val="zh-CN" w:bidi="ar"/>
        </w:rPr>
        <w:t>健全的财务管理制度，制定了相应的核算模式、支出审批权限，以及单位内部控制制度等，严格按照专项资金管理办法，设立专项资金科目单独核算。单位严格按照《</w:t>
      </w:r>
      <w:r>
        <w:rPr>
          <w:rFonts w:hint="eastAsia" w:ascii="仿宋_GB2312" w:hAnsi="仿宋_GB2312" w:eastAsia="仿宋_GB2312" w:cs="仿宋_GB2312"/>
          <w:kern w:val="0"/>
          <w:sz w:val="32"/>
          <w:szCs w:val="32"/>
          <w:lang w:val="zh-CN" w:bidi="ar"/>
        </w:rPr>
        <w:fldChar w:fldCharType="begin"/>
      </w:r>
      <w:r>
        <w:rPr>
          <w:rFonts w:hint="eastAsia" w:ascii="仿宋_GB2312" w:hAnsi="仿宋_GB2312" w:eastAsia="仿宋_GB2312" w:cs="仿宋_GB2312"/>
          <w:kern w:val="0"/>
          <w:sz w:val="32"/>
          <w:szCs w:val="32"/>
          <w:lang w:val="zh-CN" w:bidi="ar"/>
        </w:rPr>
        <w:instrText xml:space="preserve"> HYPERLINK "http://www.baidu.com/link?url=RXcE9Bbhk32k8jcpkGjQokKsLVfSOeT6epGZDIDGSPKt76FJ7ZU6RHOqr0iOsAKxKQcUPZ_HZKRod2bLTayh5MefmlDpLXMeOYEVEr_Q5r0sewh-P2DjOdR2S4N5vTwn" \t "_blank" </w:instrText>
      </w:r>
      <w:r>
        <w:rPr>
          <w:rFonts w:hint="eastAsia" w:ascii="仿宋_GB2312" w:hAnsi="仿宋_GB2312" w:eastAsia="仿宋_GB2312" w:cs="仿宋_GB2312"/>
          <w:kern w:val="0"/>
          <w:sz w:val="32"/>
          <w:szCs w:val="32"/>
          <w:lang w:val="zh-CN" w:bidi="ar"/>
        </w:rPr>
        <w:fldChar w:fldCharType="separate"/>
      </w:r>
      <w:r>
        <w:rPr>
          <w:rFonts w:hint="eastAsia" w:ascii="仿宋_GB2312" w:hAnsi="仿宋_GB2312" w:eastAsia="仿宋_GB2312" w:cs="仿宋_GB2312"/>
          <w:kern w:val="0"/>
          <w:sz w:val="32"/>
          <w:szCs w:val="32"/>
          <w:lang w:val="zh-CN" w:bidi="ar"/>
        </w:rPr>
        <w:t>四川省科技计划管理办法</w:t>
      </w:r>
      <w:r>
        <w:rPr>
          <w:rFonts w:hint="eastAsia" w:ascii="仿宋_GB2312" w:hAnsi="仿宋_GB2312" w:eastAsia="仿宋_GB2312" w:cs="仿宋_GB2312"/>
          <w:kern w:val="0"/>
          <w:sz w:val="32"/>
          <w:szCs w:val="32"/>
          <w:lang w:val="zh-CN" w:bidi="ar"/>
        </w:rPr>
        <w:fldChar w:fldCharType="end"/>
      </w:r>
      <w:r>
        <w:rPr>
          <w:rFonts w:hint="eastAsia" w:ascii="仿宋_GB2312" w:hAnsi="仿宋_GB2312" w:eastAsia="仿宋_GB2312" w:cs="仿宋_GB2312"/>
          <w:kern w:val="0"/>
          <w:sz w:val="32"/>
          <w:szCs w:val="32"/>
          <w:lang w:val="zh-CN" w:bidi="ar"/>
        </w:rPr>
        <w:t>》《四川省科技计划项目专项资金管理办法》等文件的相关规定执行。总体来讲，项目严格执行财务管理制度，财务处理及时、会计核算规范。</w:t>
      </w:r>
    </w:p>
    <w:p w14:paraId="4173539C">
      <w:pPr>
        <w:adjustRightInd w:val="0"/>
        <w:snapToGrid w:val="0"/>
        <w:spacing w:line="56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14:paraId="60F39AB5">
      <w:pPr>
        <w:widowControl/>
        <w:ind w:firstLine="640" w:firstLineChars="200"/>
        <w:jc w:val="left"/>
        <w:rPr>
          <w:rFonts w:hint="eastAsia" w:ascii="仿宋_GB2312" w:hAnsi="仿宋_GB2312" w:eastAsia="仿宋_GB2312" w:cs="仿宋_GB2312"/>
          <w:kern w:val="0"/>
          <w:sz w:val="32"/>
          <w:szCs w:val="32"/>
          <w:lang w:val="zh-CN" w:bidi="ar"/>
        </w:rPr>
      </w:pPr>
      <w:r>
        <w:rPr>
          <w:rFonts w:hint="eastAsia" w:ascii="仿宋_GB2312" w:hAnsi="仿宋_GB2312" w:eastAsia="仿宋_GB2312" w:cs="仿宋_GB2312"/>
          <w:kern w:val="0"/>
          <w:sz w:val="32"/>
          <w:szCs w:val="32"/>
          <w:lang w:val="zh-CN" w:bidi="ar"/>
        </w:rPr>
        <w:t>本项目组建了项目组，项目组共</w:t>
      </w:r>
      <w:r>
        <w:rPr>
          <w:rFonts w:hint="eastAsia" w:ascii="仿宋_GB2312" w:hAnsi="仿宋_GB2312" w:eastAsia="仿宋_GB2312" w:cs="仿宋_GB2312"/>
          <w:kern w:val="0"/>
          <w:sz w:val="32"/>
          <w:szCs w:val="32"/>
          <w:lang w:bidi="ar"/>
        </w:rPr>
        <w:t>10人，其中高级4人，中级4人，其他2人。按照任务书约定的研究内容、计划进度和阶段目标要求，</w:t>
      </w:r>
      <w:bookmarkStart w:id="63" w:name="_Hlk79933609"/>
      <w:bookmarkStart w:id="64" w:name="_Hlk79933691"/>
      <w:r>
        <w:rPr>
          <w:rFonts w:hint="eastAsia" w:ascii="仿宋_GB2312" w:hAnsi="仿宋_GB2312" w:eastAsia="仿宋_GB2312" w:cs="仿宋_GB2312"/>
          <w:kern w:val="0"/>
          <w:sz w:val="32"/>
          <w:szCs w:val="32"/>
          <w:lang w:bidi="ar"/>
        </w:rPr>
        <w:t>项目组</w:t>
      </w:r>
      <w:r>
        <w:rPr>
          <w:rFonts w:hint="eastAsia" w:ascii="仿宋_GB2312" w:hAnsi="仿宋_GB2312" w:eastAsia="仿宋_GB2312" w:cs="仿宋_GB2312"/>
          <w:kern w:val="0"/>
          <w:sz w:val="32"/>
          <w:szCs w:val="32"/>
          <w:lang w:val="zh-CN" w:bidi="ar"/>
        </w:rPr>
        <w:t>在调研的基础上，</w:t>
      </w:r>
      <w:r>
        <w:rPr>
          <w:rFonts w:hint="eastAsia" w:ascii="仿宋_GB2312" w:hAnsi="仿宋_GB2312" w:eastAsia="仿宋_GB2312" w:cs="仿宋_GB2312"/>
          <w:kern w:val="0"/>
          <w:sz w:val="32"/>
          <w:szCs w:val="32"/>
          <w:lang w:bidi="ar"/>
        </w:rPr>
        <w:t>形成研究思路，在</w:t>
      </w:r>
      <w:r>
        <w:rPr>
          <w:rFonts w:hint="eastAsia" w:ascii="仿宋_GB2312" w:hAnsi="仿宋_GB2312" w:eastAsia="仿宋_GB2312" w:cs="仿宋_GB2312"/>
          <w:kern w:val="0"/>
          <w:sz w:val="32"/>
          <w:szCs w:val="32"/>
          <w:lang w:val="zh-CN" w:bidi="ar"/>
        </w:rPr>
        <w:t>工业</w:t>
      </w:r>
      <w:bookmarkEnd w:id="63"/>
      <w:r>
        <w:rPr>
          <w:rFonts w:hint="eastAsia" w:ascii="仿宋_GB2312" w:hAnsi="仿宋_GB2312" w:eastAsia="仿宋_GB2312" w:cs="仿宋_GB2312"/>
          <w:kern w:val="0"/>
          <w:sz w:val="32"/>
          <w:szCs w:val="32"/>
          <w:lang w:val="zh-CN" w:bidi="ar"/>
        </w:rPr>
        <w:t>绿色低碳发展</w:t>
      </w:r>
      <w:bookmarkEnd w:id="64"/>
      <w:r>
        <w:rPr>
          <w:rFonts w:hint="eastAsia" w:ascii="仿宋_GB2312" w:hAnsi="仿宋_GB2312" w:eastAsia="仿宋_GB2312" w:cs="仿宋_GB2312"/>
          <w:kern w:val="0"/>
          <w:sz w:val="32"/>
          <w:szCs w:val="32"/>
          <w:lang w:val="zh-CN" w:bidi="ar"/>
        </w:rPr>
        <w:t>相关理论及实践、攀西经济区工业体系及碳排放现状、攀西经济区工业体系存在的问题、攀西经济区绿色低碳工业体系构建及其总体布局、攀西经济区绿色低碳工业体系发展策略等方面开展研究，积极推进项目进展，并完成了部分项目研究内容和考核指标。</w:t>
      </w:r>
    </w:p>
    <w:p w14:paraId="17A4415F">
      <w:pPr>
        <w:widowControl/>
        <w:ind w:firstLine="640" w:firstLineChars="200"/>
        <w:jc w:val="left"/>
        <w:rPr>
          <w:sz w:val="32"/>
          <w:szCs w:val="32"/>
          <w:lang w:val="zh-CN"/>
        </w:rPr>
      </w:pPr>
      <w:r>
        <w:rPr>
          <w:rFonts w:hint="eastAsia" w:ascii="仿宋_GB2312" w:hAnsi="仿宋_GB2312" w:eastAsia="仿宋_GB2312" w:cs="仿宋_GB2312"/>
          <w:kern w:val="0"/>
          <w:sz w:val="32"/>
          <w:szCs w:val="32"/>
          <w:lang w:val="zh-CN" w:bidi="ar"/>
        </w:rPr>
        <w:t>项目承担单位严格按照《</w:t>
      </w:r>
      <w:r>
        <w:rPr>
          <w:rFonts w:hint="eastAsia" w:ascii="仿宋_GB2312" w:hAnsi="仿宋_GB2312" w:eastAsia="仿宋_GB2312" w:cs="仿宋_GB2312"/>
          <w:kern w:val="0"/>
          <w:sz w:val="32"/>
          <w:szCs w:val="32"/>
          <w:lang w:val="zh-CN" w:bidi="ar"/>
        </w:rPr>
        <w:fldChar w:fldCharType="begin"/>
      </w:r>
      <w:r>
        <w:rPr>
          <w:rFonts w:hint="eastAsia" w:ascii="仿宋_GB2312" w:hAnsi="仿宋_GB2312" w:eastAsia="仿宋_GB2312" w:cs="仿宋_GB2312"/>
          <w:kern w:val="0"/>
          <w:sz w:val="32"/>
          <w:szCs w:val="32"/>
          <w:lang w:val="zh-CN" w:bidi="ar"/>
        </w:rPr>
        <w:instrText xml:space="preserve"> HYPERLINK "http://www.baidu.com/link?url=RXcE9Bbhk32k8jcpkGjQokKsLVfSOeT6epGZDIDGSPKt76FJ7ZU6RHOqr0iOsAKxKQcUPZ_HZKRod2bLTayh5MefmlDpLXMeOYEVEr_Q5r0sewh-P2DjOdR2S4N5vTwn" \t "_blank" </w:instrText>
      </w:r>
      <w:r>
        <w:rPr>
          <w:rFonts w:hint="eastAsia" w:ascii="仿宋_GB2312" w:hAnsi="仿宋_GB2312" w:eastAsia="仿宋_GB2312" w:cs="仿宋_GB2312"/>
          <w:kern w:val="0"/>
          <w:sz w:val="32"/>
          <w:szCs w:val="32"/>
          <w:lang w:val="zh-CN" w:bidi="ar"/>
        </w:rPr>
        <w:fldChar w:fldCharType="separate"/>
      </w:r>
      <w:r>
        <w:rPr>
          <w:rFonts w:hint="eastAsia" w:ascii="仿宋_GB2312" w:hAnsi="仿宋_GB2312" w:eastAsia="仿宋_GB2312" w:cs="仿宋_GB2312"/>
          <w:kern w:val="0"/>
          <w:sz w:val="32"/>
          <w:szCs w:val="32"/>
          <w:lang w:val="zh-CN" w:bidi="ar"/>
        </w:rPr>
        <w:t>四川省科技计划</w:t>
      </w:r>
      <w:r>
        <w:rPr>
          <w:rFonts w:hint="eastAsia" w:ascii="仿宋_GB2312" w:hAnsi="仿宋_GB2312" w:cs="仿宋_GB2312"/>
          <w:kern w:val="0"/>
          <w:sz w:val="32"/>
          <w:szCs w:val="32"/>
          <w:lang w:val="zh-CN" w:bidi="ar"/>
        </w:rPr>
        <w:t>项目</w:t>
      </w:r>
      <w:r>
        <w:rPr>
          <w:rFonts w:hint="eastAsia" w:ascii="仿宋_GB2312" w:hAnsi="仿宋_GB2312" w:eastAsia="仿宋_GB2312" w:cs="仿宋_GB2312"/>
          <w:kern w:val="0"/>
          <w:sz w:val="32"/>
          <w:szCs w:val="32"/>
          <w:lang w:val="zh-CN" w:bidi="ar"/>
        </w:rPr>
        <w:t>管理办法</w:t>
      </w:r>
      <w:r>
        <w:rPr>
          <w:rFonts w:hint="eastAsia" w:ascii="仿宋_GB2312" w:hAnsi="仿宋_GB2312" w:eastAsia="仿宋_GB2312" w:cs="仿宋_GB2312"/>
          <w:kern w:val="0"/>
          <w:sz w:val="32"/>
          <w:szCs w:val="32"/>
          <w:lang w:val="zh-CN" w:bidi="ar"/>
        </w:rPr>
        <w:fldChar w:fldCharType="end"/>
      </w:r>
      <w:r>
        <w:rPr>
          <w:rFonts w:hint="eastAsia" w:ascii="仿宋_GB2312" w:hAnsi="仿宋_GB2312" w:eastAsia="仿宋_GB2312" w:cs="仿宋_GB2312"/>
          <w:kern w:val="0"/>
          <w:sz w:val="32"/>
          <w:szCs w:val="32"/>
          <w:lang w:val="zh-CN" w:bidi="ar"/>
        </w:rPr>
        <w:t>》、《四川省科技计划项目专项资金管理办法》等文件的相关规定和财务管理制度执行</w:t>
      </w:r>
      <w:r>
        <w:rPr>
          <w:rFonts w:hint="eastAsia" w:ascii="仿宋_GB2312" w:hAnsi="仿宋_GB2312" w:cs="仿宋_GB2312"/>
          <w:kern w:val="0"/>
          <w:sz w:val="32"/>
          <w:szCs w:val="32"/>
          <w:lang w:val="zh-CN" w:bidi="ar"/>
        </w:rPr>
        <w:t>，并</w:t>
      </w:r>
      <w:r>
        <w:rPr>
          <w:rFonts w:hint="eastAsia" w:ascii="仿宋_GB2312" w:hAnsi="仿宋_GB2312" w:eastAsia="仿宋_GB2312" w:cs="仿宋_GB2312"/>
          <w:kern w:val="0"/>
          <w:sz w:val="32"/>
          <w:szCs w:val="32"/>
          <w:lang w:val="zh-CN" w:bidi="ar"/>
        </w:rPr>
        <w:t>督促项目研究进展，有效监督项目执行全过程。市科技局</w:t>
      </w:r>
      <w:r>
        <w:rPr>
          <w:rFonts w:hint="eastAsia" w:ascii="仿宋_GB2312" w:hAnsi="仿宋_GB2312" w:eastAsia="仿宋_GB2312" w:cs="仿宋_GB2312"/>
          <w:kern w:val="0"/>
          <w:sz w:val="32"/>
          <w:szCs w:val="32"/>
          <w:lang w:bidi="ar"/>
        </w:rPr>
        <w:t>负责日常检查和监督项目实施。</w:t>
      </w:r>
    </w:p>
    <w:p w14:paraId="464ADAE4">
      <w:pPr>
        <w:adjustRightInd w:val="0"/>
        <w:snapToGrid w:val="0"/>
        <w:spacing w:line="560" w:lineRule="exact"/>
        <w:ind w:firstLine="720"/>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14:paraId="11BAC0C9">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4E4F5C7C">
      <w:pPr>
        <w:widowControl/>
        <w:ind w:firstLine="640" w:firstLineChars="200"/>
        <w:jc w:val="left"/>
        <w:rPr>
          <w:rFonts w:hint="eastAsia" w:ascii="楷体_GB2312" w:hAnsi="宋体" w:eastAsia="楷体_GB2312"/>
          <w:b/>
          <w:sz w:val="32"/>
          <w:szCs w:val="32"/>
          <w:lang w:val="zh-CN"/>
        </w:rPr>
      </w:pPr>
      <w:r>
        <w:rPr>
          <w:rFonts w:hint="eastAsia" w:ascii="仿宋_GB2312" w:hAnsi="仿宋_GB2312" w:eastAsia="仿宋_GB2312" w:cs="仿宋_GB2312"/>
          <w:kern w:val="0"/>
          <w:sz w:val="32"/>
          <w:szCs w:val="32"/>
          <w:lang w:val="zh-CN" w:bidi="ar"/>
        </w:rPr>
        <w:t>本项目</w:t>
      </w:r>
      <w:r>
        <w:rPr>
          <w:rFonts w:hint="eastAsia" w:ascii="仿宋_GB2312" w:hAnsi="仿宋_GB2312" w:eastAsia="仿宋_GB2312" w:cs="仿宋_GB2312"/>
          <w:kern w:val="0"/>
          <w:sz w:val="32"/>
          <w:szCs w:val="32"/>
          <w:lang w:bidi="ar"/>
        </w:rPr>
        <w:t>按照任务书约定的研究内容、计划进度和阶段目标要求，</w:t>
      </w:r>
      <w:r>
        <w:rPr>
          <w:rFonts w:hint="eastAsia" w:ascii="仿宋_GB2312" w:hAnsi="仿宋_GB2312" w:eastAsia="仿宋_GB2312" w:cs="仿宋_GB2312"/>
          <w:kern w:val="0"/>
          <w:sz w:val="32"/>
          <w:szCs w:val="32"/>
          <w:lang w:val="zh-CN" w:bidi="ar"/>
        </w:rPr>
        <w:t>在调研的基础上，</w:t>
      </w:r>
      <w:r>
        <w:rPr>
          <w:rFonts w:hint="eastAsia" w:ascii="仿宋_GB2312" w:hAnsi="仿宋_GB2312" w:eastAsia="仿宋_GB2312" w:cs="仿宋_GB2312"/>
          <w:kern w:val="0"/>
          <w:sz w:val="32"/>
          <w:szCs w:val="32"/>
          <w:lang w:bidi="ar"/>
        </w:rPr>
        <w:t>形成研究思路，在</w:t>
      </w:r>
      <w:r>
        <w:rPr>
          <w:rFonts w:hint="eastAsia" w:ascii="仿宋_GB2312" w:hAnsi="仿宋_GB2312" w:eastAsia="仿宋_GB2312" w:cs="仿宋_GB2312"/>
          <w:kern w:val="0"/>
          <w:sz w:val="32"/>
          <w:szCs w:val="32"/>
          <w:lang w:val="zh-CN" w:bidi="ar"/>
        </w:rPr>
        <w:t>工业绿色低碳发展相关理论及实践、攀西经济区工业体系及碳排放现状、攀西经济区工业体系存在的问题、攀西经济区绿色低碳工业体系构建及其总体布局、攀西经济区绿色低碳工业体系发展策略等方面开展研究，并完成了部分项目研究内容和考核指标。在项目研究基础上，已形成年度报告一篇，</w:t>
      </w:r>
      <w:r>
        <w:rPr>
          <w:rFonts w:hint="eastAsia" w:ascii="仿宋_GB2312" w:hAnsi="仿宋_GB2312" w:eastAsia="仿宋_GB2312" w:cs="仿宋_GB2312"/>
          <w:kern w:val="0"/>
          <w:sz w:val="32"/>
          <w:szCs w:val="32"/>
          <w:lang w:bidi="ar"/>
        </w:rPr>
        <w:t>政策建议一条，调研报告一份，公开发表文章</w:t>
      </w:r>
      <w:r>
        <w:rPr>
          <w:rFonts w:hint="eastAsia" w:ascii="仿宋_GB2312" w:hAnsi="仿宋_GB2312" w:cs="仿宋_GB2312"/>
          <w:kern w:val="0"/>
          <w:sz w:val="32"/>
          <w:szCs w:val="32"/>
          <w:lang w:val="en-US" w:eastAsia="zh-CN" w:bidi="ar"/>
        </w:rPr>
        <w:t>2</w:t>
      </w:r>
      <w:r>
        <w:rPr>
          <w:rFonts w:hint="eastAsia" w:ascii="仿宋_GB2312" w:hAnsi="仿宋_GB2312" w:eastAsia="仿宋_GB2312" w:cs="仿宋_GB2312"/>
          <w:kern w:val="0"/>
          <w:sz w:val="32"/>
          <w:szCs w:val="32"/>
          <w:lang w:bidi="ar"/>
        </w:rPr>
        <w:t>篇。虽然离完成所有的项目考核内容和考核指标还有</w:t>
      </w:r>
      <w:r>
        <w:rPr>
          <w:rFonts w:hint="eastAsia" w:ascii="仿宋_GB2312" w:hAnsi="仿宋_GB2312" w:eastAsia="仿宋_GB2312" w:cs="仿宋_GB2312"/>
          <w:kern w:val="0"/>
          <w:sz w:val="32"/>
          <w:szCs w:val="32"/>
          <w:lang w:val="zh-CN" w:bidi="ar"/>
        </w:rPr>
        <w:t>一定差距，但严格按照项目任务书约定的</w:t>
      </w:r>
      <w:r>
        <w:rPr>
          <w:rFonts w:hint="eastAsia" w:ascii="仿宋_GB2312" w:hAnsi="仿宋_GB2312" w:eastAsia="仿宋_GB2312" w:cs="仿宋_GB2312"/>
          <w:kern w:val="0"/>
          <w:sz w:val="32"/>
          <w:szCs w:val="32"/>
          <w:lang w:bidi="ar"/>
        </w:rPr>
        <w:t>计划进度和阶段目标推进</w:t>
      </w:r>
      <w:r>
        <w:rPr>
          <w:rFonts w:hint="eastAsia" w:ascii="仿宋_GB2312" w:hAnsi="仿宋_GB2312" w:eastAsia="仿宋_GB2312" w:cs="仿宋_GB2312"/>
          <w:kern w:val="0"/>
          <w:sz w:val="32"/>
          <w:szCs w:val="32"/>
          <w:lang w:val="zh-CN" w:bidi="ar"/>
        </w:rPr>
        <w:t>。</w:t>
      </w:r>
    </w:p>
    <w:p w14:paraId="28C8087A">
      <w:pPr>
        <w:numPr>
          <w:ilvl w:val="0"/>
          <w:numId w:val="15"/>
        </w:numPr>
        <w:adjustRightInd w:val="0"/>
        <w:snapToGrid w:val="0"/>
        <w:spacing w:line="560"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项目效益情况。</w:t>
      </w:r>
    </w:p>
    <w:p w14:paraId="0721A830">
      <w:pPr>
        <w:widowControl/>
        <w:ind w:firstLine="640" w:firstLineChars="200"/>
        <w:jc w:val="left"/>
        <w:rPr>
          <w:rFonts w:hint="eastAsia" w:ascii="仿宋_GB2312" w:hAnsi="宋体"/>
          <w:sz w:val="32"/>
          <w:szCs w:val="32"/>
          <w:lang w:val="zh-CN"/>
        </w:rPr>
      </w:pPr>
      <w:r>
        <w:rPr>
          <w:rFonts w:hint="eastAsia" w:ascii="仿宋_GB2312" w:hAnsi="仿宋_GB2312" w:eastAsia="仿宋_GB2312" w:cs="仿宋_GB2312"/>
          <w:kern w:val="0"/>
          <w:sz w:val="32"/>
          <w:szCs w:val="32"/>
          <w:lang w:val="zh-CN" w:bidi="ar"/>
        </w:rPr>
        <w:t>本项目</w:t>
      </w:r>
      <w:r>
        <w:rPr>
          <w:rFonts w:hint="eastAsia" w:ascii="仿宋_GB2312" w:hAnsi="仿宋_GB2312" w:eastAsia="仿宋_GB2312" w:cs="仿宋_GB2312"/>
          <w:kern w:val="0"/>
          <w:sz w:val="32"/>
          <w:szCs w:val="32"/>
          <w:lang w:bidi="ar"/>
        </w:rPr>
        <w:t>研究成果对区域产业结构调整和经济可持续发展具有重要的指导意义，可</w:t>
      </w:r>
      <w:r>
        <w:rPr>
          <w:rFonts w:ascii="仿宋_GB2312" w:hAnsi="仿宋_GB2312" w:eastAsia="仿宋_GB2312" w:cs="仿宋_GB2312"/>
          <w:kern w:val="0"/>
          <w:sz w:val="32"/>
          <w:szCs w:val="32"/>
          <w:lang w:bidi="ar"/>
        </w:rPr>
        <w:t>为省内外相似区域构建绿色低碳工业体系提供理论和实践经验。</w:t>
      </w:r>
      <w:r>
        <w:rPr>
          <w:rFonts w:hint="eastAsia" w:ascii="仿宋_GB2312" w:hAnsi="仿宋_GB2312" w:eastAsia="仿宋_GB2312" w:cs="仿宋_GB2312"/>
          <w:kern w:val="0"/>
          <w:sz w:val="32"/>
          <w:szCs w:val="32"/>
          <w:lang w:bidi="ar"/>
        </w:rPr>
        <w:t>此外，通过本课题研究，项目组的研究水平得到大幅提升，</w:t>
      </w:r>
      <w:r>
        <w:rPr>
          <w:rFonts w:ascii="仿宋_GB2312" w:hAnsi="仿宋_GB2312" w:eastAsia="仿宋_GB2312" w:cs="仿宋_GB2312"/>
          <w:kern w:val="0"/>
          <w:sz w:val="32"/>
          <w:szCs w:val="32"/>
          <w:lang w:bidi="ar"/>
        </w:rPr>
        <w:t>可长期为攀西经济区实现工业高质量发展提供智力服务。</w:t>
      </w:r>
      <w:r>
        <w:rPr>
          <w:rFonts w:hint="eastAsia" w:ascii="仿宋_GB2312" w:hAnsi="仿宋_GB2312" w:eastAsia="仿宋_GB2312" w:cs="仿宋_GB2312"/>
          <w:kern w:val="0"/>
          <w:sz w:val="32"/>
          <w:szCs w:val="32"/>
          <w:lang w:bidi="ar"/>
        </w:rPr>
        <w:t>2022年，项目负责人认定为攀枝花市第五类高层次人才。</w:t>
      </w:r>
    </w:p>
    <w:p w14:paraId="1BE1C4B1">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四、问题及建议</w:t>
      </w:r>
    </w:p>
    <w:p w14:paraId="247D9D34">
      <w:pPr>
        <w:adjustRightInd w:val="0"/>
        <w:snapToGrid w:val="0"/>
        <w:spacing w:line="56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（一）存在的问题。</w:t>
      </w:r>
    </w:p>
    <w:p w14:paraId="3108B452">
      <w:pPr>
        <w:widowControl/>
        <w:ind w:firstLine="640" w:firstLineChars="200"/>
        <w:jc w:val="left"/>
        <w:rPr>
          <w:sz w:val="32"/>
          <w:szCs w:val="32"/>
          <w:lang w:val="zh-CN"/>
        </w:rPr>
      </w:pPr>
      <w:r>
        <w:rPr>
          <w:rFonts w:hint="eastAsia" w:ascii="仿宋_GB2312" w:hAnsi="仿宋_GB2312" w:eastAsia="仿宋_GB2312" w:cs="仿宋_GB2312"/>
          <w:kern w:val="0"/>
          <w:sz w:val="32"/>
          <w:szCs w:val="32"/>
          <w:lang w:val="zh-CN" w:bidi="ar"/>
        </w:rPr>
        <w:t>本项目在申报过程中预见性不够，主研人员的分工不深不细，导致项目在执行过程中存在主研人员所负责的研究内容进度不一的情况，影响了项目的整体推进过程。</w:t>
      </w:r>
    </w:p>
    <w:p w14:paraId="0DC9A568">
      <w:pPr>
        <w:numPr>
          <w:ilvl w:val="0"/>
          <w:numId w:val="16"/>
        </w:numPr>
        <w:adjustRightInd w:val="0"/>
        <w:snapToGrid w:val="0"/>
        <w:spacing w:line="56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相关建议。</w:t>
      </w:r>
    </w:p>
    <w:p w14:paraId="34DC8D0E">
      <w:pPr>
        <w:pStyle w:val="16"/>
        <w:numPr>
          <w:ilvl w:val="0"/>
          <w:numId w:val="0"/>
        </w:numPr>
        <w:ind w:firstLine="640" w:firstLineChars="200"/>
        <w:rPr>
          <w:rFonts w:hint="eastAsia" w:ascii="黑体" w:hAnsi="黑体" w:eastAsia="黑体"/>
          <w:sz w:val="44"/>
          <w:szCs w:val="44"/>
        </w:rPr>
      </w:pPr>
      <w:r>
        <w:rPr>
          <w:rFonts w:hint="eastAsia" w:ascii="仿宋_GB2312" w:hAnsi="仿宋_GB2312" w:eastAsia="仿宋_GB2312" w:cs="仿宋_GB2312"/>
          <w:kern w:val="0"/>
          <w:sz w:val="32"/>
          <w:szCs w:val="32"/>
          <w:lang w:val="zh-CN" w:bidi="ar"/>
        </w:rPr>
        <w:t>针对主研人员分工问题，项目组及时优化分工，加强过程管理，并向项目承担单位申请增加两名主研人员，以便推动项目的顺利开展和如期完成项目验收。</w:t>
      </w:r>
      <w:r>
        <w:rPr>
          <w:rFonts w:hint="eastAsia" w:ascii="黑体" w:hAnsi="黑体" w:eastAsia="黑体"/>
          <w:sz w:val="44"/>
          <w:szCs w:val="44"/>
        </w:rPr>
        <w:br w:type="page"/>
      </w:r>
    </w:p>
    <w:p w14:paraId="0D304B23">
      <w:pPr>
        <w:spacing w:line="600" w:lineRule="exact"/>
        <w:jc w:val="center"/>
        <w:outlineLvl w:val="0"/>
        <w:rPr>
          <w:rFonts w:ascii="仿宋" w:hAnsi="仿宋" w:eastAsia="仿宋"/>
        </w:rPr>
      </w:pPr>
      <w:r>
        <w:rPr>
          <w:rFonts w:hint="eastAsia" w:ascii="黑体" w:hAnsi="黑体" w:eastAsia="黑体"/>
          <w:sz w:val="44"/>
          <w:szCs w:val="44"/>
        </w:rPr>
        <w:t>第</w:t>
      </w:r>
      <w:r>
        <w:rPr>
          <w:rStyle w:val="32"/>
          <w:rFonts w:hint="eastAsia" w:ascii="黑体" w:hAnsi="黑体" w:eastAsia="黑体"/>
          <w:b w:val="0"/>
        </w:rPr>
        <w:t>五部分 附表</w:t>
      </w:r>
      <w:bookmarkEnd w:id="55"/>
      <w:bookmarkEnd w:id="62"/>
      <w:bookmarkStart w:id="65" w:name="_Toc15396619"/>
    </w:p>
    <w:p w14:paraId="58BD2F66">
      <w:pPr>
        <w:pStyle w:val="5"/>
        <w:rPr>
          <w:rFonts w:ascii="仿宋" w:hAnsi="仿宋" w:eastAsia="仿宋"/>
        </w:rPr>
      </w:pPr>
      <w:r>
        <w:rPr>
          <w:rFonts w:hint="eastAsia" w:ascii="仿宋" w:hAnsi="仿宋" w:eastAsia="仿宋"/>
          <w:b w:val="0"/>
        </w:rPr>
        <w:t>一、收</w:t>
      </w:r>
      <w:r>
        <w:rPr>
          <w:rStyle w:val="33"/>
          <w:rFonts w:hint="eastAsia" w:ascii="仿宋" w:hAnsi="仿宋" w:eastAsia="仿宋"/>
          <w:b w:val="0"/>
          <w:bCs w:val="0"/>
        </w:rPr>
        <w:t>入支出决算总表</w:t>
      </w:r>
      <w:bookmarkEnd w:id="65"/>
    </w:p>
    <w:p w14:paraId="1ED6226B">
      <w:pPr>
        <w:pStyle w:val="5"/>
        <w:rPr>
          <w:rFonts w:ascii="仿宋" w:hAnsi="仿宋" w:eastAsia="仿宋"/>
        </w:rPr>
      </w:pPr>
      <w:bookmarkStart w:id="66" w:name="_Toc15396620"/>
      <w:r>
        <w:rPr>
          <w:rFonts w:hint="eastAsia" w:ascii="仿宋" w:hAnsi="仿宋" w:eastAsia="仿宋"/>
          <w:b w:val="0"/>
        </w:rPr>
        <w:t>二、收</w:t>
      </w:r>
      <w:r>
        <w:rPr>
          <w:rStyle w:val="33"/>
          <w:rFonts w:hint="eastAsia" w:ascii="仿宋" w:hAnsi="仿宋" w:eastAsia="仿宋"/>
          <w:b w:val="0"/>
          <w:bCs w:val="0"/>
        </w:rPr>
        <w:t>入决算表</w:t>
      </w:r>
      <w:bookmarkEnd w:id="66"/>
    </w:p>
    <w:p w14:paraId="30CA9A29">
      <w:pPr>
        <w:pStyle w:val="5"/>
        <w:rPr>
          <w:rFonts w:ascii="仿宋" w:hAnsi="仿宋" w:eastAsia="仿宋"/>
        </w:rPr>
      </w:pPr>
      <w:bookmarkStart w:id="67" w:name="_Toc15396621"/>
      <w:r>
        <w:rPr>
          <w:rStyle w:val="33"/>
          <w:rFonts w:hint="eastAsia" w:ascii="仿宋" w:hAnsi="仿宋" w:eastAsia="仿宋"/>
          <w:b w:val="0"/>
          <w:bCs w:val="0"/>
        </w:rPr>
        <w:t>三、</w:t>
      </w:r>
      <w:r>
        <w:rPr>
          <w:rFonts w:hint="eastAsia" w:ascii="仿宋" w:hAnsi="仿宋" w:eastAsia="仿宋"/>
          <w:b w:val="0"/>
        </w:rPr>
        <w:t>支</w:t>
      </w:r>
      <w:r>
        <w:rPr>
          <w:rStyle w:val="33"/>
          <w:rFonts w:hint="eastAsia" w:ascii="仿宋" w:hAnsi="仿宋" w:eastAsia="仿宋"/>
          <w:b w:val="0"/>
          <w:bCs w:val="0"/>
        </w:rPr>
        <w:t>出决算表</w:t>
      </w:r>
      <w:bookmarkEnd w:id="67"/>
    </w:p>
    <w:p w14:paraId="41143927">
      <w:pPr>
        <w:pStyle w:val="5"/>
        <w:rPr>
          <w:rFonts w:ascii="仿宋" w:hAnsi="仿宋" w:eastAsia="仿宋"/>
          <w:b w:val="0"/>
        </w:rPr>
      </w:pPr>
      <w:bookmarkStart w:id="68" w:name="_Toc15396622"/>
      <w:r>
        <w:rPr>
          <w:rStyle w:val="33"/>
          <w:rFonts w:hint="eastAsia" w:ascii="仿宋" w:hAnsi="仿宋" w:eastAsia="仿宋"/>
          <w:b w:val="0"/>
          <w:bCs w:val="0"/>
        </w:rPr>
        <w:t>四、</w:t>
      </w:r>
      <w:r>
        <w:rPr>
          <w:rFonts w:hint="eastAsia" w:ascii="仿宋" w:hAnsi="仿宋" w:eastAsia="仿宋"/>
          <w:b w:val="0"/>
        </w:rPr>
        <w:t>财</w:t>
      </w:r>
      <w:r>
        <w:rPr>
          <w:rStyle w:val="33"/>
          <w:rFonts w:hint="eastAsia" w:ascii="仿宋" w:hAnsi="仿宋" w:eastAsia="仿宋"/>
          <w:b w:val="0"/>
          <w:bCs w:val="0"/>
        </w:rPr>
        <w:t>政拨款收入支出决算总表</w:t>
      </w:r>
      <w:bookmarkEnd w:id="68"/>
    </w:p>
    <w:p w14:paraId="06208059">
      <w:pPr>
        <w:pStyle w:val="5"/>
        <w:rPr>
          <w:rStyle w:val="33"/>
          <w:rFonts w:ascii="仿宋" w:hAnsi="仿宋" w:eastAsia="仿宋"/>
          <w:b w:val="0"/>
          <w:bCs w:val="0"/>
        </w:rPr>
      </w:pPr>
      <w:bookmarkStart w:id="69" w:name="_Toc15396623"/>
      <w:r>
        <w:rPr>
          <w:rStyle w:val="33"/>
          <w:rFonts w:hint="eastAsia" w:ascii="仿宋" w:hAnsi="仿宋" w:eastAsia="仿宋"/>
          <w:b w:val="0"/>
          <w:bCs w:val="0"/>
        </w:rPr>
        <w:t>五、</w:t>
      </w:r>
      <w:r>
        <w:rPr>
          <w:rFonts w:hint="eastAsia" w:ascii="仿宋" w:hAnsi="仿宋" w:eastAsia="仿宋"/>
          <w:b w:val="0"/>
        </w:rPr>
        <w:t>财</w:t>
      </w:r>
      <w:r>
        <w:rPr>
          <w:rStyle w:val="33"/>
          <w:rFonts w:hint="eastAsia" w:ascii="仿宋" w:hAnsi="仿宋" w:eastAsia="仿宋"/>
          <w:b w:val="0"/>
          <w:bCs w:val="0"/>
        </w:rPr>
        <w:t>政拨款支出决算明细表</w:t>
      </w:r>
      <w:bookmarkEnd w:id="69"/>
      <w:bookmarkStart w:id="70" w:name="_Toc15396624"/>
    </w:p>
    <w:p w14:paraId="653875A9">
      <w:pPr>
        <w:pStyle w:val="5"/>
        <w:rPr>
          <w:rFonts w:ascii="仿宋" w:hAnsi="仿宋" w:eastAsia="仿宋"/>
        </w:rPr>
      </w:pPr>
      <w:r>
        <w:rPr>
          <w:rStyle w:val="33"/>
          <w:rFonts w:hint="eastAsia" w:ascii="仿宋" w:hAnsi="仿宋" w:eastAsia="仿宋"/>
          <w:b w:val="0"/>
          <w:bCs w:val="0"/>
        </w:rPr>
        <w:t>六、</w:t>
      </w:r>
      <w:r>
        <w:rPr>
          <w:rFonts w:hint="eastAsia" w:ascii="仿宋" w:hAnsi="仿宋" w:eastAsia="仿宋"/>
          <w:b w:val="0"/>
        </w:rPr>
        <w:t>一</w:t>
      </w:r>
      <w:r>
        <w:rPr>
          <w:rStyle w:val="33"/>
          <w:rFonts w:hint="eastAsia" w:ascii="仿宋" w:hAnsi="仿宋" w:eastAsia="仿宋"/>
          <w:b w:val="0"/>
          <w:bCs w:val="0"/>
        </w:rPr>
        <w:t>般公共预算财政拨款支出决算表</w:t>
      </w:r>
      <w:bookmarkEnd w:id="70"/>
    </w:p>
    <w:p w14:paraId="285AF2A6">
      <w:pPr>
        <w:pStyle w:val="5"/>
        <w:rPr>
          <w:rFonts w:ascii="仿宋" w:hAnsi="仿宋" w:eastAsia="仿宋"/>
        </w:rPr>
      </w:pPr>
      <w:bookmarkStart w:id="71" w:name="_Toc15396625"/>
      <w:r>
        <w:rPr>
          <w:rStyle w:val="33"/>
          <w:rFonts w:hint="eastAsia" w:ascii="仿宋" w:hAnsi="仿宋" w:eastAsia="仿宋"/>
          <w:b w:val="0"/>
          <w:bCs w:val="0"/>
        </w:rPr>
        <w:t>七、</w:t>
      </w:r>
      <w:r>
        <w:rPr>
          <w:rFonts w:hint="eastAsia" w:ascii="仿宋" w:hAnsi="仿宋" w:eastAsia="仿宋"/>
          <w:b w:val="0"/>
        </w:rPr>
        <w:t>一</w:t>
      </w:r>
      <w:r>
        <w:rPr>
          <w:rStyle w:val="33"/>
          <w:rFonts w:hint="eastAsia" w:ascii="仿宋" w:hAnsi="仿宋" w:eastAsia="仿宋"/>
          <w:b w:val="0"/>
          <w:bCs w:val="0"/>
        </w:rPr>
        <w:t>般公共预算财政拨款支出决算明细表</w:t>
      </w:r>
      <w:bookmarkEnd w:id="71"/>
    </w:p>
    <w:p w14:paraId="5DACD86E">
      <w:pPr>
        <w:pStyle w:val="5"/>
        <w:rPr>
          <w:rFonts w:ascii="仿宋" w:hAnsi="仿宋" w:eastAsia="仿宋"/>
        </w:rPr>
      </w:pPr>
      <w:bookmarkStart w:id="72" w:name="_Toc15396626"/>
      <w:r>
        <w:rPr>
          <w:rStyle w:val="33"/>
          <w:rFonts w:hint="eastAsia" w:ascii="仿宋" w:hAnsi="仿宋" w:eastAsia="仿宋"/>
          <w:b w:val="0"/>
          <w:bCs w:val="0"/>
        </w:rPr>
        <w:t>八、</w:t>
      </w:r>
      <w:r>
        <w:rPr>
          <w:rFonts w:hint="eastAsia" w:ascii="仿宋" w:hAnsi="仿宋" w:eastAsia="仿宋"/>
          <w:b w:val="0"/>
        </w:rPr>
        <w:t>一</w:t>
      </w:r>
      <w:r>
        <w:rPr>
          <w:rStyle w:val="33"/>
          <w:rFonts w:hint="eastAsia" w:ascii="仿宋" w:hAnsi="仿宋" w:eastAsia="仿宋"/>
          <w:b w:val="0"/>
          <w:bCs w:val="0"/>
        </w:rPr>
        <w:t>般公共预算财政拨款基本支出决算表</w:t>
      </w:r>
      <w:bookmarkEnd w:id="72"/>
    </w:p>
    <w:p w14:paraId="0CE743F5">
      <w:pPr>
        <w:pStyle w:val="5"/>
        <w:rPr>
          <w:rFonts w:ascii="仿宋" w:hAnsi="仿宋" w:eastAsia="仿宋"/>
        </w:rPr>
      </w:pPr>
      <w:bookmarkStart w:id="73" w:name="_Toc15396627"/>
      <w:r>
        <w:rPr>
          <w:rStyle w:val="33"/>
          <w:rFonts w:hint="eastAsia" w:ascii="仿宋" w:hAnsi="仿宋" w:eastAsia="仿宋"/>
          <w:b w:val="0"/>
          <w:bCs w:val="0"/>
        </w:rPr>
        <w:t>九、</w:t>
      </w:r>
      <w:r>
        <w:rPr>
          <w:rFonts w:hint="eastAsia" w:ascii="仿宋" w:hAnsi="仿宋" w:eastAsia="仿宋"/>
          <w:b w:val="0"/>
        </w:rPr>
        <w:t>一</w:t>
      </w:r>
      <w:r>
        <w:rPr>
          <w:rStyle w:val="33"/>
          <w:rFonts w:hint="eastAsia" w:ascii="仿宋" w:hAnsi="仿宋" w:eastAsia="仿宋"/>
          <w:b w:val="0"/>
          <w:bCs w:val="0"/>
        </w:rPr>
        <w:t>般公共预算财政拨款项目支出决算表</w:t>
      </w:r>
      <w:bookmarkEnd w:id="73"/>
    </w:p>
    <w:p w14:paraId="3D32BBCB">
      <w:pPr>
        <w:pStyle w:val="5"/>
        <w:rPr>
          <w:rFonts w:ascii="仿宋" w:hAnsi="仿宋" w:eastAsia="仿宋"/>
        </w:rPr>
      </w:pPr>
      <w:bookmarkStart w:id="74" w:name="_Toc15396628"/>
      <w:r>
        <w:rPr>
          <w:rStyle w:val="33"/>
          <w:rFonts w:hint="eastAsia" w:ascii="仿宋" w:hAnsi="仿宋" w:eastAsia="仿宋"/>
          <w:b w:val="0"/>
          <w:bCs w:val="0"/>
        </w:rPr>
        <w:t>十、</w:t>
      </w:r>
      <w:bookmarkEnd w:id="74"/>
      <w:r>
        <w:rPr>
          <w:rFonts w:hint="eastAsia" w:ascii="仿宋" w:hAnsi="仿宋" w:eastAsia="仿宋"/>
          <w:b w:val="0"/>
        </w:rPr>
        <w:t>政</w:t>
      </w:r>
      <w:r>
        <w:rPr>
          <w:rStyle w:val="33"/>
          <w:rFonts w:hint="eastAsia" w:ascii="仿宋" w:hAnsi="仿宋" w:eastAsia="仿宋"/>
          <w:b w:val="0"/>
          <w:bCs w:val="0"/>
        </w:rPr>
        <w:t>府性基金预算财政拨款收入支出决算表</w:t>
      </w:r>
    </w:p>
    <w:p w14:paraId="6E24C850">
      <w:pPr>
        <w:pStyle w:val="5"/>
        <w:rPr>
          <w:rFonts w:ascii="仿宋" w:hAnsi="仿宋" w:eastAsia="仿宋"/>
        </w:rPr>
      </w:pPr>
      <w:bookmarkStart w:id="75" w:name="_Toc15396629"/>
      <w:r>
        <w:rPr>
          <w:rStyle w:val="33"/>
          <w:rFonts w:hint="eastAsia" w:ascii="仿宋" w:hAnsi="仿宋" w:eastAsia="仿宋"/>
          <w:b w:val="0"/>
          <w:bCs w:val="0"/>
        </w:rPr>
        <w:t>十一、</w:t>
      </w:r>
      <w:bookmarkEnd w:id="75"/>
      <w:r>
        <w:rPr>
          <w:rFonts w:hint="eastAsia" w:ascii="仿宋" w:hAnsi="仿宋" w:eastAsia="仿宋"/>
          <w:b w:val="0"/>
        </w:rPr>
        <w:t>国</w:t>
      </w:r>
      <w:r>
        <w:rPr>
          <w:rStyle w:val="33"/>
          <w:rFonts w:hint="eastAsia" w:ascii="仿宋" w:hAnsi="仿宋" w:eastAsia="仿宋"/>
          <w:b w:val="0"/>
          <w:bCs w:val="0"/>
        </w:rPr>
        <w:t>有资本经营预算财政拨款收入支出决算表</w:t>
      </w:r>
    </w:p>
    <w:p w14:paraId="12261321">
      <w:pPr>
        <w:pStyle w:val="5"/>
        <w:rPr>
          <w:rFonts w:ascii="仿宋" w:hAnsi="仿宋" w:eastAsia="仿宋"/>
        </w:rPr>
      </w:pPr>
      <w:bookmarkStart w:id="76" w:name="_Toc15396630"/>
      <w:r>
        <w:rPr>
          <w:rStyle w:val="33"/>
          <w:rFonts w:hint="eastAsia" w:ascii="仿宋" w:hAnsi="仿宋" w:eastAsia="仿宋"/>
          <w:b w:val="0"/>
          <w:bCs w:val="0"/>
        </w:rPr>
        <w:t>十二、</w:t>
      </w:r>
      <w:bookmarkEnd w:id="76"/>
      <w:r>
        <w:rPr>
          <w:rStyle w:val="33"/>
          <w:rFonts w:hint="eastAsia" w:ascii="仿宋" w:hAnsi="仿宋" w:eastAsia="仿宋"/>
          <w:b w:val="0"/>
          <w:bCs w:val="0"/>
        </w:rPr>
        <w:t>国有资本经营预算财政拨款支出决算表</w:t>
      </w:r>
    </w:p>
    <w:p w14:paraId="1CD2F4BC">
      <w:pPr>
        <w:pStyle w:val="5"/>
        <w:rPr>
          <w:rFonts w:eastAsia="仿宋"/>
        </w:rPr>
      </w:pPr>
      <w:bookmarkStart w:id="77" w:name="_Toc15396631"/>
      <w:r>
        <w:rPr>
          <w:rStyle w:val="33"/>
          <w:rFonts w:hint="eastAsia" w:ascii="仿宋" w:hAnsi="仿宋" w:eastAsia="仿宋"/>
          <w:b w:val="0"/>
          <w:bCs w:val="0"/>
        </w:rPr>
        <w:t>十三、</w:t>
      </w:r>
      <w:bookmarkEnd w:id="77"/>
      <w:r>
        <w:rPr>
          <w:rStyle w:val="33"/>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4B1AA1F4">
    <w:panose1 w:val="02000000000000000000"/>
    <w:charset w:val="86"/>
    <w:family w:val="auto"/>
    <w:pitch w:val="default"/>
    <w:sig w:usb0="00000001" w:usb1="00000000" w:usb2="00000000" w:usb3="00000000" w:csb0="00040001" w:csb1="00000000"/>
  </w:font>
  <w:font w:name="KSOFABDC8F89">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A95D792">
        <w:pPr>
          <w:pStyle w:val="12"/>
          <w:jc w:val="center"/>
        </w:pPr>
        <w:r>
          <w:fldChar w:fldCharType="begin"/>
        </w:r>
        <w:r>
          <w:instrText xml:space="preserve">PAGE   \* MERGEFORMAT</w:instrText>
        </w:r>
        <w:r>
          <w:fldChar w:fldCharType="separate"/>
        </w:r>
        <w:r>
          <w:rPr>
            <w:lang w:val="zh-CN"/>
          </w:rPr>
          <w:t>17</w:t>
        </w:r>
        <w:r>
          <w:fldChar w:fldCharType="end"/>
        </w:r>
      </w:p>
    </w:sdtContent>
  </w:sdt>
  <w:p w14:paraId="32E29FE1">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5490F">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E6EE0"/>
    <w:multiLevelType w:val="singleLevel"/>
    <w:tmpl w:val="96FE6EE0"/>
    <w:lvl w:ilvl="0" w:tentative="0">
      <w:start w:val="3"/>
      <w:numFmt w:val="chineseCounting"/>
      <w:suff w:val="nothing"/>
      <w:lvlText w:val="（%1）"/>
      <w:lvlJc w:val="left"/>
      <w:rPr>
        <w:rFonts w:hint="eastAsia"/>
      </w:rPr>
    </w:lvl>
  </w:abstractNum>
  <w:abstractNum w:abstractNumId="1">
    <w:nsid w:val="A73A2D8F"/>
    <w:multiLevelType w:val="singleLevel"/>
    <w:tmpl w:val="A73A2D8F"/>
    <w:lvl w:ilvl="0" w:tentative="0">
      <w:start w:val="2"/>
      <w:numFmt w:val="decimal"/>
      <w:suff w:val="nothing"/>
      <w:lvlText w:val="（%1）"/>
      <w:lvlJc w:val="left"/>
    </w:lvl>
  </w:abstractNum>
  <w:abstractNum w:abstractNumId="2">
    <w:nsid w:val="C75D1505"/>
    <w:multiLevelType w:val="singleLevel"/>
    <w:tmpl w:val="C75D1505"/>
    <w:lvl w:ilvl="0" w:tentative="0">
      <w:start w:val="2"/>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D8E84617"/>
    <w:multiLevelType w:val="singleLevel"/>
    <w:tmpl w:val="D8E84617"/>
    <w:lvl w:ilvl="0" w:tentative="0">
      <w:start w:val="2"/>
      <w:numFmt w:val="chineseCounting"/>
      <w:suff w:val="nothing"/>
      <w:lvlText w:val="（%1）"/>
      <w:lvlJc w:val="left"/>
      <w:rPr>
        <w:rFonts w:hint="eastAsia"/>
        <w:b/>
        <w:bCs/>
      </w:rPr>
    </w:lvl>
  </w:abstractNum>
  <w:abstractNum w:abstractNumId="5">
    <w:nsid w:val="E2FA047D"/>
    <w:multiLevelType w:val="singleLevel"/>
    <w:tmpl w:val="E2FA047D"/>
    <w:lvl w:ilvl="0" w:tentative="0">
      <w:start w:val="3"/>
      <w:numFmt w:val="chineseCounting"/>
      <w:suff w:val="space"/>
      <w:lvlText w:val="第%1部分"/>
      <w:lvlJc w:val="left"/>
      <w:rPr>
        <w:rFonts w:hint="eastAsia"/>
      </w:rPr>
    </w:lvl>
  </w:abstractNum>
  <w:abstractNum w:abstractNumId="6">
    <w:nsid w:val="EB7F333B"/>
    <w:multiLevelType w:val="singleLevel"/>
    <w:tmpl w:val="EB7F333B"/>
    <w:lvl w:ilvl="0" w:tentative="0">
      <w:start w:val="3"/>
      <w:numFmt w:val="decimal"/>
      <w:suff w:val="nothing"/>
      <w:lvlText w:val="%1．"/>
      <w:lvlJc w:val="left"/>
      <w:pPr>
        <w:ind w:left="0" w:firstLine="0"/>
      </w:pPr>
    </w:lvl>
  </w:abstractNum>
  <w:abstractNum w:abstractNumId="7">
    <w:nsid w:val="EE72F5BE"/>
    <w:multiLevelType w:val="singleLevel"/>
    <w:tmpl w:val="EE72F5BE"/>
    <w:lvl w:ilvl="0" w:tentative="0">
      <w:start w:val="2"/>
      <w:numFmt w:val="decimal"/>
      <w:suff w:val="space"/>
      <w:lvlText w:val="%1."/>
      <w:lvlJc w:val="left"/>
    </w:lvl>
  </w:abstractNum>
  <w:abstractNum w:abstractNumId="8">
    <w:nsid w:val="FFF674BC"/>
    <w:multiLevelType w:val="singleLevel"/>
    <w:tmpl w:val="FFF674BC"/>
    <w:lvl w:ilvl="0" w:tentative="0">
      <w:start w:val="1"/>
      <w:numFmt w:val="chineseCounting"/>
      <w:suff w:val="nothing"/>
      <w:lvlText w:val="%1、"/>
      <w:lvlJc w:val="left"/>
      <w:rPr>
        <w:rFonts w:hint="eastAsia"/>
      </w:rPr>
    </w:lvl>
  </w:abstractNum>
  <w:abstractNum w:abstractNumId="9">
    <w:nsid w:val="02D0801A"/>
    <w:multiLevelType w:val="singleLevel"/>
    <w:tmpl w:val="02D0801A"/>
    <w:lvl w:ilvl="0" w:tentative="0">
      <w:start w:val="2"/>
      <w:numFmt w:val="decimal"/>
      <w:suff w:val="nothing"/>
      <w:lvlText w:val="%1．"/>
      <w:lvlJc w:val="left"/>
    </w:lvl>
  </w:abstractNum>
  <w:abstractNum w:abstractNumId="10">
    <w:nsid w:val="0465E84B"/>
    <w:multiLevelType w:val="singleLevel"/>
    <w:tmpl w:val="0465E84B"/>
    <w:lvl w:ilvl="0" w:tentative="0">
      <w:start w:val="2"/>
      <w:numFmt w:val="chineseCounting"/>
      <w:suff w:val="nothing"/>
      <w:lvlText w:val="（%1）"/>
      <w:lvlJc w:val="left"/>
      <w:rPr>
        <w:rFonts w:hint="eastAsia"/>
      </w:rPr>
    </w:lvl>
  </w:abstractNum>
  <w:abstractNum w:abstractNumId="11">
    <w:nsid w:val="0FD16D87"/>
    <w:multiLevelType w:val="multilevel"/>
    <w:tmpl w:val="0FD16D87"/>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2462CB5"/>
    <w:multiLevelType w:val="multilevel"/>
    <w:tmpl w:val="42462CB5"/>
    <w:lvl w:ilvl="0" w:tentative="0">
      <w:start w:val="1"/>
      <w:numFmt w:val="japaneseCounting"/>
      <w:lvlText w:val="（%1）"/>
      <w:lvlJc w:val="left"/>
      <w:pPr>
        <w:ind w:left="1725" w:hanging="1005"/>
      </w:pPr>
      <w:rPr>
        <w:rFonts w:hint="default" w:ascii="楷体_GB2312" w:eastAsia="楷体_GB2312"/>
        <w:b/>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3">
    <w:nsid w:val="6EAB1FB7"/>
    <w:multiLevelType w:val="singleLevel"/>
    <w:tmpl w:val="6EAB1FB7"/>
    <w:lvl w:ilvl="0" w:tentative="0">
      <w:start w:val="2"/>
      <w:numFmt w:val="chineseCounting"/>
      <w:suff w:val="nothing"/>
      <w:lvlText w:val="（%1）"/>
      <w:lvlJc w:val="left"/>
      <w:rPr>
        <w:rFonts w:hint="eastAsia"/>
      </w:rPr>
    </w:lvl>
  </w:abstractNum>
  <w:abstractNum w:abstractNumId="14">
    <w:nsid w:val="7FD677F2"/>
    <w:multiLevelType w:val="singleLevel"/>
    <w:tmpl w:val="7FD677F2"/>
    <w:lvl w:ilvl="0" w:tentative="0">
      <w:start w:val="2"/>
      <w:numFmt w:val="chineseCounting"/>
      <w:suff w:val="nothing"/>
      <w:lvlText w:val="（%1）"/>
      <w:lvlJc w:val="left"/>
      <w:rPr>
        <w:rFonts w:hint="eastAsia"/>
      </w:rPr>
    </w:lvl>
  </w:abstractNum>
  <w:abstractNum w:abstractNumId="15">
    <w:nsid w:val="7FF919CF"/>
    <w:multiLevelType w:val="singleLevel"/>
    <w:tmpl w:val="7FF919CF"/>
    <w:lvl w:ilvl="0" w:tentative="0">
      <w:start w:val="1"/>
      <w:numFmt w:val="chineseCounting"/>
      <w:suff w:val="nothing"/>
      <w:lvlText w:val="（%1）"/>
      <w:lvlJc w:val="left"/>
      <w:pPr>
        <w:ind w:left="0" w:firstLine="0"/>
      </w:pPr>
      <w:rPr>
        <w:rFonts w:hint="eastAsia"/>
      </w:rPr>
    </w:lvl>
  </w:abstractNum>
  <w:num w:numId="1">
    <w:abstractNumId w:val="11"/>
  </w:num>
  <w:num w:numId="2">
    <w:abstractNumId w:val="3"/>
  </w:num>
  <w:num w:numId="3">
    <w:abstractNumId w:val="5"/>
  </w:num>
  <w:num w:numId="4">
    <w:abstractNumId w:val="8"/>
  </w:num>
  <w:num w:numId="5">
    <w:abstractNumId w:val="7"/>
  </w:num>
  <w:num w:numId="6">
    <w:abstractNumId w:val="1"/>
  </w:num>
  <w:num w:numId="7">
    <w:abstractNumId w:val="0"/>
  </w:num>
  <w:num w:numId="8">
    <w:abstractNumId w:val="14"/>
  </w:num>
  <w:num w:numId="9">
    <w:abstractNumId w:val="13"/>
  </w:num>
  <w:num w:numId="10">
    <w:abstractNumId w:val="15"/>
  </w:num>
  <w:num w:numId="11">
    <w:abstractNumId w:val="6"/>
  </w:num>
  <w:num w:numId="12">
    <w:abstractNumId w:val="12"/>
  </w:num>
  <w:num w:numId="13">
    <w:abstractNumId w:val="4"/>
  </w:num>
  <w:num w:numId="14">
    <w:abstractNumId w:val="9"/>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6D0C"/>
    <w:rsid w:val="00142216"/>
    <w:rsid w:val="00144D6A"/>
    <w:rsid w:val="0014729F"/>
    <w:rsid w:val="00157BAB"/>
    <w:rsid w:val="001654D1"/>
    <w:rsid w:val="00174518"/>
    <w:rsid w:val="0018106D"/>
    <w:rsid w:val="001877A7"/>
    <w:rsid w:val="00191536"/>
    <w:rsid w:val="00196687"/>
    <w:rsid w:val="001C0962"/>
    <w:rsid w:val="001D7531"/>
    <w:rsid w:val="001E2FF1"/>
    <w:rsid w:val="001E737D"/>
    <w:rsid w:val="001F0592"/>
    <w:rsid w:val="001F7506"/>
    <w:rsid w:val="002006CD"/>
    <w:rsid w:val="00202B36"/>
    <w:rsid w:val="00204B7A"/>
    <w:rsid w:val="00204CDE"/>
    <w:rsid w:val="0021101A"/>
    <w:rsid w:val="00217081"/>
    <w:rsid w:val="00220536"/>
    <w:rsid w:val="00235629"/>
    <w:rsid w:val="00247B82"/>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46E63"/>
    <w:rsid w:val="0046709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5E15"/>
    <w:rsid w:val="005664BB"/>
    <w:rsid w:val="00566FFA"/>
    <w:rsid w:val="0057481D"/>
    <w:rsid w:val="0058486E"/>
    <w:rsid w:val="00585B33"/>
    <w:rsid w:val="0059014D"/>
    <w:rsid w:val="005B5C64"/>
    <w:rsid w:val="005B67C6"/>
    <w:rsid w:val="005C5337"/>
    <w:rsid w:val="005C6BD0"/>
    <w:rsid w:val="005D1C8B"/>
    <w:rsid w:val="005D468D"/>
    <w:rsid w:val="005D5CED"/>
    <w:rsid w:val="005D7D8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280B"/>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3DCE"/>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4DB6"/>
    <w:rsid w:val="009F1185"/>
    <w:rsid w:val="009F18CD"/>
    <w:rsid w:val="009F2A13"/>
    <w:rsid w:val="009F5540"/>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F0A5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2575"/>
    <w:rsid w:val="00C533CC"/>
    <w:rsid w:val="00C5751C"/>
    <w:rsid w:val="00C61BFC"/>
    <w:rsid w:val="00C62B85"/>
    <w:rsid w:val="00C65438"/>
    <w:rsid w:val="00C87FD8"/>
    <w:rsid w:val="00C91381"/>
    <w:rsid w:val="00C91CBB"/>
    <w:rsid w:val="00CB4E70"/>
    <w:rsid w:val="00CC09B6"/>
    <w:rsid w:val="00CC666F"/>
    <w:rsid w:val="00CC6BAC"/>
    <w:rsid w:val="00CD1E3F"/>
    <w:rsid w:val="00CE44F6"/>
    <w:rsid w:val="00CE49DA"/>
    <w:rsid w:val="00CE7B61"/>
    <w:rsid w:val="00D00095"/>
    <w:rsid w:val="00D114F0"/>
    <w:rsid w:val="00D20620"/>
    <w:rsid w:val="00D254F7"/>
    <w:rsid w:val="00D26091"/>
    <w:rsid w:val="00D2685C"/>
    <w:rsid w:val="00D34E7C"/>
    <w:rsid w:val="00D34F17"/>
    <w:rsid w:val="00D35489"/>
    <w:rsid w:val="00D36AFE"/>
    <w:rsid w:val="00D51276"/>
    <w:rsid w:val="00D7035F"/>
    <w:rsid w:val="00DA634F"/>
    <w:rsid w:val="00DA65AC"/>
    <w:rsid w:val="00DB1913"/>
    <w:rsid w:val="00DC410D"/>
    <w:rsid w:val="00DC4B63"/>
    <w:rsid w:val="00DC5A81"/>
    <w:rsid w:val="00DC68CA"/>
    <w:rsid w:val="00DC7CBA"/>
    <w:rsid w:val="00DD73B7"/>
    <w:rsid w:val="00DF06E2"/>
    <w:rsid w:val="00DF28BC"/>
    <w:rsid w:val="00DF34B9"/>
    <w:rsid w:val="00E01053"/>
    <w:rsid w:val="00E07ACF"/>
    <w:rsid w:val="00E22135"/>
    <w:rsid w:val="00E331A1"/>
    <w:rsid w:val="00E33202"/>
    <w:rsid w:val="00E336A9"/>
    <w:rsid w:val="00E472B1"/>
    <w:rsid w:val="00E50624"/>
    <w:rsid w:val="00E5285B"/>
    <w:rsid w:val="00E568DF"/>
    <w:rsid w:val="00E64269"/>
    <w:rsid w:val="00E82267"/>
    <w:rsid w:val="00E853CE"/>
    <w:rsid w:val="00E867B6"/>
    <w:rsid w:val="00EA010F"/>
    <w:rsid w:val="00ED1B63"/>
    <w:rsid w:val="00ED3C1F"/>
    <w:rsid w:val="00ED4085"/>
    <w:rsid w:val="00ED420E"/>
    <w:rsid w:val="00ED6FBE"/>
    <w:rsid w:val="00EE2F57"/>
    <w:rsid w:val="00EF39C0"/>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A2032A3"/>
    <w:rsid w:val="0DEF5555"/>
    <w:rsid w:val="0EDF7D6E"/>
    <w:rsid w:val="0F98263C"/>
    <w:rsid w:val="101860EC"/>
    <w:rsid w:val="10C055FF"/>
    <w:rsid w:val="118107EC"/>
    <w:rsid w:val="13D50BC4"/>
    <w:rsid w:val="16BB723D"/>
    <w:rsid w:val="19AFF529"/>
    <w:rsid w:val="19B94AD2"/>
    <w:rsid w:val="19FE927F"/>
    <w:rsid w:val="1BE8440E"/>
    <w:rsid w:val="1D155CEE"/>
    <w:rsid w:val="1DCFA9ED"/>
    <w:rsid w:val="1FBE4788"/>
    <w:rsid w:val="1FD52FE3"/>
    <w:rsid w:val="1FF35744"/>
    <w:rsid w:val="23860B96"/>
    <w:rsid w:val="240371BF"/>
    <w:rsid w:val="29FD04D3"/>
    <w:rsid w:val="2BFC06E9"/>
    <w:rsid w:val="2C8A61B5"/>
    <w:rsid w:val="2DF04E50"/>
    <w:rsid w:val="2F040D46"/>
    <w:rsid w:val="2FF73443"/>
    <w:rsid w:val="319F7F4E"/>
    <w:rsid w:val="3304709D"/>
    <w:rsid w:val="355BE589"/>
    <w:rsid w:val="36AA5135"/>
    <w:rsid w:val="376D39B2"/>
    <w:rsid w:val="377B9561"/>
    <w:rsid w:val="37E16F03"/>
    <w:rsid w:val="38D469F0"/>
    <w:rsid w:val="3D32B6D7"/>
    <w:rsid w:val="3D98207C"/>
    <w:rsid w:val="3E78745D"/>
    <w:rsid w:val="3E7D4C7B"/>
    <w:rsid w:val="3F250846"/>
    <w:rsid w:val="3FDFF187"/>
    <w:rsid w:val="3FEFCE76"/>
    <w:rsid w:val="44E268DA"/>
    <w:rsid w:val="47C71564"/>
    <w:rsid w:val="4A627F82"/>
    <w:rsid w:val="4B0E749A"/>
    <w:rsid w:val="4B4F25DA"/>
    <w:rsid w:val="4BE068DB"/>
    <w:rsid w:val="4D577224"/>
    <w:rsid w:val="4EAB630A"/>
    <w:rsid w:val="4ECE2238"/>
    <w:rsid w:val="537E6D0A"/>
    <w:rsid w:val="53EFC70E"/>
    <w:rsid w:val="53FF324B"/>
    <w:rsid w:val="56BDED3C"/>
    <w:rsid w:val="5AF92295"/>
    <w:rsid w:val="5CD71FC4"/>
    <w:rsid w:val="5D78B1FA"/>
    <w:rsid w:val="5F77245A"/>
    <w:rsid w:val="5F7F0C29"/>
    <w:rsid w:val="5FEF15CA"/>
    <w:rsid w:val="5FFF350F"/>
    <w:rsid w:val="5FFFCF4F"/>
    <w:rsid w:val="669D833E"/>
    <w:rsid w:val="67E1A121"/>
    <w:rsid w:val="67FE478C"/>
    <w:rsid w:val="6AFDBCA8"/>
    <w:rsid w:val="6AFE9425"/>
    <w:rsid w:val="6BE78A86"/>
    <w:rsid w:val="6C4A05C8"/>
    <w:rsid w:val="6C7E8ABF"/>
    <w:rsid w:val="6D7573CD"/>
    <w:rsid w:val="6E7E3605"/>
    <w:rsid w:val="6F3B115C"/>
    <w:rsid w:val="6FCB71A3"/>
    <w:rsid w:val="6FD7ADD9"/>
    <w:rsid w:val="6FF5CC65"/>
    <w:rsid w:val="70FE0B09"/>
    <w:rsid w:val="715C0E4B"/>
    <w:rsid w:val="71B73B05"/>
    <w:rsid w:val="723F0A99"/>
    <w:rsid w:val="72734D90"/>
    <w:rsid w:val="72DD4EC2"/>
    <w:rsid w:val="73AD73D5"/>
    <w:rsid w:val="73B6EB34"/>
    <w:rsid w:val="744731E5"/>
    <w:rsid w:val="75D98802"/>
    <w:rsid w:val="75F7D95C"/>
    <w:rsid w:val="76282257"/>
    <w:rsid w:val="76CB991C"/>
    <w:rsid w:val="76E3355F"/>
    <w:rsid w:val="773B43B5"/>
    <w:rsid w:val="778769C8"/>
    <w:rsid w:val="77F5ECF5"/>
    <w:rsid w:val="7967E477"/>
    <w:rsid w:val="79EE5BA4"/>
    <w:rsid w:val="7A894339"/>
    <w:rsid w:val="7BDFE9E5"/>
    <w:rsid w:val="7BF5FF04"/>
    <w:rsid w:val="7BFAE786"/>
    <w:rsid w:val="7BFF2E8F"/>
    <w:rsid w:val="7D67425D"/>
    <w:rsid w:val="7DDFAAC7"/>
    <w:rsid w:val="7DEF7C43"/>
    <w:rsid w:val="7DF525A2"/>
    <w:rsid w:val="7EBEBCCF"/>
    <w:rsid w:val="7EEF11D3"/>
    <w:rsid w:val="7EFF158F"/>
    <w:rsid w:val="7F3639FC"/>
    <w:rsid w:val="7F7F9067"/>
    <w:rsid w:val="7FA30C79"/>
    <w:rsid w:val="7FB7269E"/>
    <w:rsid w:val="7FBF465E"/>
    <w:rsid w:val="7FBFC050"/>
    <w:rsid w:val="7FBFD4BA"/>
    <w:rsid w:val="7FC96657"/>
    <w:rsid w:val="7FEE1B88"/>
    <w:rsid w:val="7FF35A37"/>
    <w:rsid w:val="7FF7D9FA"/>
    <w:rsid w:val="7FFF099A"/>
    <w:rsid w:val="9778C47E"/>
    <w:rsid w:val="9BDF6605"/>
    <w:rsid w:val="9DFFF6FE"/>
    <w:rsid w:val="9F743828"/>
    <w:rsid w:val="9FF2251F"/>
    <w:rsid w:val="A3BFE943"/>
    <w:rsid w:val="A3DF4B1E"/>
    <w:rsid w:val="AEBAFAF2"/>
    <w:rsid w:val="AEFD877A"/>
    <w:rsid w:val="AFF21A9D"/>
    <w:rsid w:val="B27FBC5D"/>
    <w:rsid w:val="B5B9D0BD"/>
    <w:rsid w:val="B7CF9091"/>
    <w:rsid w:val="BADDE7CD"/>
    <w:rsid w:val="BCEB2141"/>
    <w:rsid w:val="BEDF6279"/>
    <w:rsid w:val="BF7F575A"/>
    <w:rsid w:val="C3F48273"/>
    <w:rsid w:val="C48F1331"/>
    <w:rsid w:val="D1F662C5"/>
    <w:rsid w:val="D6FBA358"/>
    <w:rsid w:val="D77DC134"/>
    <w:rsid w:val="D7B6644F"/>
    <w:rsid w:val="D8D6DB89"/>
    <w:rsid w:val="DB6F4CAB"/>
    <w:rsid w:val="DC7F02DE"/>
    <w:rsid w:val="DDEFA57D"/>
    <w:rsid w:val="DF164923"/>
    <w:rsid w:val="DF6F9789"/>
    <w:rsid w:val="DFF5CF96"/>
    <w:rsid w:val="E7FD66FD"/>
    <w:rsid w:val="E9BE8CBC"/>
    <w:rsid w:val="EDFDF404"/>
    <w:rsid w:val="EF3FF525"/>
    <w:rsid w:val="EFFF94E6"/>
    <w:rsid w:val="F36CFBF2"/>
    <w:rsid w:val="F3AD370B"/>
    <w:rsid w:val="F5DFA42B"/>
    <w:rsid w:val="F5F95FF4"/>
    <w:rsid w:val="F6DE717B"/>
    <w:rsid w:val="F76D5F3F"/>
    <w:rsid w:val="F9DB3375"/>
    <w:rsid w:val="FAFFB9B8"/>
    <w:rsid w:val="FBCACC6E"/>
    <w:rsid w:val="FBE76DD0"/>
    <w:rsid w:val="FBFD8902"/>
    <w:rsid w:val="FBFD9E62"/>
    <w:rsid w:val="FBFF65AF"/>
    <w:rsid w:val="FBFF9E6D"/>
    <w:rsid w:val="FD37A028"/>
    <w:rsid w:val="FD8B475F"/>
    <w:rsid w:val="FDAD1E6F"/>
    <w:rsid w:val="FDC71462"/>
    <w:rsid w:val="FDF7FEB4"/>
    <w:rsid w:val="FDFF5584"/>
    <w:rsid w:val="FE663CC4"/>
    <w:rsid w:val="FEF924B3"/>
    <w:rsid w:val="FF1FF74C"/>
    <w:rsid w:val="FF53F675"/>
    <w:rsid w:val="FF5B8FCE"/>
    <w:rsid w:val="FF7F2B32"/>
    <w:rsid w:val="FFAE281F"/>
    <w:rsid w:val="FFB062CC"/>
    <w:rsid w:val="FFBB1DA3"/>
    <w:rsid w:val="FFD79DA1"/>
    <w:rsid w:val="FFE5C877"/>
    <w:rsid w:val="FFF38E0E"/>
    <w:rsid w:val="FFF3E1A2"/>
    <w:rsid w:val="FFFB7F3F"/>
    <w:rsid w:val="FFFD88A2"/>
    <w:rsid w:val="FFFDA9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0"/>
    <w:qFormat/>
    <w:uiPriority w:val="99"/>
    <w:pPr>
      <w:spacing w:beforeLines="30"/>
    </w:pPr>
    <w:rPr>
      <w:rFonts w:ascii="仿宋_GB2312" w:eastAsia="仿宋_GB2312"/>
      <w:kern w:val="0"/>
      <w:sz w:val="30"/>
    </w:rPr>
  </w:style>
  <w:style w:type="paragraph" w:customStyle="1" w:styleId="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7">
    <w:name w:val="Normal Indent"/>
    <w:basedOn w:val="1"/>
    <w:qFormat/>
    <w:uiPriority w:val="0"/>
    <w:pPr>
      <w:suppressAutoHyphens/>
    </w:pPr>
    <w:rPr>
      <w:rFonts w:ascii="Calibri" w:hAnsi="Calibri"/>
    </w:rPr>
  </w:style>
  <w:style w:type="paragraph" w:styleId="8">
    <w:name w:val="Body Text Indent"/>
    <w:basedOn w:val="1"/>
    <w:qFormat/>
    <w:uiPriority w:val="0"/>
    <w:pPr>
      <w:spacing w:after="120"/>
      <w:ind w:left="200"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semiHidden/>
    <w:unhideWhenUsed/>
    <w:qFormat/>
    <w:uiPriority w:val="99"/>
    <w:pPr>
      <w:keepNext w:val="0"/>
      <w:keepLines w:val="0"/>
      <w:widowControl w:val="0"/>
      <w:suppressLineNumbers w:val="0"/>
      <w:spacing w:before="0" w:beforeAutospacing="0" w:after="0" w:afterAutospacing="0" w:line="240" w:lineRule="auto"/>
      <w:ind w:left="0" w:firstLine="0"/>
      <w:jc w:val="both"/>
    </w:pPr>
    <w:rPr>
      <w:rFonts w:hint="eastAsia" w:ascii="宋体" w:hAnsi="宋体" w:eastAsia="宋体" w:cs="宋体"/>
      <w:kern w:val="2"/>
      <w:sz w:val="21"/>
      <w:szCs w:val="24"/>
      <w:lang w:val="en-US" w:eastAsia="zh-CN" w:bidi="ar"/>
    </w:rPr>
  </w:style>
  <w:style w:type="paragraph" w:styleId="11">
    <w:name w:val="Balloon Text"/>
    <w:basedOn w:val="1"/>
    <w:link w:val="35"/>
    <w:semiHidden/>
    <w:unhideWhenUsed/>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Body Text First Indent"/>
    <w:basedOn w:val="2"/>
    <w:qFormat/>
    <w:uiPriority w:val="0"/>
  </w:style>
  <w:style w:type="paragraph" w:styleId="17">
    <w:name w:val="Body Text First Indent 2"/>
    <w:basedOn w:val="8"/>
    <w:unhideWhenUsed/>
    <w:qFormat/>
    <w:uiPriority w:val="99"/>
    <w:pPr>
      <w:ind w:firstLine="420" w:firstLineChars="200"/>
    </w:p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99"/>
    <w:rPr>
      <w:b/>
    </w:rPr>
  </w:style>
  <w:style w:type="character" w:styleId="22">
    <w:name w:val="FollowedHyperlink"/>
    <w:basedOn w:val="20"/>
    <w:semiHidden/>
    <w:unhideWhenUsed/>
    <w:qFormat/>
    <w:uiPriority w:val="99"/>
    <w:rPr>
      <w:color w:val="954F72"/>
      <w:u w:val="single"/>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paragraph" w:customStyle="1" w:styleId="24">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字符"/>
    <w:link w:val="13"/>
    <w:semiHidden/>
    <w:qFormat/>
    <w:locked/>
    <w:uiPriority w:val="99"/>
    <w:rPr>
      <w:sz w:val="18"/>
    </w:rPr>
  </w:style>
  <w:style w:type="character" w:customStyle="1" w:styleId="27">
    <w:name w:val="Footer Char"/>
    <w:basedOn w:val="20"/>
    <w:semiHidden/>
    <w:qFormat/>
    <w:uiPriority w:val="99"/>
    <w:rPr>
      <w:rFonts w:ascii="Times New Roman" w:hAnsi="Times New Roman"/>
      <w:sz w:val="18"/>
      <w:szCs w:val="18"/>
    </w:rPr>
  </w:style>
  <w:style w:type="character" w:customStyle="1" w:styleId="28">
    <w:name w:val="页脚 字符"/>
    <w:link w:val="12"/>
    <w:qFormat/>
    <w:locked/>
    <w:uiPriority w:val="99"/>
    <w:rPr>
      <w:sz w:val="18"/>
    </w:rPr>
  </w:style>
  <w:style w:type="character" w:customStyle="1" w:styleId="29">
    <w:name w:val="Body Text Char"/>
    <w:basedOn w:val="20"/>
    <w:semiHidden/>
    <w:qFormat/>
    <w:uiPriority w:val="99"/>
    <w:rPr>
      <w:rFonts w:ascii="Times New Roman" w:hAnsi="Times New Roman"/>
      <w:szCs w:val="24"/>
    </w:rPr>
  </w:style>
  <w:style w:type="character" w:customStyle="1" w:styleId="30">
    <w:name w:val="正文文本 字符"/>
    <w:link w:val="2"/>
    <w:qFormat/>
    <w:locked/>
    <w:uiPriority w:val="99"/>
    <w:rPr>
      <w:rFonts w:ascii="仿宋_GB2312" w:hAnsi="Times New Roman" w:eastAsia="仿宋_GB2312"/>
      <w:sz w:val="24"/>
    </w:rPr>
  </w:style>
  <w:style w:type="paragraph" w:styleId="31">
    <w:name w:val="List Paragraph"/>
    <w:basedOn w:val="1"/>
    <w:qFormat/>
    <w:uiPriority w:val="34"/>
    <w:pPr>
      <w:ind w:firstLine="420" w:firstLineChars="200"/>
    </w:pPr>
  </w:style>
  <w:style w:type="character" w:customStyle="1" w:styleId="32">
    <w:name w:val="标题 1 字符"/>
    <w:basedOn w:val="20"/>
    <w:link w:val="4"/>
    <w:qFormat/>
    <w:uiPriority w:val="9"/>
    <w:rPr>
      <w:rFonts w:ascii="Times New Roman" w:hAnsi="Times New Roman"/>
      <w:b/>
      <w:bCs/>
      <w:kern w:val="44"/>
      <w:sz w:val="44"/>
      <w:szCs w:val="44"/>
    </w:rPr>
  </w:style>
  <w:style w:type="character" w:customStyle="1" w:styleId="33">
    <w:name w:val="标题 2 字符"/>
    <w:basedOn w:val="20"/>
    <w:link w:val="5"/>
    <w:qFormat/>
    <w:uiPriority w:val="9"/>
    <w:rPr>
      <w:rFonts w:asciiTheme="majorHAnsi" w:hAnsiTheme="majorHAnsi" w:eastAsiaTheme="majorEastAsia" w:cstheme="majorBidi"/>
      <w:b/>
      <w:bCs/>
      <w:kern w:val="2"/>
      <w:sz w:val="32"/>
      <w:szCs w:val="32"/>
    </w:rPr>
  </w:style>
  <w:style w:type="paragraph" w:customStyle="1" w:styleId="3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0"/>
    <w:link w:val="11"/>
    <w:semiHidden/>
    <w:qFormat/>
    <w:uiPriority w:val="99"/>
    <w:rPr>
      <w:rFonts w:ascii="Times New Roman" w:hAnsi="Times New Roman"/>
      <w:kern w:val="2"/>
      <w:sz w:val="18"/>
      <w:szCs w:val="18"/>
    </w:rPr>
  </w:style>
  <w:style w:type="character" w:customStyle="1" w:styleId="36">
    <w:name w:val="标题 3 字符"/>
    <w:basedOn w:val="20"/>
    <w:link w:val="6"/>
    <w:qFormat/>
    <w:uiPriority w:val="9"/>
    <w:rPr>
      <w:rFonts w:ascii="Times New Roman" w:hAnsi="Times New Roman"/>
      <w:b/>
      <w:bCs/>
      <w:kern w:val="2"/>
      <w:sz w:val="32"/>
      <w:szCs w:val="32"/>
    </w:rPr>
  </w:style>
  <w:style w:type="paragraph" w:customStyle="1" w:styleId="37">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color w:val="000000"/>
      <w:kern w:val="0"/>
      <w:sz w:val="28"/>
      <w:szCs w:val="21"/>
      <w:lang w:val="zh-CN"/>
    </w:rPr>
  </w:style>
  <w:style w:type="paragraph" w:customStyle="1" w:styleId="39">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42">
    <w:name w:val="xl6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3">
    <w:name w:val="xl64"/>
    <w:basedOn w:val="1"/>
    <w:qFormat/>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44">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5">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7">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8">
    <w:name w:val="xl6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9">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50">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51">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52">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53">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character" w:customStyle="1" w:styleId="54">
    <w:name w:val="fontstyle01"/>
    <w:basedOn w:val="20"/>
    <w:qFormat/>
    <w:uiPriority w:val="0"/>
    <w:rPr>
      <w:rFonts w:hint="eastAsia" w:ascii="楷体" w:hAnsi="楷体" w:eastAsia="楷体"/>
      <w:color w:val="000000"/>
      <w:sz w:val="24"/>
      <w:szCs w:val="24"/>
    </w:rPr>
  </w:style>
  <w:style w:type="paragraph" w:customStyle="1" w:styleId="55">
    <w:name w:val="_Style 42"/>
    <w:basedOn w:val="1"/>
    <w:next w:val="31"/>
    <w:qFormat/>
    <w:uiPriority w:val="34"/>
    <w:pPr>
      <w:spacing w:line="400" w:lineRule="exact"/>
      <w:ind w:firstLine="420" w:firstLineChars="200"/>
    </w:pPr>
    <w:rPr>
      <w:rFonts w:ascii="Calibri" w:hAnsi="Calibri"/>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73</Pages>
  <Words>18</Words>
  <Characters>21</Characters>
  <Lines>58</Lines>
  <Paragraphs>16</Paragraphs>
  <TotalTime>1</TotalTime>
  <ScaleCrop>false</ScaleCrop>
  <LinksUpToDate>false</LinksUpToDate>
  <CharactersWithSpaces>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2020-08-07T09:49:00Z</dcterms:created>
  <dc:creator>曹颖</dc:creator>
  <cp:lastModifiedBy>企业用户_707365232</cp:lastModifiedBy>
  <cp:lastPrinted>2023-09-05T01:25:00Z</cp:lastPrinted>
  <dcterms:modified xsi:type="dcterms:W3CDTF">2026-01-19T01:17:09Z</dcterms:modified>
  <dc:title>四川省***</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eyJoZGlkIjoiNGJhNzhjYTA0ZDQ1Y2M4YTA2ZDY4ZDhjYWFlMTc4OWIiLCJ1c2VySWQiOiIxNTYxMTUwNjM0In0=</vt:lpwstr>
  </property>
  <property fmtid="{D5CDD505-2E9C-101B-9397-08002B2CF9AE}" pid="4" name="ICV">
    <vt:lpwstr>406AD89F0FB1482CA07CE73DE990C918_12</vt:lpwstr>
  </property>
</Properties>
</file>