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rPr>
          <w:rFonts w:ascii="Times New Roman" w:eastAsia="方正小标宋简体"/>
          <w:kern w:val="2"/>
          <w:sz w:val="32"/>
          <w:szCs w:val="32"/>
        </w:rPr>
      </w:pPr>
      <w:bookmarkStart w:id="0" w:name="_Toc15378441"/>
      <w:bookmarkStart w:id="1" w:name="_Toc15396475"/>
      <w:bookmarkStart w:id="2" w:name="_Toc15377425"/>
      <w:bookmarkStart w:id="3" w:name="_Toc15396597"/>
      <w:bookmarkStart w:id="4" w:name="_Toc15377193"/>
      <w:bookmarkStart w:id="5" w:name="_Toc15306267"/>
    </w:p>
    <w:p>
      <w:pPr>
        <w:pStyle w:val="2"/>
        <w:spacing w:before="93"/>
        <w:rPr>
          <w:rFonts w:ascii="Times New Roman" w:eastAsia="方正小标宋简体"/>
          <w:kern w:val="2"/>
          <w:sz w:val="32"/>
          <w:szCs w:val="32"/>
        </w:rPr>
      </w:pPr>
    </w:p>
    <w:p>
      <w:pPr>
        <w:pStyle w:val="2"/>
        <w:spacing w:before="93"/>
        <w:rPr>
          <w:rFonts w:ascii="Times New Roman" w:eastAsia="方正小标宋简体"/>
          <w:kern w:val="2"/>
          <w:sz w:val="32"/>
          <w:szCs w:val="32"/>
        </w:rPr>
      </w:pPr>
    </w:p>
    <w:p>
      <w:pPr>
        <w:pStyle w:val="2"/>
        <w:spacing w:before="93"/>
        <w:rPr>
          <w:rFonts w:ascii="Times New Roman" w:eastAsia="方正小标宋简体"/>
          <w:kern w:val="2"/>
          <w:sz w:val="32"/>
          <w:szCs w:val="32"/>
        </w:rPr>
      </w:pPr>
    </w:p>
    <w:p>
      <w:pPr>
        <w:pStyle w:val="2"/>
        <w:spacing w:before="93"/>
        <w:rPr>
          <w:rFonts w:ascii="Times New Roman" w:eastAsia="方正小标宋简体"/>
          <w:kern w:val="2"/>
          <w:sz w:val="32"/>
          <w:szCs w:val="32"/>
        </w:rPr>
      </w:pPr>
    </w:p>
    <w:p>
      <w:pPr>
        <w:pStyle w:val="2"/>
        <w:spacing w:before="93"/>
        <w:rPr>
          <w:rFonts w:ascii="Times New Roman" w:eastAsia="方正小标宋简体"/>
          <w:kern w:val="2"/>
          <w:sz w:val="32"/>
          <w:szCs w:val="32"/>
        </w:rPr>
      </w:pPr>
    </w:p>
    <w:p>
      <w:pPr>
        <w:pStyle w:val="2"/>
        <w:spacing w:before="93"/>
        <w:jc w:val="center"/>
        <w:rPr>
          <w:rFonts w:ascii="Times New Roman" w:eastAsia="方正小标宋简体"/>
          <w:kern w:val="2"/>
          <w:sz w:val="44"/>
          <w:szCs w:val="44"/>
        </w:rPr>
      </w:pPr>
      <w:r>
        <w:rPr>
          <w:rFonts w:ascii="Times New Roman" w:eastAsia="方正小标宋简体"/>
          <w:kern w:val="2"/>
          <w:sz w:val="44"/>
          <w:szCs w:val="44"/>
        </w:rPr>
        <w:t>2024年度</w:t>
      </w:r>
    </w:p>
    <w:p>
      <w:pPr>
        <w:pStyle w:val="2"/>
        <w:spacing w:before="93"/>
        <w:jc w:val="center"/>
        <w:rPr>
          <w:rFonts w:ascii="Times New Roman" w:eastAsia="方正小标宋简体"/>
          <w:sz w:val="44"/>
          <w:szCs w:val="44"/>
        </w:rPr>
      </w:pPr>
      <w:r>
        <w:rPr>
          <w:rFonts w:ascii="Times New Roman" w:eastAsia="方正小标宋简体"/>
          <w:sz w:val="44"/>
          <w:szCs w:val="44"/>
        </w:rPr>
        <w:t>攀枝花市科技发展战略研究所</w:t>
      </w:r>
    </w:p>
    <w:p>
      <w:pPr>
        <w:pStyle w:val="2"/>
        <w:spacing w:before="93"/>
        <w:jc w:val="center"/>
        <w:rPr>
          <w:rFonts w:ascii="Times New Roman" w:eastAsia="方正小标宋简体"/>
          <w:kern w:val="2"/>
          <w:sz w:val="44"/>
          <w:szCs w:val="44"/>
        </w:rPr>
      </w:pPr>
      <w:r>
        <w:rPr>
          <w:rFonts w:ascii="Times New Roman" w:eastAsia="方正小标宋简体"/>
          <w:kern w:val="2"/>
          <w:sz w:val="44"/>
          <w:szCs w:val="44"/>
        </w:rPr>
        <w:t>单位决算公开</w:t>
      </w:r>
      <w:r>
        <w:rPr>
          <w:rFonts w:hint="eastAsia" w:ascii="Times New Roman" w:eastAsia="方正小标宋简体"/>
          <w:kern w:val="2"/>
          <w:sz w:val="44"/>
          <w:szCs w:val="44"/>
          <w:lang w:eastAsia="zh-CN"/>
        </w:rPr>
        <w:t>文字</w:t>
      </w:r>
      <w:r>
        <w:rPr>
          <w:rFonts w:ascii="Times New Roman" w:eastAsia="方正小标宋简体"/>
          <w:kern w:val="2"/>
          <w:sz w:val="44"/>
          <w:szCs w:val="44"/>
        </w:rPr>
        <w:t>说明</w:t>
      </w:r>
    </w:p>
    <w:p>
      <w:pPr>
        <w:spacing w:line="600" w:lineRule="exact"/>
        <w:jc w:val="center"/>
        <w:outlineLvl w:val="0"/>
        <w:rPr>
          <w:rFonts w:eastAsia="方正小标宋简体"/>
          <w:sz w:val="32"/>
          <w:szCs w:val="32"/>
        </w:rPr>
      </w:pPr>
    </w:p>
    <w:p>
      <w:pPr>
        <w:pStyle w:val="19"/>
        <w:rPr>
          <w:rFonts w:ascii="Times New Roman" w:hAnsi="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titlePg/>
          <w:docGrid w:type="lines" w:linePitch="312" w:charSpace="0"/>
        </w:sectPr>
      </w:pPr>
    </w:p>
    <w:p>
      <w:pPr>
        <w:pStyle w:val="2"/>
        <w:spacing w:before="93"/>
        <w:jc w:val="center"/>
        <w:rPr>
          <w:rFonts w:ascii="Times New Roman" w:eastAsia="方正小标宋简体"/>
          <w:kern w:val="2"/>
          <w:sz w:val="32"/>
          <w:szCs w:val="32"/>
        </w:rPr>
      </w:pPr>
    </w:p>
    <w:bookmarkEnd w:id="0"/>
    <w:bookmarkEnd w:id="1"/>
    <w:bookmarkEnd w:id="2"/>
    <w:bookmarkEnd w:id="3"/>
    <w:bookmarkEnd w:id="4"/>
    <w:bookmarkEnd w:id="5"/>
    <w:p>
      <w:pPr>
        <w:pStyle w:val="2"/>
        <w:adjustRightInd w:val="0"/>
        <w:snapToGrid w:val="0"/>
        <w:spacing w:beforeLines="0" w:line="560" w:lineRule="exact"/>
        <w:jc w:val="center"/>
        <w:rPr>
          <w:rFonts w:ascii="Times New Roman" w:eastAsia="方正小标宋_GBK"/>
          <w:kern w:val="2"/>
          <w:sz w:val="32"/>
          <w:szCs w:val="32"/>
        </w:rPr>
      </w:pPr>
      <w:r>
        <w:rPr>
          <w:rFonts w:ascii="Times New Roman" w:eastAsia="方正小标宋_GBK"/>
          <w:sz w:val="32"/>
          <w:szCs w:val="32"/>
        </w:rPr>
        <w:t>目</w:t>
      </w:r>
      <w:r>
        <w:rPr>
          <w:rFonts w:hint="eastAsia" w:ascii="Times New Roman" w:eastAsia="方正小标宋_GBK"/>
          <w:sz w:val="32"/>
          <w:szCs w:val="32"/>
          <w:lang w:val="en-US" w:eastAsia="zh-CN"/>
        </w:rPr>
        <w:t xml:space="preserve">  </w:t>
      </w:r>
      <w:r>
        <w:rPr>
          <w:rFonts w:ascii="Times New Roman" w:eastAsia="方正小标宋_GBK"/>
          <w:sz w:val="32"/>
          <w:szCs w:val="32"/>
        </w:rPr>
        <w:t>录</w:t>
      </w:r>
    </w:p>
    <w:p>
      <w:pPr>
        <w:pStyle w:val="12"/>
        <w:rPr>
          <w:rFonts w:ascii="Times New Roman" w:hAnsi="Times New Roman" w:eastAsia="仿宋_GB2312"/>
          <w:sz w:val="32"/>
          <w:szCs w:val="32"/>
        </w:rPr>
      </w:pPr>
      <w:r>
        <w:rPr>
          <w:rFonts w:ascii="Times New Roman" w:hAnsi="Times New Roman" w:eastAsia="仿宋_GB2312"/>
          <w:sz w:val="32"/>
          <w:szCs w:val="32"/>
        </w:rPr>
        <w:t>公开时间：202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年9月1</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w:t>
      </w:r>
    </w:p>
    <w:p>
      <w:pPr>
        <w:pStyle w:val="12"/>
        <w:adjustRightInd w:val="0"/>
        <w:snapToGrid w:val="0"/>
        <w:spacing w:before="0" w:line="36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 xml:space="preserve">第一部分 </w:t>
      </w:r>
      <w:r>
        <w:rPr>
          <w:rFonts w:hint="eastAsia" w:ascii="Times New Roman" w:hAnsi="Times New Roman" w:eastAsia="黑体"/>
          <w:sz w:val="32"/>
          <w:szCs w:val="32"/>
        </w:rPr>
        <w:t>单位</w:t>
      </w:r>
      <w:r>
        <w:rPr>
          <w:rFonts w:ascii="Times New Roman" w:hAnsi="Times New Roman" w:eastAsia="黑体"/>
          <w:sz w:val="32"/>
          <w:szCs w:val="32"/>
        </w:rPr>
        <w:t>概况..........................................................</w:t>
      </w:r>
      <w:r>
        <w:rPr>
          <w:rFonts w:hint="eastAsia" w:ascii="Times New Roman" w:hAnsi="Times New Roman" w:eastAsia="黑体"/>
          <w:sz w:val="32"/>
          <w:szCs w:val="32"/>
        </w:rPr>
        <w:t>2</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一、</w:t>
      </w:r>
      <w:r>
        <w:rPr>
          <w:rFonts w:hint="eastAsia" w:eastAsia="仿宋_GB2312"/>
          <w:sz w:val="32"/>
          <w:szCs w:val="32"/>
        </w:rPr>
        <w:t>单位</w:t>
      </w:r>
      <w:r>
        <w:rPr>
          <w:rFonts w:eastAsia="仿宋_GB2312"/>
          <w:sz w:val="32"/>
          <w:szCs w:val="32"/>
        </w:rPr>
        <w:t>职责..............................................................</w:t>
      </w:r>
      <w:r>
        <w:rPr>
          <w:rFonts w:hint="eastAsia" w:eastAsia="仿宋_GB2312"/>
          <w:sz w:val="32"/>
          <w:szCs w:val="32"/>
        </w:rPr>
        <w:t>......2</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二、机构设置.............................................................</w:t>
      </w:r>
      <w:r>
        <w:rPr>
          <w:rFonts w:hint="eastAsia" w:eastAsia="仿宋_GB2312"/>
          <w:sz w:val="32"/>
          <w:szCs w:val="32"/>
        </w:rPr>
        <w:t>.......2</w:t>
      </w:r>
    </w:p>
    <w:p>
      <w:pPr>
        <w:pStyle w:val="12"/>
        <w:adjustRightInd w:val="0"/>
        <w:snapToGrid w:val="0"/>
        <w:spacing w:before="0" w:line="36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第二部分 2024年度</w:t>
      </w:r>
      <w:r>
        <w:rPr>
          <w:rFonts w:hint="eastAsia" w:ascii="Times New Roman" w:hAnsi="Times New Roman" w:eastAsia="黑体"/>
          <w:sz w:val="32"/>
          <w:szCs w:val="32"/>
        </w:rPr>
        <w:t>单位</w:t>
      </w:r>
      <w:r>
        <w:rPr>
          <w:rFonts w:ascii="Times New Roman" w:hAnsi="Times New Roman" w:eastAsia="黑体"/>
          <w:sz w:val="32"/>
          <w:szCs w:val="32"/>
        </w:rPr>
        <w:t>决算情况说明.........................</w:t>
      </w:r>
      <w:r>
        <w:rPr>
          <w:rFonts w:hint="eastAsia" w:ascii="Times New Roman" w:hAnsi="Times New Roman" w:eastAsia="黑体"/>
          <w:sz w:val="32"/>
          <w:szCs w:val="32"/>
        </w:rPr>
        <w:t>3</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一、收入支出决算总体情况说明...........................</w:t>
      </w:r>
      <w:r>
        <w:rPr>
          <w:rFonts w:hint="eastAsia" w:eastAsia="仿宋_GB2312"/>
          <w:sz w:val="32"/>
          <w:szCs w:val="32"/>
        </w:rPr>
        <w:t>.........3</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二、收入决算情况说明............................................</w:t>
      </w:r>
      <w:r>
        <w:rPr>
          <w:rFonts w:hint="eastAsia" w:eastAsia="仿宋_GB2312"/>
          <w:sz w:val="32"/>
          <w:szCs w:val="32"/>
        </w:rPr>
        <w:t>........3</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三、支出决算情况说明.............................................</w:t>
      </w:r>
      <w:r>
        <w:rPr>
          <w:rFonts w:hint="eastAsia" w:eastAsia="仿宋_GB2312"/>
          <w:sz w:val="32"/>
          <w:szCs w:val="32"/>
        </w:rPr>
        <w:t>.......3</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四、财政拨款收入支出决算总体情况说明............</w:t>
      </w:r>
      <w:r>
        <w:rPr>
          <w:rFonts w:hint="eastAsia" w:eastAsia="仿宋_GB2312"/>
          <w:sz w:val="32"/>
          <w:szCs w:val="32"/>
        </w:rPr>
        <w:t>........4</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五、一般公共预算财政拨款支出决算情况说明.....</w:t>
      </w:r>
      <w:r>
        <w:rPr>
          <w:rFonts w:hint="eastAsia" w:eastAsia="仿宋_GB2312"/>
          <w:sz w:val="32"/>
          <w:szCs w:val="32"/>
        </w:rPr>
        <w:t>.......4</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六、一般公共预算财政拨款基本支出决算情况说明..</w:t>
      </w:r>
      <w:r>
        <w:rPr>
          <w:rFonts w:hint="eastAsia" w:eastAsia="仿宋_GB2312"/>
          <w:sz w:val="32"/>
          <w:szCs w:val="32"/>
        </w:rPr>
        <w:t>..7</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七、财政拨款“三公”经费支出决算情况说明..........</w:t>
      </w:r>
      <w:r>
        <w:rPr>
          <w:rFonts w:hint="eastAsia" w:eastAsia="仿宋_GB2312"/>
          <w:sz w:val="32"/>
          <w:szCs w:val="32"/>
        </w:rPr>
        <w:t>.......8</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八、政府性基金预算支出决算情况说明....................</w:t>
      </w:r>
      <w:r>
        <w:rPr>
          <w:rFonts w:hint="eastAsia" w:eastAsia="仿宋_GB2312"/>
          <w:sz w:val="32"/>
          <w:szCs w:val="32"/>
        </w:rPr>
        <w:t>....9</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九、国有资本经营预算支出决算情况说明.........</w:t>
      </w:r>
      <w:r>
        <w:rPr>
          <w:rFonts w:hint="eastAsia" w:eastAsia="仿宋_GB2312"/>
          <w:sz w:val="32"/>
          <w:szCs w:val="32"/>
        </w:rPr>
        <w:t>...........9</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十、其他重要事项的情况说明...........................</w:t>
      </w:r>
      <w:r>
        <w:rPr>
          <w:rFonts w:hint="eastAsia" w:eastAsia="仿宋_GB2312"/>
          <w:sz w:val="32"/>
          <w:szCs w:val="32"/>
        </w:rPr>
        <w:t>............10</w:t>
      </w:r>
    </w:p>
    <w:p>
      <w:pPr>
        <w:pStyle w:val="12"/>
        <w:adjustRightInd w:val="0"/>
        <w:snapToGrid w:val="0"/>
        <w:spacing w:before="0" w:line="360" w:lineRule="exact"/>
        <w:ind w:firstLine="640" w:firstLineChars="200"/>
        <w:jc w:val="both"/>
        <w:rPr>
          <w:rFonts w:hint="eastAsia" w:ascii="Times New Roman" w:hAnsi="Times New Roman" w:eastAsia="黑体"/>
          <w:sz w:val="32"/>
          <w:szCs w:val="32"/>
          <w:lang w:eastAsia="zh-CN"/>
        </w:rPr>
      </w:pPr>
      <w:r>
        <w:rPr>
          <w:rFonts w:ascii="Times New Roman" w:hAnsi="Times New Roman" w:eastAsia="方正黑体_GBK"/>
          <w:sz w:val="32"/>
          <w:szCs w:val="32"/>
        </w:rPr>
        <w:t>第三部分 名词解释</w:t>
      </w:r>
      <w:r>
        <w:rPr>
          <w:rFonts w:ascii="Times New Roman" w:hAnsi="Times New Roman" w:eastAsia="黑体"/>
          <w:sz w:val="32"/>
          <w:szCs w:val="32"/>
        </w:rPr>
        <w:t>......................................................</w:t>
      </w:r>
      <w:r>
        <w:rPr>
          <w:rFonts w:hint="eastAsia" w:ascii="Times New Roman" w:hAnsi="Times New Roman" w:eastAsia="黑体"/>
          <w:sz w:val="32"/>
          <w:szCs w:val="32"/>
        </w:rPr>
        <w:t>...1</w:t>
      </w:r>
      <w:r>
        <w:rPr>
          <w:rFonts w:hint="eastAsia" w:ascii="Times New Roman" w:hAnsi="Times New Roman" w:eastAsia="黑体"/>
          <w:sz w:val="32"/>
          <w:szCs w:val="32"/>
          <w:lang w:val="en-US" w:eastAsia="zh-CN"/>
        </w:rPr>
        <w:t>2</w:t>
      </w:r>
    </w:p>
    <w:p>
      <w:pPr>
        <w:pStyle w:val="12"/>
        <w:adjustRightInd w:val="0"/>
        <w:snapToGrid w:val="0"/>
        <w:spacing w:before="0" w:line="360" w:lineRule="exact"/>
        <w:ind w:firstLine="640" w:firstLineChars="200"/>
        <w:jc w:val="both"/>
        <w:rPr>
          <w:rFonts w:hint="eastAsia" w:ascii="Times New Roman" w:hAnsi="Times New Roman" w:eastAsia="黑体"/>
          <w:sz w:val="32"/>
          <w:szCs w:val="32"/>
          <w:lang w:eastAsia="zh-CN"/>
        </w:rPr>
      </w:pPr>
      <w:r>
        <w:rPr>
          <w:rFonts w:ascii="Times New Roman" w:hAnsi="Times New Roman" w:eastAsia="方正黑体_GBK"/>
          <w:sz w:val="32"/>
          <w:szCs w:val="32"/>
        </w:rPr>
        <w:t>第四部分 附件</w:t>
      </w:r>
      <w:r>
        <w:rPr>
          <w:rFonts w:ascii="Times New Roman" w:hAnsi="Times New Roman" w:eastAsia="黑体"/>
          <w:sz w:val="32"/>
          <w:szCs w:val="32"/>
        </w:rPr>
        <w:t>.............................................................</w:t>
      </w:r>
      <w:r>
        <w:rPr>
          <w:rFonts w:hint="eastAsia" w:ascii="Times New Roman" w:hAnsi="Times New Roman" w:eastAsia="黑体"/>
          <w:sz w:val="32"/>
          <w:szCs w:val="32"/>
        </w:rPr>
        <w:t>....1</w:t>
      </w:r>
      <w:r>
        <w:rPr>
          <w:rFonts w:hint="eastAsia" w:ascii="Times New Roman" w:hAnsi="Times New Roman" w:eastAsia="黑体"/>
          <w:sz w:val="32"/>
          <w:szCs w:val="32"/>
          <w:lang w:val="en-US" w:eastAsia="zh-CN"/>
        </w:rPr>
        <w:t>4</w:t>
      </w:r>
    </w:p>
    <w:p>
      <w:pPr>
        <w:pStyle w:val="12"/>
        <w:adjustRightInd w:val="0"/>
        <w:snapToGrid w:val="0"/>
        <w:spacing w:before="0" w:line="360" w:lineRule="exact"/>
        <w:ind w:firstLine="640" w:firstLineChars="200"/>
        <w:jc w:val="both"/>
        <w:rPr>
          <w:rFonts w:hint="eastAsia" w:ascii="Times New Roman" w:hAnsi="Times New Roman" w:eastAsia="黑体"/>
          <w:sz w:val="32"/>
          <w:szCs w:val="32"/>
          <w:lang w:val="en-US" w:eastAsia="zh-CN"/>
        </w:rPr>
      </w:pPr>
      <w:r>
        <w:rPr>
          <w:rFonts w:ascii="Times New Roman" w:hAnsi="Times New Roman" w:eastAsia="黑体"/>
          <w:sz w:val="32"/>
          <w:szCs w:val="32"/>
        </w:rPr>
        <w:t>第五部分 附表.............................................................</w:t>
      </w:r>
      <w:r>
        <w:rPr>
          <w:rFonts w:hint="eastAsia" w:ascii="Times New Roman" w:hAnsi="Times New Roman" w:eastAsia="黑体"/>
          <w:sz w:val="32"/>
          <w:szCs w:val="32"/>
        </w:rPr>
        <w:t>....1</w:t>
      </w:r>
      <w:r>
        <w:rPr>
          <w:rFonts w:hint="eastAsia" w:ascii="Times New Roman" w:hAnsi="Times New Roman" w:eastAsia="黑体"/>
          <w:sz w:val="32"/>
          <w:szCs w:val="32"/>
          <w:lang w:val="en-US" w:eastAsia="zh-CN"/>
        </w:rPr>
        <w:t>5</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一、收入支出决算总表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二、收入决算表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三、支出决算表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四、财政拨款收入支出决算总表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五、财政拨款支出决算明细表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六、一般公共预算财政拨款支出决算表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七、一般公共预算财政拨款支出决算明细表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八、一般公共预算财政拨款基本支出决算明细表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九、一般公共预算财政拨款项目支出决算表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十、政府性基金预算财政拨款收入支出决算表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十一、国有资本经营预算财政拨款收入支出决算表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十二、国有资本经营预算财政拨款支出决算表</w:t>
      </w:r>
    </w:p>
    <w:p>
      <w:pPr>
        <w:pStyle w:val="14"/>
        <w:adjustRightInd w:val="0"/>
        <w:snapToGrid w:val="0"/>
        <w:spacing w:line="360" w:lineRule="exact"/>
        <w:ind w:left="0" w:leftChars="0" w:firstLine="640" w:firstLineChars="200"/>
        <w:rPr>
          <w:rFonts w:eastAsia="仿宋_GB2312"/>
          <w:sz w:val="32"/>
          <w:szCs w:val="32"/>
        </w:rPr>
      </w:pPr>
      <w:r>
        <w:rPr>
          <w:rFonts w:eastAsia="仿宋_GB2312"/>
          <w:sz w:val="32"/>
          <w:szCs w:val="32"/>
        </w:rPr>
        <w:t>十三、财政拨款“三公”经费支出决算表</w:t>
      </w:r>
    </w:p>
    <w:p>
      <w:pPr>
        <w:pStyle w:val="3"/>
        <w:jc w:val="center"/>
        <w:rPr>
          <w:rFonts w:eastAsia="方正小标宋_GBK"/>
          <w:bCs w:val="0"/>
          <w:sz w:val="32"/>
          <w:szCs w:val="32"/>
        </w:rPr>
      </w:pPr>
      <w:bookmarkStart w:id="6" w:name="_Toc15377196"/>
      <w:bookmarkStart w:id="7" w:name="_Toc15396599"/>
      <w:r>
        <w:rPr>
          <w:rFonts w:eastAsia="方正小标宋_GBK"/>
          <w:b w:val="0"/>
          <w:sz w:val="32"/>
          <w:szCs w:val="32"/>
        </w:rPr>
        <w:t>第一部分</w:t>
      </w:r>
      <w:r>
        <w:rPr>
          <w:rStyle w:val="28"/>
          <w:rFonts w:hint="eastAsia" w:eastAsia="方正小标宋_GBK"/>
          <w:b w:val="0"/>
          <w:bCs w:val="0"/>
          <w:sz w:val="32"/>
          <w:szCs w:val="32"/>
        </w:rPr>
        <w:t>单位</w:t>
      </w:r>
      <w:r>
        <w:rPr>
          <w:rStyle w:val="28"/>
          <w:rFonts w:eastAsia="方正小标宋_GBK"/>
          <w:b w:val="0"/>
          <w:bCs w:val="0"/>
          <w:sz w:val="32"/>
          <w:szCs w:val="32"/>
        </w:rPr>
        <w:t>概况</w:t>
      </w:r>
      <w:bookmarkEnd w:id="6"/>
      <w:bookmarkEnd w:id="7"/>
    </w:p>
    <w:p>
      <w:pPr>
        <w:pStyle w:val="4"/>
        <w:rPr>
          <w:rFonts w:ascii="Times New Roman" w:hAnsi="Times New Roman" w:eastAsia="黑体" w:cs="Times New Roman"/>
          <w:b w:val="0"/>
        </w:rPr>
      </w:pPr>
      <w:bookmarkStart w:id="8" w:name="_Toc15396600"/>
      <w:bookmarkStart w:id="9" w:name="_Toc15377197"/>
      <w:r>
        <w:rPr>
          <w:rFonts w:ascii="Times New Roman" w:hAnsi="Times New Roman" w:eastAsia="黑体" w:cs="Times New Roman"/>
          <w:b w:val="0"/>
        </w:rPr>
        <w:t>一、</w:t>
      </w:r>
      <w:bookmarkEnd w:id="8"/>
      <w:bookmarkEnd w:id="9"/>
      <w:r>
        <w:rPr>
          <w:rFonts w:hint="eastAsia" w:ascii="Times New Roman" w:hAnsi="Times New Roman" w:eastAsia="黑体" w:cs="Times New Roman"/>
          <w:b w:val="0"/>
        </w:rPr>
        <w:t>单位</w:t>
      </w:r>
      <w:r>
        <w:rPr>
          <w:rFonts w:ascii="Times New Roman" w:hAnsi="Times New Roman" w:eastAsia="黑体" w:cs="Times New Roman"/>
          <w:b w:val="0"/>
        </w:rPr>
        <w:t>职责</w:t>
      </w:r>
    </w:p>
    <w:p>
      <w:pPr>
        <w:rPr>
          <w:sz w:val="32"/>
          <w:szCs w:val="32"/>
        </w:rPr>
      </w:pPr>
      <w:r>
        <w:rPr>
          <w:rFonts w:eastAsia="仿宋_GB2312"/>
          <w:sz w:val="32"/>
          <w:szCs w:val="32"/>
        </w:rPr>
        <w:t>国内外科技发展动态研究；全市科技发展战略研究；产业发展关键技术预见研究；全市科技体制和科技发展政策研究；科技创新体系研究。科技专项调研；公共科技信息开发利用；市科技进步动态监测；负责重大科技项目的评价；科技刊物编辑出版。协助编制全市科技发展规划；协助市科技计划项目的招投标；协助完成各项科技统计，并编写科技统计汇编；承担上级单位交办的其他任务。</w:t>
      </w:r>
    </w:p>
    <w:p>
      <w:pPr>
        <w:pStyle w:val="4"/>
        <w:rPr>
          <w:rStyle w:val="29"/>
          <w:rFonts w:ascii="Times New Roman" w:hAnsi="Times New Roman" w:cs="Times New Roman"/>
          <w:b w:val="0"/>
          <w:bCs w:val="0"/>
        </w:rPr>
      </w:pPr>
      <w:bookmarkStart w:id="10" w:name="_Toc15377200"/>
      <w:bookmarkStart w:id="11" w:name="_Toc15396601"/>
      <w:r>
        <w:rPr>
          <w:rFonts w:ascii="Times New Roman" w:hAnsi="Times New Roman" w:eastAsia="黑体" w:cs="Times New Roman"/>
          <w:b w:val="0"/>
        </w:rPr>
        <w:t>二、机</w:t>
      </w:r>
      <w:r>
        <w:rPr>
          <w:rStyle w:val="29"/>
          <w:rFonts w:ascii="Times New Roman" w:hAnsi="Times New Roman" w:eastAsia="黑体" w:cs="Times New Roman"/>
          <w:b w:val="0"/>
          <w:bCs w:val="0"/>
        </w:rPr>
        <w:t>构设置</w:t>
      </w:r>
      <w:bookmarkEnd w:id="10"/>
      <w:bookmarkEnd w:id="11"/>
    </w:p>
    <w:p>
      <w:pPr>
        <w:ind w:firstLine="800" w:firstLineChars="250"/>
        <w:rPr>
          <w:rFonts w:eastAsia="仿宋_GB2312"/>
          <w:sz w:val="32"/>
          <w:szCs w:val="32"/>
        </w:rPr>
      </w:pPr>
      <w:r>
        <w:rPr>
          <w:rFonts w:hAnsi="仿宋_GB2312" w:eastAsia="仿宋_GB2312"/>
          <w:sz w:val="32"/>
          <w:szCs w:val="32"/>
        </w:rPr>
        <w:t>四川省攀枝花市科技发展战略研究所</w:t>
      </w:r>
      <w:r>
        <w:rPr>
          <w:rFonts w:eastAsia="仿宋_GB2312"/>
          <w:sz w:val="32"/>
          <w:szCs w:val="32"/>
        </w:rPr>
        <w:t>下属二级预算单位0个，其中行政单位0个，参照公务员法管理的事业单位</w:t>
      </w:r>
      <w:r>
        <w:rPr>
          <w:rFonts w:eastAsia="仿宋_GB2312"/>
          <w:bCs/>
          <w:sz w:val="32"/>
          <w:szCs w:val="32"/>
        </w:rPr>
        <w:t>0</w:t>
      </w:r>
      <w:r>
        <w:rPr>
          <w:rFonts w:eastAsia="仿宋_GB2312"/>
          <w:sz w:val="32"/>
          <w:szCs w:val="32"/>
        </w:rPr>
        <w:t>个，其他事业单位0个。</w:t>
      </w:r>
    </w:p>
    <w:p>
      <w:pPr>
        <w:pStyle w:val="13"/>
        <w:rPr>
          <w:rFonts w:eastAsia="仿宋_GB2312"/>
          <w:sz w:val="32"/>
          <w:szCs w:val="32"/>
        </w:rPr>
      </w:pPr>
    </w:p>
    <w:p>
      <w:pPr>
        <w:pStyle w:val="7"/>
        <w:ind w:left="420" w:firstLine="640"/>
        <w:rPr>
          <w:rFonts w:eastAsia="仿宋_GB2312"/>
          <w:sz w:val="32"/>
        </w:rPr>
      </w:pPr>
    </w:p>
    <w:p>
      <w:pPr>
        <w:pStyle w:val="7"/>
        <w:ind w:left="420" w:firstLine="640"/>
        <w:rPr>
          <w:rFonts w:eastAsia="仿宋_GB2312"/>
          <w:sz w:val="32"/>
        </w:rPr>
      </w:pPr>
    </w:p>
    <w:p>
      <w:pPr>
        <w:pStyle w:val="7"/>
        <w:ind w:left="420" w:firstLine="640"/>
        <w:rPr>
          <w:rFonts w:eastAsia="仿宋_GB2312"/>
          <w:sz w:val="32"/>
        </w:rPr>
      </w:pPr>
    </w:p>
    <w:p>
      <w:pPr>
        <w:pStyle w:val="7"/>
        <w:ind w:left="420" w:firstLine="640"/>
        <w:rPr>
          <w:rFonts w:eastAsia="仿宋_GB2312"/>
          <w:sz w:val="32"/>
        </w:rPr>
      </w:pPr>
    </w:p>
    <w:p>
      <w:pPr>
        <w:pStyle w:val="3"/>
        <w:jc w:val="center"/>
        <w:rPr>
          <w:rFonts w:eastAsia="方正小标宋_GBK"/>
          <w:b w:val="0"/>
          <w:sz w:val="32"/>
          <w:szCs w:val="32"/>
        </w:rPr>
      </w:pPr>
      <w:bookmarkStart w:id="12" w:name="_Toc15396602"/>
      <w:bookmarkStart w:id="13" w:name="_Toc15377204"/>
      <w:r>
        <w:rPr>
          <w:rFonts w:eastAsia="方正小标宋_GBK"/>
          <w:b w:val="0"/>
          <w:sz w:val="32"/>
          <w:szCs w:val="32"/>
        </w:rPr>
        <w:t>第二部分2024年度</w:t>
      </w:r>
      <w:r>
        <w:rPr>
          <w:rFonts w:hint="eastAsia" w:eastAsia="方正小标宋_GBK"/>
          <w:b w:val="0"/>
          <w:sz w:val="32"/>
          <w:szCs w:val="32"/>
        </w:rPr>
        <w:t>单位</w:t>
      </w:r>
      <w:r>
        <w:rPr>
          <w:rFonts w:eastAsia="方正小标宋_GBK"/>
          <w:b w:val="0"/>
          <w:sz w:val="32"/>
          <w:szCs w:val="32"/>
        </w:rPr>
        <w:t>决算情况说明</w:t>
      </w:r>
      <w:bookmarkEnd w:id="12"/>
      <w:bookmarkEnd w:id="13"/>
    </w:p>
    <w:p>
      <w:pPr>
        <w:pStyle w:val="27"/>
        <w:spacing w:line="600" w:lineRule="exact"/>
        <w:ind w:firstLine="640"/>
        <w:outlineLvl w:val="1"/>
        <w:rPr>
          <w:rStyle w:val="29"/>
          <w:rFonts w:ascii="Times New Roman" w:hAnsi="Times New Roman" w:eastAsia="黑体" w:cs="Times New Roman"/>
          <w:b w:val="0"/>
        </w:rPr>
      </w:pPr>
      <w:bookmarkStart w:id="14" w:name="_Toc15396603"/>
      <w:bookmarkStart w:id="15" w:name="_Toc15377205"/>
      <w:r>
        <w:rPr>
          <w:rFonts w:eastAsia="黑体"/>
          <w:sz w:val="32"/>
          <w:szCs w:val="32"/>
        </w:rPr>
        <w:t>一、收</w:t>
      </w:r>
      <w:r>
        <w:rPr>
          <w:rStyle w:val="29"/>
          <w:rFonts w:ascii="Times New Roman" w:hAnsi="Times New Roman" w:eastAsia="黑体" w:cs="Times New Roman"/>
          <w:b w:val="0"/>
        </w:rPr>
        <w:t>入支出决算总体情况说明</w:t>
      </w:r>
      <w:bookmarkEnd w:id="14"/>
      <w:bookmarkEnd w:id="15"/>
    </w:p>
    <w:p>
      <w:pPr>
        <w:pStyle w:val="27"/>
        <w:spacing w:line="600" w:lineRule="exact"/>
        <w:ind w:firstLine="640"/>
        <w:outlineLvl w:val="1"/>
        <w:rPr>
          <w:rFonts w:eastAsia="仿宋_GB2312"/>
          <w:sz w:val="32"/>
          <w:szCs w:val="32"/>
        </w:rPr>
      </w:pPr>
      <w:r>
        <w:rPr>
          <w:rFonts w:eastAsia="仿宋_GB2312"/>
          <w:sz w:val="32"/>
          <w:szCs w:val="32"/>
        </w:rPr>
        <w:t>2024年度收入、支出总计均为480.43万元。与2023年度相比，收入、支出总计各减少27.73万元，下降5.46%。主要变动原因是2023年退休一人及2024年人员经费调整。</w:t>
      </w: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p>
    <w:p>
      <w:pPr>
        <w:pStyle w:val="27"/>
        <w:spacing w:line="600" w:lineRule="exact"/>
        <w:ind w:firstLine="640"/>
        <w:outlineLvl w:val="1"/>
        <w:rPr>
          <w:rFonts w:eastAsia="仿宋_GB2312"/>
          <w:sz w:val="32"/>
          <w:szCs w:val="32"/>
        </w:rPr>
      </w:pPr>
      <w:r>
        <w:rPr>
          <w:rFonts w:eastAsia="仿宋_GB2312"/>
          <w:sz w:val="32"/>
          <w:szCs w:val="32"/>
        </w:rPr>
        <w:drawing>
          <wp:anchor distT="0" distB="0" distL="114300" distR="114300" simplePos="0" relativeHeight="251659264" behindDoc="0" locked="0" layoutInCell="1" allowOverlap="1">
            <wp:simplePos x="0" y="0"/>
            <wp:positionH relativeFrom="column">
              <wp:posOffset>426085</wp:posOffset>
            </wp:positionH>
            <wp:positionV relativeFrom="paragraph">
              <wp:posOffset>-1424940</wp:posOffset>
            </wp:positionV>
            <wp:extent cx="4940300" cy="1733550"/>
            <wp:effectExtent l="19050" t="0" r="12644" b="166"/>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7"/>
        <w:spacing w:line="600" w:lineRule="exact"/>
        <w:ind w:firstLine="640"/>
        <w:outlineLvl w:val="1"/>
        <w:rPr>
          <w:rFonts w:eastAsia="仿宋_GB2312"/>
          <w:sz w:val="32"/>
          <w:szCs w:val="32"/>
        </w:rPr>
      </w:pPr>
      <w:r>
        <w:rPr>
          <w:rFonts w:eastAsia="仿宋_GB2312"/>
          <w:sz w:val="32"/>
          <w:szCs w:val="32"/>
        </w:rPr>
        <w:t>（图1：收入、支出决算总计变动情况图）（柱状图）</w:t>
      </w:r>
    </w:p>
    <w:p>
      <w:pPr>
        <w:pStyle w:val="27"/>
        <w:spacing w:line="600" w:lineRule="exact"/>
        <w:ind w:firstLine="640"/>
        <w:outlineLvl w:val="1"/>
        <w:rPr>
          <w:rFonts w:eastAsia="黑体"/>
          <w:sz w:val="32"/>
          <w:szCs w:val="32"/>
        </w:rPr>
      </w:pPr>
      <w:bookmarkStart w:id="16" w:name="_Toc15377206"/>
      <w:bookmarkStart w:id="17" w:name="_Toc15396604"/>
      <w:r>
        <w:rPr>
          <w:rFonts w:eastAsia="黑体"/>
          <w:sz w:val="32"/>
          <w:szCs w:val="32"/>
        </w:rPr>
        <w:t>二、收入决算情况说明</w:t>
      </w:r>
      <w:bookmarkEnd w:id="16"/>
      <w:bookmarkEnd w:id="17"/>
    </w:p>
    <w:p>
      <w:pPr>
        <w:pStyle w:val="27"/>
        <w:spacing w:line="600" w:lineRule="exact"/>
        <w:ind w:firstLine="640"/>
        <w:jc w:val="left"/>
        <w:outlineLvl w:val="1"/>
        <w:rPr>
          <w:rFonts w:eastAsia="仿宋_GB2312"/>
          <w:sz w:val="32"/>
          <w:szCs w:val="32"/>
        </w:rPr>
      </w:pPr>
      <w:r>
        <w:rPr>
          <w:rFonts w:eastAsia="仿宋_GB2312"/>
          <w:sz w:val="32"/>
          <w:szCs w:val="32"/>
        </w:rPr>
        <w:t>2024</w:t>
      </w:r>
      <w:r>
        <w:rPr>
          <w:rFonts w:hAnsi="仿宋_GB2312" w:eastAsia="仿宋_GB2312"/>
          <w:sz w:val="32"/>
          <w:szCs w:val="32"/>
        </w:rPr>
        <w:t>年度本年收入合计</w:t>
      </w:r>
      <w:r>
        <w:rPr>
          <w:rFonts w:eastAsia="仿宋_GB2312"/>
          <w:sz w:val="32"/>
          <w:szCs w:val="32"/>
        </w:rPr>
        <w:t>473.23</w:t>
      </w:r>
      <w:r>
        <w:rPr>
          <w:rFonts w:hAnsi="仿宋_GB2312" w:eastAsia="仿宋_GB2312"/>
          <w:sz w:val="32"/>
          <w:szCs w:val="32"/>
        </w:rPr>
        <w:t>万元，其中：一般公共预算财政拨款收入</w:t>
      </w:r>
      <w:r>
        <w:rPr>
          <w:rFonts w:eastAsia="仿宋_GB2312"/>
          <w:sz w:val="32"/>
          <w:szCs w:val="32"/>
        </w:rPr>
        <w:t>473.23</w:t>
      </w:r>
      <w:r>
        <w:rPr>
          <w:rFonts w:hAnsi="仿宋_GB2312" w:eastAsia="仿宋_GB2312"/>
          <w:sz w:val="32"/>
          <w:szCs w:val="32"/>
        </w:rPr>
        <w:t>万元，占</w:t>
      </w:r>
      <w:r>
        <w:rPr>
          <w:rFonts w:eastAsia="仿宋_GB2312"/>
          <w:sz w:val="32"/>
          <w:szCs w:val="32"/>
        </w:rPr>
        <w:t>100%</w:t>
      </w:r>
      <w:r>
        <w:rPr>
          <w:rFonts w:hAnsi="仿宋_GB2312" w:eastAsia="仿宋_GB2312"/>
          <w:sz w:val="32"/>
          <w:szCs w:val="32"/>
        </w:rPr>
        <w:t>。</w:t>
      </w:r>
    </w:p>
    <w:p>
      <w:pPr>
        <w:pStyle w:val="27"/>
        <w:spacing w:line="600" w:lineRule="exact"/>
        <w:ind w:firstLine="640"/>
        <w:jc w:val="left"/>
        <w:outlineLvl w:val="1"/>
        <w:rPr>
          <w:rFonts w:eastAsia="仿宋_GB2312"/>
          <w:sz w:val="32"/>
          <w:szCs w:val="32"/>
        </w:rPr>
      </w:pPr>
    </w:p>
    <w:p>
      <w:pPr>
        <w:pStyle w:val="27"/>
        <w:spacing w:line="600" w:lineRule="exact"/>
        <w:ind w:firstLine="640"/>
        <w:jc w:val="left"/>
        <w:outlineLvl w:val="1"/>
        <w:rPr>
          <w:rFonts w:eastAsia="仿宋_GB2312"/>
          <w:sz w:val="32"/>
          <w:szCs w:val="32"/>
        </w:rPr>
      </w:pPr>
    </w:p>
    <w:p>
      <w:pPr>
        <w:pStyle w:val="27"/>
        <w:spacing w:line="600" w:lineRule="exact"/>
        <w:ind w:firstLine="640"/>
        <w:jc w:val="left"/>
        <w:outlineLvl w:val="1"/>
        <w:rPr>
          <w:rFonts w:eastAsia="仿宋_GB2312"/>
          <w:sz w:val="32"/>
          <w:szCs w:val="32"/>
        </w:rPr>
      </w:pPr>
    </w:p>
    <w:p>
      <w:pPr>
        <w:pStyle w:val="27"/>
        <w:spacing w:line="600" w:lineRule="exact"/>
        <w:ind w:firstLine="640"/>
        <w:jc w:val="left"/>
        <w:outlineLvl w:val="1"/>
        <w:rPr>
          <w:rFonts w:eastAsia="仿宋_GB2312"/>
          <w:sz w:val="32"/>
          <w:szCs w:val="32"/>
        </w:rPr>
      </w:pPr>
    </w:p>
    <w:p>
      <w:pPr>
        <w:pStyle w:val="27"/>
        <w:spacing w:line="600" w:lineRule="exact"/>
        <w:ind w:firstLine="640"/>
        <w:jc w:val="left"/>
        <w:outlineLvl w:val="1"/>
        <w:rPr>
          <w:rFonts w:eastAsia="仿宋_GB2312"/>
          <w:sz w:val="32"/>
          <w:szCs w:val="32"/>
        </w:rPr>
      </w:pPr>
    </w:p>
    <w:p>
      <w:pPr>
        <w:pStyle w:val="27"/>
        <w:spacing w:line="600" w:lineRule="exact"/>
        <w:ind w:firstLine="643"/>
        <w:jc w:val="left"/>
        <w:outlineLvl w:val="1"/>
        <w:rPr>
          <w:rFonts w:eastAsia="仿宋_GB2312"/>
          <w:b/>
          <w:bCs/>
          <w:sz w:val="32"/>
          <w:szCs w:val="32"/>
        </w:rPr>
      </w:pPr>
      <w:r>
        <w:rPr>
          <w:rFonts w:eastAsia="仿宋_GB2312"/>
          <w:b/>
          <w:bCs/>
          <w:sz w:val="32"/>
          <w:szCs w:val="32"/>
        </w:rPr>
        <w:drawing>
          <wp:anchor distT="0" distB="0" distL="114300" distR="114300" simplePos="0" relativeHeight="251660288" behindDoc="0" locked="0" layoutInCell="1" allowOverlap="1">
            <wp:simplePos x="0" y="0"/>
            <wp:positionH relativeFrom="column">
              <wp:posOffset>426085</wp:posOffset>
            </wp:positionH>
            <wp:positionV relativeFrom="paragraph">
              <wp:posOffset>-1603375</wp:posOffset>
            </wp:positionV>
            <wp:extent cx="4312920" cy="1908175"/>
            <wp:effectExtent l="19050" t="0" r="11512"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ind w:firstLine="800" w:firstLineChars="250"/>
        <w:rPr>
          <w:rFonts w:eastAsia="仿宋_GB2312"/>
          <w:sz w:val="32"/>
          <w:szCs w:val="32"/>
        </w:rPr>
      </w:pPr>
      <w:r>
        <w:rPr>
          <w:rFonts w:eastAsia="仿宋_GB2312"/>
          <w:sz w:val="32"/>
          <w:szCs w:val="32"/>
        </w:rPr>
        <w:t>（图2：收入决算结构图）（饼状图）</w:t>
      </w:r>
    </w:p>
    <w:p>
      <w:pPr>
        <w:pStyle w:val="27"/>
        <w:spacing w:line="600" w:lineRule="exact"/>
        <w:ind w:firstLine="640"/>
        <w:outlineLvl w:val="1"/>
        <w:rPr>
          <w:rStyle w:val="29"/>
          <w:rFonts w:ascii="Times New Roman" w:hAnsi="Times New Roman" w:eastAsia="黑体" w:cs="Times New Roman"/>
          <w:b w:val="0"/>
        </w:rPr>
      </w:pPr>
      <w:bookmarkStart w:id="18" w:name="_Toc15377207"/>
      <w:bookmarkStart w:id="19" w:name="_Toc15396605"/>
      <w:r>
        <w:rPr>
          <w:rFonts w:eastAsia="黑体"/>
          <w:sz w:val="32"/>
          <w:szCs w:val="32"/>
        </w:rPr>
        <w:t>三、支</w:t>
      </w:r>
      <w:r>
        <w:rPr>
          <w:rStyle w:val="29"/>
          <w:rFonts w:ascii="Times New Roman" w:hAnsi="Times New Roman" w:eastAsia="黑体" w:cs="Times New Roman"/>
          <w:b w:val="0"/>
        </w:rPr>
        <w:t>出决算情况说明</w:t>
      </w:r>
      <w:bookmarkEnd w:id="18"/>
      <w:bookmarkEnd w:id="19"/>
    </w:p>
    <w:p>
      <w:pPr>
        <w:pStyle w:val="27"/>
        <w:spacing w:line="600" w:lineRule="exact"/>
        <w:ind w:firstLine="640"/>
        <w:jc w:val="left"/>
        <w:outlineLvl w:val="1"/>
        <w:rPr>
          <w:rFonts w:eastAsia="仿宋_GB2312"/>
          <w:sz w:val="32"/>
          <w:szCs w:val="32"/>
        </w:rPr>
      </w:pPr>
      <w:r>
        <w:rPr>
          <w:rFonts w:eastAsia="仿宋_GB2312"/>
          <w:sz w:val="32"/>
          <w:szCs w:val="32"/>
        </w:rPr>
        <w:t>2024</w:t>
      </w:r>
      <w:r>
        <w:rPr>
          <w:rFonts w:hAnsi="仿宋_GB2312" w:eastAsia="仿宋_GB2312"/>
          <w:sz w:val="32"/>
          <w:szCs w:val="32"/>
        </w:rPr>
        <w:t>年度本年支出合计</w:t>
      </w:r>
      <w:r>
        <w:rPr>
          <w:rFonts w:eastAsia="仿宋_GB2312"/>
          <w:sz w:val="32"/>
          <w:szCs w:val="32"/>
        </w:rPr>
        <w:t>475.66</w:t>
      </w:r>
      <w:r>
        <w:rPr>
          <w:rFonts w:hAnsi="仿宋_GB2312" w:eastAsia="仿宋_GB2312"/>
          <w:sz w:val="32"/>
          <w:szCs w:val="32"/>
        </w:rPr>
        <w:t>万元，其中：基本支出</w:t>
      </w:r>
      <w:r>
        <w:rPr>
          <w:rFonts w:eastAsia="仿宋_GB2312"/>
          <w:sz w:val="32"/>
          <w:szCs w:val="32"/>
        </w:rPr>
        <w:t>469.56</w:t>
      </w:r>
      <w:r>
        <w:rPr>
          <w:rFonts w:hAnsi="仿宋_GB2312" w:eastAsia="仿宋_GB2312"/>
          <w:sz w:val="32"/>
          <w:szCs w:val="32"/>
        </w:rPr>
        <w:t>万元，占</w:t>
      </w:r>
      <w:r>
        <w:rPr>
          <w:rFonts w:eastAsia="仿宋_GB2312"/>
          <w:sz w:val="32"/>
          <w:szCs w:val="32"/>
        </w:rPr>
        <w:t>98.72%</w:t>
      </w:r>
      <w:r>
        <w:rPr>
          <w:rFonts w:hAnsi="仿宋_GB2312" w:eastAsia="仿宋_GB2312"/>
          <w:sz w:val="32"/>
          <w:szCs w:val="32"/>
        </w:rPr>
        <w:t>；项目支出</w:t>
      </w:r>
      <w:r>
        <w:rPr>
          <w:rFonts w:eastAsia="仿宋_GB2312"/>
          <w:sz w:val="32"/>
          <w:szCs w:val="32"/>
        </w:rPr>
        <w:t>6.11</w:t>
      </w:r>
      <w:r>
        <w:rPr>
          <w:rFonts w:hAnsi="仿宋_GB2312" w:eastAsia="仿宋_GB2312"/>
          <w:sz w:val="32"/>
          <w:szCs w:val="32"/>
        </w:rPr>
        <w:t>万元，占</w:t>
      </w:r>
      <w:r>
        <w:rPr>
          <w:rFonts w:eastAsia="仿宋_GB2312"/>
          <w:sz w:val="32"/>
          <w:szCs w:val="32"/>
        </w:rPr>
        <w:t>1.28%</w:t>
      </w:r>
      <w:r>
        <w:rPr>
          <w:rFonts w:hAnsi="仿宋_GB2312" w:eastAsia="仿宋_GB2312"/>
          <w:sz w:val="32"/>
          <w:szCs w:val="32"/>
        </w:rPr>
        <w:t>。</w:t>
      </w:r>
    </w:p>
    <w:p>
      <w:pPr>
        <w:pStyle w:val="27"/>
        <w:spacing w:line="600" w:lineRule="exact"/>
        <w:ind w:firstLine="640"/>
        <w:jc w:val="left"/>
        <w:outlineLvl w:val="1"/>
        <w:rPr>
          <w:rFonts w:eastAsia="仿宋_GB2312"/>
          <w:sz w:val="32"/>
          <w:szCs w:val="32"/>
        </w:rPr>
      </w:pPr>
    </w:p>
    <w:p>
      <w:pPr>
        <w:pStyle w:val="27"/>
        <w:spacing w:line="600" w:lineRule="exact"/>
        <w:ind w:firstLine="640"/>
        <w:jc w:val="left"/>
        <w:outlineLvl w:val="1"/>
        <w:rPr>
          <w:rFonts w:eastAsia="仿宋_GB2312"/>
          <w:sz w:val="32"/>
          <w:szCs w:val="32"/>
        </w:rPr>
      </w:pPr>
    </w:p>
    <w:p>
      <w:pPr>
        <w:pStyle w:val="27"/>
        <w:spacing w:line="600" w:lineRule="exact"/>
        <w:ind w:firstLine="640"/>
        <w:jc w:val="left"/>
        <w:outlineLvl w:val="1"/>
        <w:rPr>
          <w:rFonts w:eastAsia="仿宋_GB2312"/>
          <w:sz w:val="32"/>
          <w:szCs w:val="32"/>
        </w:rPr>
      </w:pPr>
    </w:p>
    <w:p>
      <w:pPr>
        <w:pStyle w:val="27"/>
        <w:spacing w:line="600" w:lineRule="exact"/>
        <w:ind w:firstLine="640"/>
        <w:jc w:val="left"/>
        <w:outlineLvl w:val="1"/>
        <w:rPr>
          <w:rFonts w:eastAsia="仿宋_GB2312"/>
          <w:sz w:val="32"/>
          <w:szCs w:val="32"/>
        </w:rPr>
      </w:pPr>
    </w:p>
    <w:p>
      <w:pPr>
        <w:pStyle w:val="27"/>
        <w:spacing w:line="600" w:lineRule="exact"/>
        <w:ind w:firstLine="640"/>
        <w:jc w:val="left"/>
        <w:outlineLvl w:val="1"/>
        <w:rPr>
          <w:rFonts w:eastAsia="仿宋_GB2312"/>
          <w:sz w:val="32"/>
          <w:szCs w:val="32"/>
        </w:rPr>
      </w:pPr>
      <w:r>
        <w:rPr>
          <w:rFonts w:eastAsia="仿宋_GB2312"/>
          <w:sz w:val="32"/>
          <w:szCs w:val="32"/>
        </w:rPr>
        <w:drawing>
          <wp:anchor distT="0" distB="0" distL="114300" distR="114300" simplePos="0" relativeHeight="251661312" behindDoc="0" locked="0" layoutInCell="1" allowOverlap="1">
            <wp:simplePos x="0" y="0"/>
            <wp:positionH relativeFrom="column">
              <wp:posOffset>426085</wp:posOffset>
            </wp:positionH>
            <wp:positionV relativeFrom="paragraph">
              <wp:posOffset>-1443990</wp:posOffset>
            </wp:positionV>
            <wp:extent cx="3827145" cy="1746250"/>
            <wp:effectExtent l="19050" t="0" r="21231" b="6488"/>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ind w:firstLine="800" w:firstLineChars="250"/>
        <w:rPr>
          <w:rFonts w:eastAsia="仿宋_GB2312"/>
          <w:sz w:val="32"/>
          <w:szCs w:val="32"/>
        </w:rPr>
      </w:pPr>
      <w:r>
        <w:rPr>
          <w:rFonts w:eastAsia="仿宋_GB2312"/>
          <w:sz w:val="32"/>
          <w:szCs w:val="32"/>
        </w:rPr>
        <w:t>（图3：支出决算结构图）（饼状图）</w:t>
      </w:r>
    </w:p>
    <w:p>
      <w:pPr>
        <w:spacing w:line="600" w:lineRule="exact"/>
        <w:ind w:firstLine="640" w:firstLineChars="200"/>
        <w:outlineLvl w:val="1"/>
        <w:rPr>
          <w:rStyle w:val="29"/>
          <w:rFonts w:ascii="Times New Roman" w:hAnsi="Times New Roman" w:eastAsia="黑体" w:cs="Times New Roman"/>
          <w:b w:val="0"/>
        </w:rPr>
      </w:pPr>
      <w:bookmarkStart w:id="20" w:name="_Toc15396606"/>
      <w:bookmarkStart w:id="21" w:name="_Toc15377208"/>
      <w:r>
        <w:rPr>
          <w:rFonts w:eastAsia="黑体"/>
          <w:sz w:val="32"/>
          <w:szCs w:val="32"/>
        </w:rPr>
        <w:t>四、财</w:t>
      </w:r>
      <w:r>
        <w:rPr>
          <w:rStyle w:val="29"/>
          <w:rFonts w:ascii="Times New Roman" w:hAnsi="Times New Roman" w:eastAsia="黑体" w:cs="Times New Roman"/>
          <w:b w:val="0"/>
        </w:rPr>
        <w:t>政拨款收入支出决算总体情况说明</w:t>
      </w:r>
      <w:bookmarkEnd w:id="20"/>
      <w:bookmarkEnd w:id="21"/>
    </w:p>
    <w:p>
      <w:pPr>
        <w:spacing w:line="600" w:lineRule="exact"/>
        <w:ind w:firstLine="640"/>
        <w:rPr>
          <w:rFonts w:ascii="方正仿宋_GBK" w:eastAsia="方正仿宋_GBK"/>
          <w:sz w:val="32"/>
          <w:szCs w:val="32"/>
        </w:rPr>
      </w:pPr>
      <w:r>
        <w:rPr>
          <w:rFonts w:ascii="方正仿宋_GBK" w:eastAsia="方正仿宋_GBK"/>
          <w:sz w:val="32"/>
          <w:szCs w:val="32"/>
        </w:rPr>
        <w:t>2024年度财政拨款收入、支出总计均为480.43万元。与2023年度相比，财政拨款收入总计、支出总计各减少27.73万元，下降5.46%。主要变动原因是2023年退休一人及2024年人员经费调整。</w:t>
      </w:r>
    </w:p>
    <w:p>
      <w:pPr>
        <w:spacing w:line="600" w:lineRule="exact"/>
        <w:ind w:firstLine="640"/>
        <w:rPr>
          <w:rFonts w:ascii="方正仿宋_GBK" w:eastAsia="方正仿宋_GBK"/>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r>
        <w:rPr>
          <w:rFonts w:eastAsia="仿宋_GB2312"/>
          <w:sz w:val="32"/>
          <w:szCs w:val="32"/>
        </w:rPr>
        <w:drawing>
          <wp:anchor distT="0" distB="0" distL="114300" distR="114300" simplePos="0" relativeHeight="251662336" behindDoc="0" locked="0" layoutInCell="1" allowOverlap="1">
            <wp:simplePos x="0" y="0"/>
            <wp:positionH relativeFrom="column">
              <wp:posOffset>426085</wp:posOffset>
            </wp:positionH>
            <wp:positionV relativeFrom="paragraph">
              <wp:posOffset>-1753870</wp:posOffset>
            </wp:positionV>
            <wp:extent cx="4175760" cy="2053590"/>
            <wp:effectExtent l="19050" t="0" r="15240" b="3727"/>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rPr>
          <w:rFonts w:eastAsia="仿宋_GB2312"/>
          <w:sz w:val="32"/>
          <w:szCs w:val="32"/>
        </w:rPr>
      </w:pPr>
      <w:r>
        <w:rPr>
          <w:rFonts w:eastAsia="仿宋_GB2312"/>
          <w:sz w:val="32"/>
          <w:szCs w:val="32"/>
        </w:rPr>
        <w:t>（图4：财政拨款收、支决算总计变动情况）（柱状图）</w:t>
      </w:r>
    </w:p>
    <w:p>
      <w:pPr>
        <w:spacing w:line="600" w:lineRule="exact"/>
        <w:ind w:firstLine="640" w:firstLineChars="200"/>
        <w:outlineLvl w:val="1"/>
        <w:rPr>
          <w:rStyle w:val="29"/>
          <w:rFonts w:ascii="Times New Roman" w:hAnsi="Times New Roman" w:eastAsia="黑体" w:cs="Times New Roman"/>
          <w:b w:val="0"/>
        </w:rPr>
      </w:pPr>
      <w:bookmarkStart w:id="22" w:name="_Toc15377209"/>
      <w:bookmarkStart w:id="23" w:name="_Toc15396607"/>
      <w:r>
        <w:rPr>
          <w:rFonts w:eastAsia="黑体"/>
          <w:sz w:val="32"/>
          <w:szCs w:val="32"/>
        </w:rPr>
        <w:t>五、</w:t>
      </w:r>
      <w:r>
        <w:rPr>
          <w:rFonts w:eastAsia="黑体"/>
          <w:b/>
          <w:sz w:val="32"/>
          <w:szCs w:val="32"/>
        </w:rPr>
        <w:t>一</w:t>
      </w:r>
      <w:r>
        <w:rPr>
          <w:rStyle w:val="29"/>
          <w:rFonts w:ascii="Times New Roman" w:hAnsi="Times New Roman" w:eastAsia="黑体" w:cs="Times New Roman"/>
          <w:b w:val="0"/>
        </w:rPr>
        <w:t>般公共预算财政拨款支出决算情况说明</w:t>
      </w:r>
      <w:bookmarkEnd w:id="22"/>
      <w:bookmarkEnd w:id="23"/>
    </w:p>
    <w:p>
      <w:pPr>
        <w:spacing w:line="600" w:lineRule="exact"/>
        <w:ind w:firstLine="642" w:firstLineChars="200"/>
        <w:outlineLvl w:val="2"/>
        <w:rPr>
          <w:rFonts w:eastAsia="楷体_GB2312"/>
          <w:b/>
          <w:sz w:val="32"/>
          <w:szCs w:val="32"/>
        </w:rPr>
      </w:pPr>
      <w:bookmarkStart w:id="24" w:name="_Toc15377210"/>
      <w:r>
        <w:rPr>
          <w:rFonts w:eastAsia="楷体_GB2312"/>
          <w:b/>
          <w:sz w:val="32"/>
          <w:szCs w:val="32"/>
        </w:rPr>
        <w:t>（一）一般公共预算财政拨款支出决算总体情况</w:t>
      </w:r>
      <w:bookmarkEnd w:id="24"/>
    </w:p>
    <w:p>
      <w:pPr>
        <w:spacing w:line="600" w:lineRule="exact"/>
        <w:ind w:firstLine="640"/>
        <w:rPr>
          <w:rFonts w:eastAsia="仿宋_GB2312"/>
          <w:sz w:val="32"/>
          <w:szCs w:val="32"/>
        </w:rPr>
      </w:pPr>
      <w:r>
        <w:rPr>
          <w:rFonts w:eastAsia="仿宋_GB2312"/>
          <w:sz w:val="32"/>
          <w:szCs w:val="32"/>
        </w:rPr>
        <w:t>2024</w:t>
      </w:r>
      <w:r>
        <w:rPr>
          <w:rFonts w:hAnsi="仿宋_GB2312" w:eastAsia="仿宋_GB2312"/>
          <w:sz w:val="32"/>
          <w:szCs w:val="32"/>
        </w:rPr>
        <w:t>年度一般公共预算财政拨款支出</w:t>
      </w:r>
      <w:r>
        <w:rPr>
          <w:rFonts w:eastAsia="仿宋_GB2312"/>
          <w:sz w:val="32"/>
          <w:szCs w:val="32"/>
        </w:rPr>
        <w:t>475.66</w:t>
      </w:r>
      <w:r>
        <w:rPr>
          <w:rFonts w:hAnsi="仿宋_GB2312" w:eastAsia="仿宋_GB2312"/>
          <w:sz w:val="32"/>
          <w:szCs w:val="32"/>
        </w:rPr>
        <w:t>万元，占本年支出合计的</w:t>
      </w:r>
      <w:r>
        <w:rPr>
          <w:rFonts w:eastAsia="仿宋_GB2312"/>
          <w:sz w:val="32"/>
          <w:szCs w:val="32"/>
        </w:rPr>
        <w:t>100%</w:t>
      </w:r>
      <w:r>
        <w:rPr>
          <w:rFonts w:hAnsi="仿宋_GB2312" w:eastAsia="仿宋_GB2312"/>
          <w:sz w:val="32"/>
          <w:szCs w:val="32"/>
        </w:rPr>
        <w:t>。与</w:t>
      </w:r>
      <w:r>
        <w:rPr>
          <w:rFonts w:eastAsia="仿宋_GB2312"/>
          <w:sz w:val="32"/>
          <w:szCs w:val="32"/>
        </w:rPr>
        <w:t>2023</w:t>
      </w:r>
      <w:r>
        <w:rPr>
          <w:rFonts w:hAnsi="仿宋_GB2312" w:eastAsia="仿宋_GB2312"/>
          <w:sz w:val="32"/>
          <w:szCs w:val="32"/>
        </w:rPr>
        <w:t>年度相比，一般公共预算财政拨款支出减少</w:t>
      </w:r>
      <w:r>
        <w:rPr>
          <w:rFonts w:eastAsia="仿宋_GB2312"/>
          <w:sz w:val="32"/>
          <w:szCs w:val="32"/>
        </w:rPr>
        <w:t>25.3</w:t>
      </w:r>
      <w:r>
        <w:rPr>
          <w:rFonts w:hAnsi="仿宋_GB2312" w:eastAsia="仿宋_GB2312"/>
          <w:sz w:val="32"/>
          <w:szCs w:val="32"/>
        </w:rPr>
        <w:t>万元，下降</w:t>
      </w:r>
      <w:r>
        <w:rPr>
          <w:rFonts w:eastAsia="仿宋_GB2312"/>
          <w:sz w:val="32"/>
          <w:szCs w:val="32"/>
        </w:rPr>
        <w:t>5.05%</w:t>
      </w:r>
      <w:r>
        <w:rPr>
          <w:rFonts w:hAnsi="仿宋_GB2312" w:eastAsia="仿宋_GB2312"/>
          <w:sz w:val="32"/>
          <w:szCs w:val="32"/>
        </w:rPr>
        <w:t>。主要变动原因是</w:t>
      </w:r>
      <w:r>
        <w:rPr>
          <w:rFonts w:eastAsia="仿宋_GB2312"/>
          <w:sz w:val="32"/>
          <w:szCs w:val="32"/>
        </w:rPr>
        <w:t>2023年退休一人及2024年人员经费调整。</w:t>
      </w:r>
    </w:p>
    <w:p>
      <w:pPr>
        <w:pStyle w:val="7"/>
        <w:ind w:left="420" w:firstLine="640"/>
        <w:rPr>
          <w:rFonts w:ascii="Times New Roman"/>
          <w:sz w:val="32"/>
        </w:rPr>
      </w:pPr>
      <w:r>
        <w:rPr>
          <w:rFonts w:ascii="Times New Roman"/>
          <w:sz w:val="32"/>
        </w:rPr>
        <w:drawing>
          <wp:inline distT="0" distB="0" distL="0" distR="0">
            <wp:extent cx="4572000" cy="250507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eastAsia="仿宋_GB2312"/>
          <w:sz w:val="32"/>
          <w:szCs w:val="32"/>
        </w:rPr>
      </w:pPr>
      <w:r>
        <w:rPr>
          <w:rFonts w:eastAsia="仿宋_GB2312"/>
          <w:sz w:val="32"/>
          <w:szCs w:val="32"/>
        </w:rPr>
        <w:t>（图5：一般公共预算财政拨款支出决算变动情况）（柱状图）</w:t>
      </w:r>
    </w:p>
    <w:p>
      <w:pPr>
        <w:spacing w:line="600" w:lineRule="exact"/>
        <w:ind w:firstLine="642" w:firstLineChars="200"/>
        <w:outlineLvl w:val="2"/>
        <w:rPr>
          <w:rFonts w:eastAsia="楷体_GB2312"/>
          <w:b/>
          <w:sz w:val="32"/>
          <w:szCs w:val="32"/>
        </w:rPr>
      </w:pPr>
      <w:bookmarkStart w:id="25" w:name="_Toc15377211"/>
      <w:r>
        <w:rPr>
          <w:rFonts w:eastAsia="楷体_GB2312"/>
          <w:b/>
          <w:sz w:val="32"/>
          <w:szCs w:val="32"/>
        </w:rPr>
        <w:t>（二）一般公共预算财政拨款支出决算结构情况</w:t>
      </w:r>
      <w:bookmarkEnd w:id="25"/>
    </w:p>
    <w:p>
      <w:pPr>
        <w:spacing w:line="600" w:lineRule="exact"/>
        <w:ind w:firstLine="640"/>
        <w:rPr>
          <w:rFonts w:eastAsia="仿宋_GB2312"/>
          <w:sz w:val="32"/>
          <w:szCs w:val="32"/>
        </w:rPr>
      </w:pPr>
      <w:r>
        <w:rPr>
          <w:rFonts w:hint="eastAsia" w:ascii="方正仿宋_GBK" w:eastAsia="方正仿宋_GBK"/>
          <w:sz w:val="32"/>
          <w:szCs w:val="32"/>
        </w:rPr>
        <w:t>2024年度一般公共预算财政拨款支出475.66</w:t>
      </w:r>
      <w:r>
        <w:rPr>
          <w:rFonts w:hint="eastAsia" w:ascii="方正仿宋_GBK" w:hAnsi="仿宋_GB2312" w:eastAsia="方正仿宋_GBK"/>
          <w:sz w:val="32"/>
          <w:szCs w:val="32"/>
        </w:rPr>
        <w:t>万元</w:t>
      </w:r>
      <w:r>
        <w:rPr>
          <w:rFonts w:hint="eastAsia" w:ascii="方正仿宋_GBK" w:eastAsia="方正仿宋_GBK"/>
          <w:sz w:val="32"/>
          <w:szCs w:val="32"/>
        </w:rPr>
        <w:t>，主要用于以下方面：206科学技术支出305.69万元，占总支出的64.27%；208社会保障和就业支出112.40万元，占总支出的23.63%；210卫生健康支出25.65万元，占总支出5.39%；221住房保障支出31.92万元，占总支出的6.71</w:t>
      </w:r>
      <w:r>
        <w:rPr>
          <w:rFonts w:eastAsia="仿宋_GB2312"/>
          <w:sz w:val="32"/>
          <w:szCs w:val="32"/>
        </w:rPr>
        <w:t>% 。</w:t>
      </w: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r>
        <w:rPr>
          <w:rFonts w:eastAsia="仿宋_GB2312"/>
          <w:sz w:val="32"/>
          <w:szCs w:val="32"/>
        </w:rPr>
        <w:drawing>
          <wp:anchor distT="0" distB="0" distL="114300" distR="114300" simplePos="0" relativeHeight="251663360" behindDoc="0" locked="0" layoutInCell="1" allowOverlap="1">
            <wp:simplePos x="0" y="0"/>
            <wp:positionH relativeFrom="column">
              <wp:posOffset>426085</wp:posOffset>
            </wp:positionH>
            <wp:positionV relativeFrom="paragraph">
              <wp:posOffset>-1718310</wp:posOffset>
            </wp:positionV>
            <wp:extent cx="3664585" cy="2027555"/>
            <wp:effectExtent l="19050" t="0" r="12313"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rPr>
          <w:rFonts w:eastAsia="仿宋_GB2312"/>
          <w:sz w:val="32"/>
          <w:szCs w:val="32"/>
        </w:rPr>
      </w:pPr>
    </w:p>
    <w:p>
      <w:pPr>
        <w:spacing w:line="600" w:lineRule="exact"/>
        <w:ind w:firstLine="640"/>
        <w:rPr>
          <w:rFonts w:eastAsia="仿宋_GB2312"/>
          <w:sz w:val="32"/>
          <w:szCs w:val="32"/>
        </w:rPr>
      </w:pPr>
      <w:r>
        <w:rPr>
          <w:rFonts w:eastAsia="仿宋_GB2312"/>
          <w:sz w:val="32"/>
          <w:szCs w:val="32"/>
        </w:rPr>
        <w:t>（图6：一般公共预算财政拨款支出决算结构）（饼状图）</w:t>
      </w:r>
    </w:p>
    <w:p>
      <w:pPr>
        <w:spacing w:line="600" w:lineRule="exact"/>
        <w:ind w:firstLine="642" w:firstLineChars="200"/>
        <w:outlineLvl w:val="2"/>
        <w:rPr>
          <w:rFonts w:eastAsia="楷体_GB2312"/>
          <w:b/>
          <w:sz w:val="32"/>
          <w:szCs w:val="32"/>
        </w:rPr>
      </w:pPr>
      <w:bookmarkStart w:id="26" w:name="_Toc15377212"/>
      <w:r>
        <w:rPr>
          <w:rFonts w:eastAsia="楷体_GB2312"/>
          <w:b/>
          <w:sz w:val="32"/>
          <w:szCs w:val="32"/>
        </w:rPr>
        <w:t>（三）一般公共预算财政拨款支出决算具体情况</w:t>
      </w:r>
      <w:bookmarkEnd w:id="26"/>
    </w:p>
    <w:p>
      <w:pPr>
        <w:spacing w:line="600" w:lineRule="exact"/>
        <w:ind w:firstLine="640"/>
        <w:rPr>
          <w:rFonts w:eastAsia="仿宋_GB2312"/>
          <w:sz w:val="32"/>
          <w:szCs w:val="32"/>
        </w:rPr>
      </w:pPr>
      <w:bookmarkStart w:id="27" w:name="_Toc15377444"/>
      <w:bookmarkStart w:id="28" w:name="_Toc15378460"/>
      <w:bookmarkStart w:id="29" w:name="_Toc15377213"/>
      <w:r>
        <w:rPr>
          <w:rFonts w:eastAsia="仿宋_GB2312"/>
          <w:sz w:val="32"/>
          <w:szCs w:val="32"/>
        </w:rPr>
        <w:t>2024年度一般公共预算财政拨款支出决算数为475.66</w:t>
      </w:r>
      <w:r>
        <w:rPr>
          <w:rFonts w:hAnsi="仿宋_GB2312" w:eastAsia="仿宋_GB2312"/>
          <w:sz w:val="32"/>
          <w:szCs w:val="32"/>
        </w:rPr>
        <w:t>，</w:t>
      </w:r>
      <w:r>
        <w:rPr>
          <w:rFonts w:eastAsia="仿宋_GB2312"/>
          <w:sz w:val="32"/>
          <w:szCs w:val="32"/>
        </w:rPr>
        <w:t>完成预算100%。其中：</w:t>
      </w:r>
      <w:bookmarkEnd w:id="27"/>
      <w:bookmarkEnd w:id="28"/>
      <w:bookmarkEnd w:id="29"/>
    </w:p>
    <w:p>
      <w:pPr>
        <w:spacing w:line="600" w:lineRule="exact"/>
        <w:ind w:firstLine="642" w:firstLineChars="200"/>
        <w:rPr>
          <w:rStyle w:val="17"/>
          <w:rFonts w:eastAsia="仿宋"/>
          <w:sz w:val="32"/>
          <w:szCs w:val="32"/>
        </w:rPr>
      </w:pPr>
      <w:r>
        <w:rPr>
          <w:rStyle w:val="17"/>
          <w:rFonts w:eastAsia="仿宋"/>
          <w:bCs/>
          <w:sz w:val="32"/>
          <w:szCs w:val="32"/>
        </w:rPr>
        <w:t>1.</w:t>
      </w:r>
      <w:r>
        <w:rPr>
          <w:rStyle w:val="17"/>
          <w:rFonts w:hAnsi="仿宋" w:eastAsia="仿宋"/>
          <w:bCs/>
          <w:sz w:val="32"/>
          <w:szCs w:val="32"/>
        </w:rPr>
        <w:t>科学技术（类）科技条件与服务（款）机构运行（项）</w:t>
      </w:r>
      <w:r>
        <w:rPr>
          <w:rStyle w:val="17"/>
          <w:rFonts w:eastAsia="仿宋"/>
          <w:bCs/>
          <w:sz w:val="32"/>
          <w:szCs w:val="32"/>
        </w:rPr>
        <w:t xml:space="preserve">: </w:t>
      </w:r>
      <w:r>
        <w:rPr>
          <w:rStyle w:val="17"/>
          <w:rFonts w:hAnsi="仿宋" w:eastAsia="仿宋"/>
          <w:sz w:val="32"/>
          <w:szCs w:val="32"/>
        </w:rPr>
        <w:t>支出决算为</w:t>
      </w:r>
      <w:r>
        <w:rPr>
          <w:rStyle w:val="17"/>
          <w:rFonts w:eastAsia="仿宋"/>
          <w:sz w:val="32"/>
          <w:szCs w:val="32"/>
        </w:rPr>
        <w:t>299.58</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r>
        <w:rPr>
          <w:rStyle w:val="17"/>
          <w:rFonts w:hAnsi="仿宋" w:eastAsia="仿宋"/>
          <w:bCs/>
          <w:sz w:val="32"/>
          <w:szCs w:val="32"/>
        </w:rPr>
        <w:t>其他科学技术支出（款）其他科学技术支出（项）</w:t>
      </w:r>
      <w:r>
        <w:rPr>
          <w:rStyle w:val="17"/>
          <w:rFonts w:eastAsia="仿宋"/>
          <w:bCs/>
          <w:sz w:val="32"/>
          <w:szCs w:val="32"/>
        </w:rPr>
        <w:t>:</w:t>
      </w:r>
      <w:r>
        <w:rPr>
          <w:rStyle w:val="17"/>
          <w:rFonts w:hAnsi="仿宋" w:eastAsia="仿宋"/>
          <w:sz w:val="32"/>
          <w:szCs w:val="32"/>
        </w:rPr>
        <w:t>支出决算为</w:t>
      </w:r>
      <w:r>
        <w:rPr>
          <w:rStyle w:val="17"/>
          <w:rFonts w:eastAsia="仿宋"/>
          <w:sz w:val="32"/>
          <w:szCs w:val="32"/>
        </w:rPr>
        <w:t>6.11</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p>
    <w:p>
      <w:pPr>
        <w:spacing w:line="600" w:lineRule="exact"/>
        <w:ind w:firstLine="642" w:firstLineChars="200"/>
        <w:rPr>
          <w:rStyle w:val="17"/>
          <w:rFonts w:eastAsia="仿宋"/>
          <w:sz w:val="32"/>
          <w:szCs w:val="32"/>
        </w:rPr>
      </w:pPr>
      <w:r>
        <w:rPr>
          <w:rStyle w:val="17"/>
          <w:rFonts w:eastAsia="仿宋"/>
          <w:bCs/>
          <w:sz w:val="32"/>
          <w:szCs w:val="32"/>
        </w:rPr>
        <w:t>3.</w:t>
      </w:r>
      <w:r>
        <w:rPr>
          <w:rStyle w:val="17"/>
          <w:rFonts w:hAnsi="仿宋" w:eastAsia="仿宋"/>
          <w:bCs/>
          <w:sz w:val="32"/>
          <w:szCs w:val="32"/>
        </w:rPr>
        <w:t>社会保障和就业（类）行政事业单位养老支出（款）事业单位离退休（项）：</w:t>
      </w:r>
      <w:r>
        <w:rPr>
          <w:rStyle w:val="17"/>
          <w:rFonts w:hAnsi="仿宋" w:eastAsia="仿宋"/>
          <w:sz w:val="32"/>
          <w:szCs w:val="32"/>
        </w:rPr>
        <w:t>支出决算为</w:t>
      </w:r>
      <w:r>
        <w:rPr>
          <w:rStyle w:val="17"/>
          <w:rFonts w:eastAsia="仿宋"/>
          <w:sz w:val="32"/>
          <w:szCs w:val="32"/>
        </w:rPr>
        <w:t>61.44</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r>
        <w:rPr>
          <w:rStyle w:val="17"/>
          <w:rFonts w:hAnsi="仿宋" w:eastAsia="仿宋"/>
          <w:bCs/>
          <w:sz w:val="32"/>
          <w:szCs w:val="32"/>
        </w:rPr>
        <w:t>行政事业单位养老支出（款）机关事业单位基本养老保险缴费支出（项）：</w:t>
      </w:r>
      <w:r>
        <w:rPr>
          <w:rStyle w:val="17"/>
          <w:rFonts w:hAnsi="仿宋" w:eastAsia="仿宋"/>
          <w:sz w:val="32"/>
          <w:szCs w:val="32"/>
        </w:rPr>
        <w:t>支出决算为</w:t>
      </w:r>
      <w:r>
        <w:rPr>
          <w:rStyle w:val="17"/>
          <w:rFonts w:eastAsia="仿宋"/>
          <w:sz w:val="32"/>
          <w:szCs w:val="32"/>
        </w:rPr>
        <w:t>42.56</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r>
        <w:rPr>
          <w:rStyle w:val="17"/>
          <w:rFonts w:hAnsi="仿宋" w:eastAsia="仿宋"/>
          <w:bCs/>
          <w:sz w:val="32"/>
          <w:szCs w:val="32"/>
        </w:rPr>
        <w:t>抚恤（款）死亡抚恤（项）：</w:t>
      </w:r>
      <w:r>
        <w:rPr>
          <w:rStyle w:val="17"/>
          <w:rFonts w:hAnsi="仿宋" w:eastAsia="仿宋"/>
          <w:sz w:val="32"/>
          <w:szCs w:val="32"/>
        </w:rPr>
        <w:t>支出决算为</w:t>
      </w:r>
      <w:r>
        <w:rPr>
          <w:rStyle w:val="17"/>
          <w:rFonts w:eastAsia="仿宋"/>
          <w:sz w:val="32"/>
          <w:szCs w:val="32"/>
        </w:rPr>
        <w:t>8.41</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p>
    <w:p>
      <w:pPr>
        <w:pStyle w:val="2"/>
        <w:spacing w:before="93"/>
        <w:ind w:firstLine="642" w:firstLineChars="200"/>
        <w:rPr>
          <w:rStyle w:val="17"/>
          <w:rFonts w:ascii="Times New Roman" w:eastAsia="仿宋"/>
          <w:kern w:val="2"/>
          <w:sz w:val="32"/>
          <w:szCs w:val="32"/>
        </w:rPr>
      </w:pPr>
      <w:r>
        <w:rPr>
          <w:rStyle w:val="17"/>
          <w:rFonts w:ascii="Times New Roman" w:eastAsia="仿宋"/>
          <w:bCs/>
          <w:sz w:val="32"/>
          <w:szCs w:val="32"/>
        </w:rPr>
        <w:t>4.</w:t>
      </w:r>
      <w:r>
        <w:rPr>
          <w:rStyle w:val="17"/>
          <w:rFonts w:ascii="Times New Roman" w:hAnsi="仿宋" w:eastAsia="仿宋"/>
          <w:bCs/>
          <w:sz w:val="32"/>
          <w:szCs w:val="32"/>
        </w:rPr>
        <w:t>卫生健康支出（类）行政事业单位医疗（款）事业单位医疗（项）：</w:t>
      </w:r>
      <w:r>
        <w:rPr>
          <w:rStyle w:val="17"/>
          <w:rFonts w:ascii="Times New Roman" w:hAnsi="仿宋" w:eastAsia="仿宋"/>
          <w:kern w:val="2"/>
          <w:sz w:val="32"/>
          <w:szCs w:val="32"/>
        </w:rPr>
        <w:t>支出决算为</w:t>
      </w:r>
      <w:r>
        <w:rPr>
          <w:rStyle w:val="17"/>
          <w:rFonts w:ascii="Times New Roman" w:eastAsia="仿宋"/>
          <w:kern w:val="2"/>
          <w:sz w:val="32"/>
          <w:szCs w:val="32"/>
        </w:rPr>
        <w:t>20.48</w:t>
      </w:r>
      <w:r>
        <w:rPr>
          <w:rStyle w:val="17"/>
          <w:rFonts w:ascii="Times New Roman" w:hAnsi="仿宋" w:eastAsia="仿宋"/>
          <w:kern w:val="2"/>
          <w:sz w:val="32"/>
          <w:szCs w:val="32"/>
        </w:rPr>
        <w:t>万元，完成预算</w:t>
      </w:r>
      <w:r>
        <w:rPr>
          <w:rStyle w:val="17"/>
          <w:rFonts w:ascii="Times New Roman" w:eastAsia="仿宋"/>
          <w:kern w:val="2"/>
          <w:sz w:val="32"/>
          <w:szCs w:val="32"/>
        </w:rPr>
        <w:t>100%</w:t>
      </w:r>
      <w:r>
        <w:rPr>
          <w:rStyle w:val="17"/>
          <w:rFonts w:ascii="Times New Roman" w:hAnsi="仿宋" w:eastAsia="仿宋"/>
          <w:kern w:val="2"/>
          <w:sz w:val="32"/>
          <w:szCs w:val="32"/>
        </w:rPr>
        <w:t>，决算数与预算数持平；</w:t>
      </w:r>
      <w:r>
        <w:rPr>
          <w:rStyle w:val="17"/>
          <w:rFonts w:ascii="Times New Roman" w:hAnsi="仿宋" w:eastAsia="仿宋"/>
          <w:bCs/>
          <w:sz w:val="32"/>
          <w:szCs w:val="32"/>
        </w:rPr>
        <w:t>行政事业单位医疗（款）公务员医疗补助（项）：</w:t>
      </w:r>
      <w:r>
        <w:rPr>
          <w:rStyle w:val="17"/>
          <w:rFonts w:ascii="Times New Roman" w:hAnsi="仿宋" w:eastAsia="仿宋"/>
          <w:kern w:val="2"/>
          <w:sz w:val="32"/>
          <w:szCs w:val="32"/>
        </w:rPr>
        <w:t>支出决算为</w:t>
      </w:r>
      <w:r>
        <w:rPr>
          <w:rStyle w:val="17"/>
          <w:rFonts w:ascii="Times New Roman" w:eastAsia="仿宋"/>
          <w:kern w:val="2"/>
          <w:sz w:val="32"/>
          <w:szCs w:val="32"/>
        </w:rPr>
        <w:t>2.52</w:t>
      </w:r>
      <w:r>
        <w:rPr>
          <w:rStyle w:val="17"/>
          <w:rFonts w:ascii="Times New Roman" w:hAnsi="仿宋" w:eastAsia="仿宋"/>
          <w:kern w:val="2"/>
          <w:sz w:val="32"/>
          <w:szCs w:val="32"/>
        </w:rPr>
        <w:t>万元，完成预算</w:t>
      </w:r>
      <w:r>
        <w:rPr>
          <w:rStyle w:val="17"/>
          <w:rFonts w:ascii="Times New Roman" w:eastAsia="仿宋"/>
          <w:kern w:val="2"/>
          <w:sz w:val="32"/>
          <w:szCs w:val="32"/>
        </w:rPr>
        <w:t>100%</w:t>
      </w:r>
      <w:r>
        <w:rPr>
          <w:rStyle w:val="17"/>
          <w:rFonts w:ascii="Times New Roman" w:hAnsi="仿宋" w:eastAsia="仿宋"/>
          <w:kern w:val="2"/>
          <w:sz w:val="32"/>
          <w:szCs w:val="32"/>
        </w:rPr>
        <w:t>，决算数与预算数持平；</w:t>
      </w:r>
      <w:r>
        <w:rPr>
          <w:rStyle w:val="17"/>
          <w:rFonts w:ascii="Times New Roman" w:hAnsi="仿宋" w:eastAsia="仿宋"/>
          <w:bCs/>
          <w:sz w:val="32"/>
          <w:szCs w:val="32"/>
        </w:rPr>
        <w:t>行政事业单位医疗（款）其他行政事业单位医疗支出（项）：</w:t>
      </w:r>
      <w:r>
        <w:rPr>
          <w:rStyle w:val="17"/>
          <w:rFonts w:ascii="Times New Roman" w:hAnsi="仿宋" w:eastAsia="仿宋"/>
          <w:kern w:val="2"/>
          <w:sz w:val="32"/>
          <w:szCs w:val="32"/>
        </w:rPr>
        <w:t>支出决算为</w:t>
      </w:r>
      <w:r>
        <w:rPr>
          <w:rStyle w:val="17"/>
          <w:rFonts w:ascii="Times New Roman" w:eastAsia="仿宋"/>
          <w:kern w:val="2"/>
          <w:sz w:val="32"/>
          <w:szCs w:val="32"/>
        </w:rPr>
        <w:t>2.66</w:t>
      </w:r>
      <w:r>
        <w:rPr>
          <w:rStyle w:val="17"/>
          <w:rFonts w:ascii="Times New Roman" w:hAnsi="仿宋" w:eastAsia="仿宋"/>
          <w:kern w:val="2"/>
          <w:sz w:val="32"/>
          <w:szCs w:val="32"/>
        </w:rPr>
        <w:t>万元，完成预算</w:t>
      </w:r>
      <w:r>
        <w:rPr>
          <w:rStyle w:val="17"/>
          <w:rFonts w:ascii="Times New Roman" w:eastAsia="仿宋"/>
          <w:kern w:val="2"/>
          <w:sz w:val="32"/>
          <w:szCs w:val="32"/>
        </w:rPr>
        <w:t>100%</w:t>
      </w:r>
      <w:r>
        <w:rPr>
          <w:rStyle w:val="17"/>
          <w:rFonts w:ascii="Times New Roman" w:hAnsi="仿宋" w:eastAsia="仿宋"/>
          <w:kern w:val="2"/>
          <w:sz w:val="32"/>
          <w:szCs w:val="32"/>
        </w:rPr>
        <w:t>，决算数与预算数持平</w:t>
      </w:r>
      <w:r>
        <w:rPr>
          <w:rStyle w:val="17"/>
          <w:rFonts w:ascii="Times New Roman" w:hAnsi="仿宋" w:eastAsia="仿宋"/>
          <w:sz w:val="32"/>
          <w:szCs w:val="32"/>
        </w:rPr>
        <w:t>。</w:t>
      </w:r>
    </w:p>
    <w:p>
      <w:pPr>
        <w:spacing w:line="600" w:lineRule="exact"/>
        <w:ind w:firstLine="640"/>
        <w:rPr>
          <w:rFonts w:eastAsia="仿宋_GB2312"/>
          <w:sz w:val="32"/>
          <w:szCs w:val="32"/>
        </w:rPr>
      </w:pPr>
      <w:r>
        <w:rPr>
          <w:rStyle w:val="17"/>
          <w:rFonts w:eastAsia="仿宋"/>
          <w:bCs/>
          <w:sz w:val="32"/>
          <w:szCs w:val="32"/>
        </w:rPr>
        <w:t>5.</w:t>
      </w:r>
      <w:r>
        <w:rPr>
          <w:rStyle w:val="17"/>
          <w:rFonts w:hAnsi="仿宋" w:eastAsia="仿宋"/>
          <w:bCs/>
          <w:sz w:val="32"/>
          <w:szCs w:val="32"/>
        </w:rPr>
        <w:t>住</w:t>
      </w:r>
      <w:r>
        <w:rPr>
          <w:rFonts w:eastAsia="仿宋"/>
          <w:b/>
          <w:bCs/>
          <w:color w:val="000000"/>
          <w:sz w:val="32"/>
          <w:szCs w:val="32"/>
        </w:rPr>
        <w:t>房保障支出</w:t>
      </w:r>
      <w:r>
        <w:rPr>
          <w:rStyle w:val="17"/>
          <w:rFonts w:eastAsia="仿宋"/>
          <w:bCs/>
          <w:color w:val="000000"/>
          <w:sz w:val="32"/>
          <w:szCs w:val="32"/>
        </w:rPr>
        <w:t>（类）住房改革支出（款）住房公积金（项）:</w:t>
      </w:r>
      <w:r>
        <w:rPr>
          <w:rStyle w:val="17"/>
          <w:rFonts w:hAnsi="仿宋" w:eastAsia="仿宋"/>
          <w:sz w:val="32"/>
          <w:szCs w:val="32"/>
        </w:rPr>
        <w:t>支出决算为</w:t>
      </w:r>
      <w:r>
        <w:rPr>
          <w:rStyle w:val="17"/>
          <w:rFonts w:eastAsia="仿宋"/>
          <w:sz w:val="32"/>
          <w:szCs w:val="32"/>
        </w:rPr>
        <w:t>31.92</w:t>
      </w:r>
      <w:r>
        <w:rPr>
          <w:rStyle w:val="17"/>
          <w:rFonts w:hAnsi="仿宋" w:eastAsia="仿宋"/>
          <w:sz w:val="32"/>
          <w:szCs w:val="32"/>
        </w:rPr>
        <w:t>万元，完成预算</w:t>
      </w:r>
      <w:r>
        <w:rPr>
          <w:rStyle w:val="17"/>
          <w:rFonts w:eastAsia="仿宋"/>
          <w:sz w:val="32"/>
          <w:szCs w:val="32"/>
        </w:rPr>
        <w:t>100%</w:t>
      </w:r>
      <w:r>
        <w:rPr>
          <w:rStyle w:val="17"/>
          <w:rFonts w:hAnsi="仿宋" w:eastAsia="仿宋"/>
          <w:sz w:val="32"/>
          <w:szCs w:val="32"/>
        </w:rPr>
        <w:t>，决算数与预算数持平。</w:t>
      </w:r>
    </w:p>
    <w:p>
      <w:pPr>
        <w:tabs>
          <w:tab w:val="right" w:pos="8306"/>
        </w:tabs>
        <w:spacing w:line="600" w:lineRule="exact"/>
        <w:ind w:firstLine="640"/>
        <w:outlineLvl w:val="1"/>
        <w:rPr>
          <w:rStyle w:val="29"/>
          <w:rFonts w:ascii="Times New Roman" w:hAnsi="Times New Roman" w:cs="Times New Roman"/>
        </w:rPr>
      </w:pPr>
      <w:bookmarkStart w:id="30" w:name="_Toc15377214"/>
      <w:bookmarkStart w:id="31" w:name="_Toc15396608"/>
      <w:r>
        <w:rPr>
          <w:rFonts w:eastAsia="黑体"/>
          <w:sz w:val="32"/>
          <w:szCs w:val="32"/>
        </w:rPr>
        <w:t>六</w:t>
      </w:r>
      <w:r>
        <w:rPr>
          <w:rFonts w:eastAsia="黑体"/>
          <w:b/>
          <w:sz w:val="32"/>
          <w:szCs w:val="32"/>
        </w:rPr>
        <w:t>、一</w:t>
      </w:r>
      <w:r>
        <w:rPr>
          <w:rStyle w:val="29"/>
          <w:rFonts w:ascii="Times New Roman" w:hAnsi="Times New Roman" w:eastAsia="黑体" w:cs="Times New Roman"/>
          <w:b w:val="0"/>
        </w:rPr>
        <w:t>般公共预算财政拨款基本支出决算情况说明</w:t>
      </w:r>
      <w:bookmarkEnd w:id="30"/>
      <w:bookmarkEnd w:id="31"/>
      <w:r>
        <w:rPr>
          <w:rStyle w:val="29"/>
          <w:rFonts w:ascii="Times New Roman" w:hAnsi="Times New Roman" w:eastAsia="黑体" w:cs="Times New Roman"/>
          <w:b w:val="0"/>
        </w:rPr>
        <w:tab/>
      </w:r>
    </w:p>
    <w:p>
      <w:pPr>
        <w:spacing w:line="600" w:lineRule="exact"/>
        <w:ind w:firstLine="640"/>
        <w:rPr>
          <w:rFonts w:eastAsia="仿宋_GB2312"/>
          <w:sz w:val="32"/>
          <w:szCs w:val="32"/>
        </w:rPr>
      </w:pPr>
      <w:r>
        <w:rPr>
          <w:rFonts w:eastAsia="仿宋_GB2312"/>
          <w:sz w:val="32"/>
          <w:szCs w:val="32"/>
        </w:rPr>
        <w:t>2024年度一般公共预算财政拨款基本支出469.56</w:t>
      </w:r>
      <w:r>
        <w:rPr>
          <w:rFonts w:hAnsi="仿宋_GB2312" w:eastAsia="仿宋_GB2312"/>
          <w:sz w:val="32"/>
          <w:szCs w:val="32"/>
        </w:rPr>
        <w:t>万</w:t>
      </w:r>
      <w:r>
        <w:rPr>
          <w:rFonts w:eastAsia="仿宋_GB2312"/>
          <w:sz w:val="32"/>
          <w:szCs w:val="32"/>
        </w:rPr>
        <w:t>元，其中：</w:t>
      </w:r>
    </w:p>
    <w:p>
      <w:pPr>
        <w:spacing w:line="600" w:lineRule="exact"/>
        <w:ind w:firstLine="640"/>
        <w:rPr>
          <w:rFonts w:eastAsia="仿宋_GB2312"/>
          <w:sz w:val="32"/>
          <w:szCs w:val="32"/>
        </w:rPr>
      </w:pPr>
      <w:r>
        <w:rPr>
          <w:rFonts w:eastAsia="仿宋_GB2312"/>
          <w:sz w:val="32"/>
          <w:szCs w:val="32"/>
        </w:rPr>
        <w:t>人员经费440.11</w:t>
      </w:r>
      <w:r>
        <w:rPr>
          <w:rFonts w:hAnsi="仿宋_GB2312" w:eastAsia="仿宋_GB2312"/>
          <w:sz w:val="32"/>
          <w:szCs w:val="32"/>
        </w:rPr>
        <w:t>万</w:t>
      </w:r>
      <w:r>
        <w:rPr>
          <w:rFonts w:eastAsia="仿宋_GB2312"/>
          <w:sz w:val="32"/>
          <w:szCs w:val="32"/>
        </w:rPr>
        <w:t>元，主要包括：基本工资105.78元、津贴补贴11.62万元、绩效工资151.42万元、机关事业单位基本养老保险缴费42.56万元、职工基本医疗保险缴费20.48万元、公务员医疗补助缴费5.18万元、其他社会保障缴费2.01万元、抚恤金8.41万元、生活补助56.05万元、医疗费补助4.66万元、奖励金0.04万元、住房公积金31.92万元。</w:t>
      </w:r>
      <w:r>
        <w:rPr>
          <w:rFonts w:eastAsia="仿宋_GB2312"/>
          <w:sz w:val="32"/>
          <w:szCs w:val="32"/>
        </w:rPr>
        <w:br w:type="textWrapping"/>
      </w:r>
      <w:r>
        <w:rPr>
          <w:rFonts w:eastAsia="仿宋_GB2312"/>
          <w:sz w:val="32"/>
          <w:szCs w:val="32"/>
        </w:rPr>
        <w:t>　　公用经费29.44</w:t>
      </w:r>
      <w:r>
        <w:rPr>
          <w:rFonts w:hAnsi="仿宋_GB2312" w:eastAsia="仿宋_GB2312"/>
          <w:sz w:val="32"/>
          <w:szCs w:val="32"/>
        </w:rPr>
        <w:t>万</w:t>
      </w:r>
      <w:r>
        <w:rPr>
          <w:rFonts w:eastAsia="仿宋_GB2312"/>
          <w:sz w:val="32"/>
          <w:szCs w:val="32"/>
        </w:rPr>
        <w:t>元，主要包括：办公费11.84万元、水费0.62万元、电费0.77万元、邮电费1.37万元、物业管理费1.03万元、差旅费3.79万元、工会经费3.19万元、福利费2.37万元、公务用车运行维护费0.70万元、其他交通费2.94万元、税金及附加费用</w:t>
      </w:r>
      <w:r>
        <w:rPr>
          <w:rFonts w:eastAsia="仿宋"/>
          <w:sz w:val="32"/>
          <w:szCs w:val="32"/>
        </w:rPr>
        <w:t>0</w:t>
      </w:r>
      <w:r>
        <w:rPr>
          <w:rFonts w:hAnsi="仿宋" w:eastAsia="仿宋"/>
          <w:sz w:val="32"/>
          <w:szCs w:val="32"/>
        </w:rPr>
        <w:t>万元</w:t>
      </w:r>
      <w:r>
        <w:rPr>
          <w:rFonts w:eastAsia="仿宋_GB2312"/>
          <w:sz w:val="32"/>
          <w:szCs w:val="32"/>
        </w:rPr>
        <w:t>、其他商品和服务支出0.82万元。</w:t>
      </w:r>
    </w:p>
    <w:p>
      <w:pPr>
        <w:spacing w:line="600" w:lineRule="exact"/>
        <w:ind w:firstLine="640"/>
        <w:outlineLvl w:val="1"/>
        <w:rPr>
          <w:rStyle w:val="29"/>
          <w:rFonts w:ascii="Times New Roman" w:hAnsi="Times New Roman" w:eastAsia="黑体" w:cs="Times New Roman"/>
          <w:b w:val="0"/>
        </w:rPr>
      </w:pPr>
      <w:bookmarkStart w:id="32" w:name="_Toc15396609"/>
      <w:bookmarkStart w:id="33" w:name="_Toc15377215"/>
      <w:r>
        <w:rPr>
          <w:rFonts w:eastAsia="黑体"/>
          <w:sz w:val="32"/>
          <w:szCs w:val="32"/>
        </w:rPr>
        <w:t>七、</w:t>
      </w:r>
      <w:r>
        <w:rPr>
          <w:rStyle w:val="29"/>
          <w:rFonts w:ascii="Times New Roman" w:hAnsi="Times New Roman" w:eastAsia="黑体" w:cs="Times New Roman"/>
          <w:b w:val="0"/>
        </w:rPr>
        <w:t>财政拨款</w:t>
      </w:r>
      <w:r>
        <w:rPr>
          <w:rStyle w:val="29"/>
          <w:rFonts w:ascii="Times New Roman" w:hAnsi="Times New Roman" w:eastAsia="黑体" w:cs="Times New Roman"/>
        </w:rPr>
        <w:t>“</w:t>
      </w:r>
      <w:r>
        <w:rPr>
          <w:rStyle w:val="29"/>
          <w:rFonts w:ascii="Times New Roman" w:hAnsi="Times New Roman" w:eastAsia="黑体" w:cs="Times New Roman"/>
          <w:b w:val="0"/>
        </w:rPr>
        <w:t>三公”经费支出决算情况说明</w:t>
      </w:r>
      <w:bookmarkEnd w:id="32"/>
      <w:bookmarkEnd w:id="33"/>
    </w:p>
    <w:p>
      <w:pPr>
        <w:spacing w:line="600" w:lineRule="exact"/>
        <w:ind w:firstLine="642" w:firstLineChars="200"/>
        <w:outlineLvl w:val="2"/>
        <w:rPr>
          <w:rFonts w:eastAsia="楷体_GB2312"/>
          <w:b/>
          <w:sz w:val="32"/>
          <w:szCs w:val="32"/>
        </w:rPr>
      </w:pPr>
      <w:bookmarkStart w:id="34" w:name="_Toc15377216"/>
      <w:r>
        <w:rPr>
          <w:rFonts w:eastAsia="楷体_GB2312"/>
          <w:b/>
          <w:sz w:val="32"/>
          <w:szCs w:val="32"/>
        </w:rPr>
        <w:t>（一）“三公”经费财政拨款支出决算总体情况说明</w:t>
      </w:r>
      <w:bookmarkEnd w:id="34"/>
    </w:p>
    <w:p>
      <w:pPr>
        <w:spacing w:line="600" w:lineRule="exact"/>
        <w:ind w:firstLine="640"/>
        <w:rPr>
          <w:rFonts w:eastAsia="仿宋_GB2312"/>
          <w:sz w:val="32"/>
          <w:szCs w:val="32"/>
        </w:rPr>
      </w:pPr>
      <w:r>
        <w:rPr>
          <w:rFonts w:eastAsia="仿宋_GB2312"/>
          <w:sz w:val="32"/>
          <w:szCs w:val="32"/>
        </w:rPr>
        <w:t>2024年度“三公”经费财政拨款支出决算为0.7</w:t>
      </w:r>
      <w:r>
        <w:rPr>
          <w:rFonts w:hAnsi="仿宋_GB2312" w:eastAsia="仿宋_GB2312"/>
          <w:sz w:val="32"/>
          <w:szCs w:val="32"/>
        </w:rPr>
        <w:t>万元，完成预算</w:t>
      </w:r>
      <w:r>
        <w:rPr>
          <w:rFonts w:eastAsia="仿宋_GB2312"/>
          <w:sz w:val="32"/>
          <w:szCs w:val="32"/>
        </w:rPr>
        <w:t>100%</w:t>
      </w:r>
      <w:r>
        <w:rPr>
          <w:rFonts w:hAnsi="仿宋_GB2312" w:eastAsia="仿宋_GB2312"/>
          <w:sz w:val="32"/>
          <w:szCs w:val="32"/>
        </w:rPr>
        <w:t>，</w:t>
      </w:r>
      <w:r>
        <w:rPr>
          <w:rFonts w:eastAsia="仿宋_GB2312"/>
          <w:sz w:val="32"/>
          <w:szCs w:val="32"/>
        </w:rPr>
        <w:t>较上年度减少0.57万元，下降44.88%。决算数小于预算数的主要原因是</w:t>
      </w:r>
      <w:r>
        <w:rPr>
          <w:rFonts w:hAnsi="仿宋" w:eastAsia="仿宋"/>
          <w:sz w:val="32"/>
          <w:szCs w:val="32"/>
        </w:rPr>
        <w:t>严控三公经费支出</w:t>
      </w:r>
      <w:r>
        <w:rPr>
          <w:rFonts w:eastAsia="仿宋_GB2312"/>
          <w:sz w:val="32"/>
          <w:szCs w:val="32"/>
        </w:rPr>
        <w:t>。</w:t>
      </w:r>
    </w:p>
    <w:p>
      <w:pPr>
        <w:spacing w:line="600" w:lineRule="exact"/>
        <w:ind w:firstLine="642" w:firstLineChars="200"/>
        <w:outlineLvl w:val="2"/>
        <w:rPr>
          <w:rFonts w:eastAsia="楷体_GB2312"/>
          <w:b/>
          <w:sz w:val="32"/>
          <w:szCs w:val="32"/>
        </w:rPr>
      </w:pPr>
      <w:bookmarkStart w:id="35" w:name="_Toc15377217"/>
      <w:r>
        <w:rPr>
          <w:rFonts w:eastAsia="楷体_GB2312"/>
          <w:b/>
          <w:sz w:val="32"/>
          <w:szCs w:val="32"/>
        </w:rPr>
        <w:t>（二）“三公”经费财政拨款支出决算具体情况说明</w:t>
      </w:r>
      <w:bookmarkEnd w:id="35"/>
    </w:p>
    <w:p>
      <w:pPr>
        <w:spacing w:line="600" w:lineRule="exact"/>
        <w:ind w:firstLine="640"/>
        <w:rPr>
          <w:rFonts w:eastAsia="仿宋_GB2312"/>
          <w:sz w:val="32"/>
          <w:szCs w:val="32"/>
        </w:rPr>
      </w:pPr>
      <w:r>
        <w:rPr>
          <w:rFonts w:eastAsia="仿宋_GB2312"/>
          <w:sz w:val="32"/>
          <w:szCs w:val="32"/>
        </w:rPr>
        <w:t>2024</w:t>
      </w:r>
      <w:r>
        <w:rPr>
          <w:rFonts w:hAnsi="仿宋_GB2312" w:eastAsia="仿宋_GB2312"/>
          <w:sz w:val="32"/>
          <w:szCs w:val="32"/>
        </w:rPr>
        <w:t>年度</w:t>
      </w:r>
      <w:r>
        <w:rPr>
          <w:rFonts w:eastAsia="仿宋_GB2312"/>
          <w:sz w:val="32"/>
          <w:szCs w:val="32"/>
        </w:rPr>
        <w:t>“</w:t>
      </w:r>
      <w:r>
        <w:rPr>
          <w:rFonts w:hAnsi="仿宋_GB2312" w:eastAsia="仿宋_GB2312"/>
          <w:sz w:val="32"/>
          <w:szCs w:val="32"/>
        </w:rPr>
        <w:t>三公</w:t>
      </w:r>
      <w:r>
        <w:rPr>
          <w:rFonts w:eastAsia="仿宋_GB2312"/>
          <w:sz w:val="32"/>
          <w:szCs w:val="32"/>
        </w:rPr>
        <w:t>”</w:t>
      </w:r>
      <w:r>
        <w:rPr>
          <w:rFonts w:hAnsi="仿宋_GB2312" w:eastAsia="仿宋_GB2312"/>
          <w:sz w:val="32"/>
          <w:szCs w:val="32"/>
        </w:rPr>
        <w:t>经费财政拨款支出决算中，因公出国（境）费支出决算</w:t>
      </w:r>
      <w:r>
        <w:rPr>
          <w:rFonts w:eastAsia="仿宋_GB2312"/>
          <w:sz w:val="32"/>
          <w:szCs w:val="32"/>
        </w:rPr>
        <w:t>0</w:t>
      </w:r>
      <w:r>
        <w:rPr>
          <w:rFonts w:hAnsi="仿宋_GB2312" w:eastAsia="仿宋_GB2312"/>
          <w:sz w:val="32"/>
          <w:szCs w:val="32"/>
        </w:rPr>
        <w:t>万元，占</w:t>
      </w:r>
      <w:r>
        <w:rPr>
          <w:rFonts w:eastAsia="仿宋_GB2312"/>
          <w:sz w:val="32"/>
          <w:szCs w:val="32"/>
        </w:rPr>
        <w:t>0%</w:t>
      </w:r>
      <w:r>
        <w:rPr>
          <w:rFonts w:hAnsi="仿宋_GB2312" w:eastAsia="仿宋_GB2312"/>
          <w:sz w:val="32"/>
          <w:szCs w:val="32"/>
        </w:rPr>
        <w:t>；公务用车购置及运行维护费支出决算</w:t>
      </w:r>
      <w:r>
        <w:rPr>
          <w:rFonts w:eastAsia="仿宋_GB2312"/>
          <w:sz w:val="32"/>
          <w:szCs w:val="32"/>
        </w:rPr>
        <w:t>0.7</w:t>
      </w:r>
      <w:r>
        <w:rPr>
          <w:rFonts w:hAnsi="仿宋_GB2312" w:eastAsia="仿宋_GB2312"/>
          <w:sz w:val="32"/>
          <w:szCs w:val="32"/>
        </w:rPr>
        <w:t>万元，占</w:t>
      </w:r>
      <w:r>
        <w:rPr>
          <w:rFonts w:eastAsia="仿宋_GB2312"/>
          <w:sz w:val="32"/>
          <w:szCs w:val="32"/>
        </w:rPr>
        <w:t>100%</w:t>
      </w:r>
      <w:r>
        <w:rPr>
          <w:rFonts w:hAnsi="仿宋_GB2312" w:eastAsia="仿宋_GB2312"/>
          <w:sz w:val="32"/>
          <w:szCs w:val="32"/>
        </w:rPr>
        <w:t>；公务接待费支出决算</w:t>
      </w:r>
      <w:r>
        <w:rPr>
          <w:rFonts w:eastAsia="仿宋_GB2312"/>
          <w:sz w:val="32"/>
          <w:szCs w:val="32"/>
        </w:rPr>
        <w:t>0</w:t>
      </w:r>
      <w:r>
        <w:rPr>
          <w:rFonts w:hAnsi="仿宋_GB2312" w:eastAsia="仿宋_GB2312"/>
          <w:sz w:val="32"/>
          <w:szCs w:val="32"/>
        </w:rPr>
        <w:t>万元，占</w:t>
      </w:r>
      <w:r>
        <w:rPr>
          <w:rFonts w:eastAsia="仿宋_GB2312"/>
          <w:sz w:val="32"/>
          <w:szCs w:val="32"/>
        </w:rPr>
        <w:t>0%</w:t>
      </w:r>
      <w:r>
        <w:rPr>
          <w:rFonts w:hAnsi="仿宋_GB2312" w:eastAsia="仿宋_GB2312"/>
          <w:sz w:val="32"/>
          <w:szCs w:val="32"/>
        </w:rPr>
        <w:t>。具体情况如下：</w:t>
      </w:r>
    </w:p>
    <w:p>
      <w:pPr>
        <w:pStyle w:val="7"/>
        <w:ind w:left="420" w:firstLine="640"/>
        <w:rPr>
          <w:rFonts w:ascii="Times New Roman"/>
          <w:sz w:val="32"/>
        </w:rPr>
      </w:pPr>
      <w:r>
        <w:rPr>
          <w:rFonts w:ascii="Times New Roman"/>
          <w:sz w:val="32"/>
        </w:rPr>
        <w:drawing>
          <wp:inline distT="0" distB="0" distL="0" distR="0">
            <wp:extent cx="4011930" cy="1971675"/>
            <wp:effectExtent l="19050" t="0" r="26338" b="9277"/>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rPr>
          <w:rFonts w:eastAsia="仿宋_GB2312"/>
          <w:sz w:val="32"/>
          <w:szCs w:val="32"/>
        </w:rPr>
      </w:pPr>
      <w:r>
        <w:rPr>
          <w:rFonts w:eastAsia="仿宋_GB2312"/>
          <w:sz w:val="32"/>
          <w:szCs w:val="32"/>
        </w:rPr>
        <w:t>（图7：“三公”经费财政拨款支出结构）（饼状图）</w:t>
      </w:r>
    </w:p>
    <w:p>
      <w:pPr>
        <w:spacing w:line="600" w:lineRule="exact"/>
        <w:ind w:firstLine="640"/>
        <w:rPr>
          <w:rFonts w:eastAsia="仿宋_GB2312"/>
          <w:sz w:val="32"/>
          <w:szCs w:val="32"/>
        </w:rPr>
      </w:pPr>
      <w:r>
        <w:rPr>
          <w:rFonts w:eastAsia="仿宋_GB2312"/>
          <w:b/>
          <w:bCs/>
          <w:sz w:val="32"/>
          <w:szCs w:val="32"/>
        </w:rPr>
        <w:t>1.因公出国（境）经费支出0万元，完成预算0%。</w:t>
      </w:r>
      <w:r>
        <w:rPr>
          <w:rFonts w:eastAsia="仿宋_GB2312"/>
          <w:sz w:val="32"/>
          <w:szCs w:val="32"/>
        </w:rPr>
        <w:t>全年安排因公出国（境）团</w:t>
      </w:r>
      <w:r>
        <w:rPr>
          <w:rFonts w:hAnsi="仿宋_GB2312" w:eastAsia="仿宋_GB2312"/>
          <w:sz w:val="32"/>
          <w:szCs w:val="32"/>
        </w:rPr>
        <w:t>组</w:t>
      </w:r>
      <w:r>
        <w:rPr>
          <w:rFonts w:eastAsia="仿宋_GB2312"/>
          <w:sz w:val="32"/>
          <w:szCs w:val="32"/>
        </w:rPr>
        <w:t>0次，出国（境）0</w:t>
      </w:r>
      <w:r>
        <w:rPr>
          <w:rFonts w:hAnsi="仿宋_GB2312" w:eastAsia="仿宋_GB2312"/>
          <w:sz w:val="32"/>
          <w:szCs w:val="32"/>
        </w:rPr>
        <w:t>人</w:t>
      </w:r>
      <w:r>
        <w:rPr>
          <w:rFonts w:eastAsia="仿宋_GB2312"/>
          <w:sz w:val="32"/>
          <w:szCs w:val="32"/>
        </w:rPr>
        <w:t>。因公出国（境）支出决算比2023年度持平。</w:t>
      </w:r>
    </w:p>
    <w:p>
      <w:pPr>
        <w:spacing w:line="600" w:lineRule="exact"/>
        <w:ind w:firstLine="640"/>
        <w:rPr>
          <w:rFonts w:eastAsia="仿宋_GB2312"/>
          <w:sz w:val="32"/>
          <w:szCs w:val="32"/>
        </w:rPr>
      </w:pPr>
      <w:r>
        <w:rPr>
          <w:rFonts w:eastAsia="仿宋_GB2312"/>
          <w:b/>
          <w:bCs/>
          <w:sz w:val="32"/>
          <w:szCs w:val="32"/>
        </w:rPr>
        <w:t>2.公务用车购置及运行维护费支出0.7</w:t>
      </w:r>
      <w:r>
        <w:rPr>
          <w:rFonts w:hAnsi="仿宋_GB2312" w:eastAsia="仿宋_GB2312"/>
          <w:b/>
          <w:bCs/>
          <w:sz w:val="32"/>
          <w:szCs w:val="32"/>
        </w:rPr>
        <w:t>万</w:t>
      </w:r>
      <w:r>
        <w:rPr>
          <w:rFonts w:eastAsia="仿宋_GB2312"/>
          <w:b/>
          <w:bCs/>
          <w:sz w:val="32"/>
          <w:szCs w:val="32"/>
        </w:rPr>
        <w:t>元，完成预算100%。</w:t>
      </w:r>
      <w:r>
        <w:rPr>
          <w:rFonts w:eastAsia="仿宋_GB2312"/>
          <w:sz w:val="32"/>
          <w:szCs w:val="32"/>
        </w:rPr>
        <w:t>公务用车购置及运行维护费支出决算比2023年度减少0.46万元，下降39.66%。主要原因是</w:t>
      </w:r>
      <w:r>
        <w:rPr>
          <w:rFonts w:hAnsi="仿宋" w:eastAsia="仿宋"/>
          <w:sz w:val="32"/>
          <w:szCs w:val="32"/>
        </w:rPr>
        <w:t>严控三公经费支出</w:t>
      </w:r>
      <w:r>
        <w:rPr>
          <w:rFonts w:eastAsia="仿宋_GB2312"/>
          <w:sz w:val="32"/>
          <w:szCs w:val="32"/>
        </w:rPr>
        <w:t>。其中：公务用车购置支</w:t>
      </w:r>
      <w:r>
        <w:rPr>
          <w:rFonts w:hAnsi="仿宋_GB2312" w:eastAsia="仿宋_GB2312"/>
          <w:sz w:val="32"/>
          <w:szCs w:val="32"/>
        </w:rPr>
        <w:t>出</w:t>
      </w:r>
      <w:r>
        <w:rPr>
          <w:rFonts w:eastAsia="仿宋_GB2312"/>
          <w:sz w:val="32"/>
          <w:szCs w:val="32"/>
        </w:rPr>
        <w:t>0万元。全年按规定更新购置公务用车0辆，其中：轿车0辆、金额0万元，越野车0辆、金额0万元，载客汽车0辆、金额0万元。截至2024年12月31日，单位共有公务用车1辆，其中：轿车1辆、越野车0辆、载客汽车0辆。</w:t>
      </w:r>
    </w:p>
    <w:p>
      <w:pPr>
        <w:spacing w:line="600" w:lineRule="exact"/>
        <w:ind w:firstLine="640"/>
        <w:rPr>
          <w:rFonts w:eastAsia="仿宋_GB2312"/>
          <w:sz w:val="32"/>
          <w:szCs w:val="32"/>
        </w:rPr>
      </w:pPr>
      <w:r>
        <w:rPr>
          <w:rFonts w:eastAsia="仿宋_GB2312"/>
          <w:sz w:val="32"/>
          <w:szCs w:val="32"/>
        </w:rPr>
        <w:t>公务用车运行维护费支</w:t>
      </w:r>
      <w:r>
        <w:rPr>
          <w:rFonts w:hAnsi="仿宋_GB2312" w:eastAsia="仿宋_GB2312"/>
          <w:sz w:val="32"/>
          <w:szCs w:val="32"/>
        </w:rPr>
        <w:t>出</w:t>
      </w:r>
      <w:r>
        <w:rPr>
          <w:rFonts w:eastAsia="仿宋_GB2312"/>
          <w:sz w:val="32"/>
          <w:szCs w:val="32"/>
        </w:rPr>
        <w:t>0.7万元。主要用于</w:t>
      </w:r>
      <w:r>
        <w:rPr>
          <w:rFonts w:eastAsia="仿宋_GB2312"/>
          <w:color w:val="000000"/>
          <w:sz w:val="32"/>
          <w:szCs w:val="32"/>
        </w:rPr>
        <w:t>科技调研等所需的公务用车燃料费、维修费、过路过桥费、保险费等支出。</w:t>
      </w:r>
    </w:p>
    <w:p>
      <w:pPr>
        <w:spacing w:line="600" w:lineRule="exact"/>
        <w:ind w:firstLine="640"/>
        <w:rPr>
          <w:rFonts w:eastAsia="仿宋_GB2312"/>
          <w:sz w:val="32"/>
          <w:szCs w:val="32"/>
        </w:rPr>
      </w:pPr>
      <w:r>
        <w:rPr>
          <w:rFonts w:eastAsia="仿宋_GB2312"/>
          <w:b/>
          <w:bCs/>
          <w:sz w:val="32"/>
          <w:szCs w:val="32"/>
        </w:rPr>
        <w:t>3.公务接待费支出0</w:t>
      </w:r>
      <w:r>
        <w:rPr>
          <w:rFonts w:hAnsi="仿宋_GB2312" w:eastAsia="仿宋_GB2312"/>
          <w:b/>
          <w:bCs/>
          <w:sz w:val="32"/>
          <w:szCs w:val="32"/>
        </w:rPr>
        <w:t>万</w:t>
      </w:r>
      <w:r>
        <w:rPr>
          <w:rFonts w:eastAsia="仿宋_GB2312"/>
          <w:b/>
          <w:bCs/>
          <w:sz w:val="32"/>
          <w:szCs w:val="32"/>
        </w:rPr>
        <w:t>元，完成预算0%。</w:t>
      </w:r>
      <w:r>
        <w:rPr>
          <w:rFonts w:eastAsia="仿宋_GB2312"/>
          <w:sz w:val="32"/>
          <w:szCs w:val="32"/>
        </w:rPr>
        <w:t>公务接待费支出决算比2023年度减少0.11万元，下降100%。主要原因是严控接待费支出。其中：</w:t>
      </w:r>
    </w:p>
    <w:p>
      <w:pPr>
        <w:spacing w:line="600" w:lineRule="exact"/>
        <w:ind w:firstLine="640"/>
        <w:rPr>
          <w:rFonts w:eastAsia="仿宋_GB2312"/>
          <w:sz w:val="32"/>
          <w:szCs w:val="32"/>
        </w:rPr>
      </w:pPr>
      <w:r>
        <w:rPr>
          <w:rFonts w:eastAsia="仿宋_GB2312"/>
          <w:sz w:val="32"/>
          <w:szCs w:val="32"/>
        </w:rPr>
        <w:t>国内公务接待支</w:t>
      </w:r>
      <w:r>
        <w:rPr>
          <w:rFonts w:hAnsi="仿宋_GB2312" w:eastAsia="仿宋_GB2312"/>
          <w:sz w:val="32"/>
          <w:szCs w:val="32"/>
        </w:rPr>
        <w:t>出</w:t>
      </w:r>
      <w:r>
        <w:rPr>
          <w:rFonts w:eastAsia="仿宋_GB2312"/>
          <w:sz w:val="32"/>
          <w:szCs w:val="32"/>
        </w:rPr>
        <w:t>0</w:t>
      </w:r>
      <w:r>
        <w:rPr>
          <w:rFonts w:hAnsi="仿宋_GB2312" w:eastAsia="仿宋_GB2312"/>
          <w:sz w:val="32"/>
          <w:szCs w:val="32"/>
        </w:rPr>
        <w:t>万</w:t>
      </w:r>
      <w:r>
        <w:rPr>
          <w:rFonts w:eastAsia="仿宋_GB2312"/>
          <w:sz w:val="32"/>
          <w:szCs w:val="32"/>
        </w:rPr>
        <w:t>元。国内公务接</w:t>
      </w:r>
      <w:r>
        <w:rPr>
          <w:rFonts w:hAnsi="仿宋_GB2312" w:eastAsia="仿宋_GB2312"/>
          <w:sz w:val="32"/>
          <w:szCs w:val="32"/>
        </w:rPr>
        <w:t>待</w:t>
      </w:r>
      <w:r>
        <w:rPr>
          <w:rFonts w:eastAsia="仿宋_GB2312"/>
          <w:sz w:val="32"/>
          <w:szCs w:val="32"/>
        </w:rPr>
        <w:t>0</w:t>
      </w:r>
      <w:r>
        <w:rPr>
          <w:rFonts w:hAnsi="仿宋_GB2312" w:eastAsia="仿宋_GB2312"/>
          <w:sz w:val="32"/>
          <w:szCs w:val="32"/>
        </w:rPr>
        <w:t>批次，</w:t>
      </w:r>
      <w:r>
        <w:rPr>
          <w:rFonts w:eastAsia="仿宋_GB2312"/>
          <w:sz w:val="32"/>
          <w:szCs w:val="32"/>
        </w:rPr>
        <w:t>0人次（不包括陪同人员），共计支出0万元。</w:t>
      </w:r>
    </w:p>
    <w:p>
      <w:pPr>
        <w:spacing w:line="600" w:lineRule="exact"/>
        <w:ind w:firstLine="640"/>
        <w:rPr>
          <w:rFonts w:eastAsia="仿宋_GB2312"/>
          <w:sz w:val="32"/>
          <w:szCs w:val="32"/>
        </w:rPr>
      </w:pPr>
      <w:r>
        <w:rPr>
          <w:rFonts w:eastAsia="仿宋_GB2312"/>
          <w:sz w:val="32"/>
          <w:szCs w:val="32"/>
        </w:rPr>
        <w:t>外事接待支</w:t>
      </w:r>
      <w:r>
        <w:rPr>
          <w:rFonts w:hAnsi="仿宋_GB2312" w:eastAsia="仿宋_GB2312"/>
          <w:sz w:val="32"/>
          <w:szCs w:val="32"/>
        </w:rPr>
        <w:t>出</w:t>
      </w:r>
      <w:r>
        <w:rPr>
          <w:rFonts w:eastAsia="仿宋_GB2312"/>
          <w:sz w:val="32"/>
          <w:szCs w:val="32"/>
        </w:rPr>
        <w:t>0</w:t>
      </w:r>
      <w:r>
        <w:rPr>
          <w:rFonts w:hAnsi="仿宋_GB2312" w:eastAsia="仿宋_GB2312"/>
          <w:sz w:val="32"/>
          <w:szCs w:val="32"/>
        </w:rPr>
        <w:t>万元。外事接待</w:t>
      </w:r>
      <w:r>
        <w:rPr>
          <w:rFonts w:eastAsia="仿宋_GB2312"/>
          <w:sz w:val="32"/>
          <w:szCs w:val="32"/>
        </w:rPr>
        <w:t>0</w:t>
      </w:r>
      <w:r>
        <w:rPr>
          <w:rFonts w:hAnsi="仿宋_GB2312" w:eastAsia="仿宋_GB2312"/>
          <w:sz w:val="32"/>
          <w:szCs w:val="32"/>
        </w:rPr>
        <w:t>批次，</w:t>
      </w:r>
      <w:r>
        <w:rPr>
          <w:rFonts w:eastAsia="仿宋_GB2312"/>
          <w:sz w:val="32"/>
          <w:szCs w:val="32"/>
        </w:rPr>
        <w:t>0</w:t>
      </w:r>
      <w:r>
        <w:rPr>
          <w:rFonts w:hAnsi="仿宋_GB2312" w:eastAsia="仿宋_GB2312"/>
          <w:sz w:val="32"/>
          <w:szCs w:val="32"/>
        </w:rPr>
        <w:t>人次（不包括陪同人员），共计支出</w:t>
      </w:r>
      <w:r>
        <w:rPr>
          <w:rFonts w:eastAsia="仿宋_GB2312"/>
          <w:sz w:val="32"/>
          <w:szCs w:val="32"/>
        </w:rPr>
        <w:t>0</w:t>
      </w:r>
      <w:r>
        <w:rPr>
          <w:rFonts w:hAnsi="仿宋_GB2312" w:eastAsia="仿宋_GB2312"/>
          <w:sz w:val="32"/>
          <w:szCs w:val="32"/>
        </w:rPr>
        <w:t>万</w:t>
      </w:r>
      <w:r>
        <w:rPr>
          <w:rFonts w:eastAsia="仿宋_GB2312"/>
          <w:sz w:val="32"/>
          <w:szCs w:val="32"/>
        </w:rPr>
        <w:t>元。</w:t>
      </w:r>
      <w:bookmarkStart w:id="36" w:name="_Toc15377218"/>
      <w:bookmarkStart w:id="37" w:name="_Toc15396610"/>
    </w:p>
    <w:p>
      <w:pPr>
        <w:spacing w:line="600" w:lineRule="exact"/>
        <w:ind w:firstLine="640"/>
        <w:outlineLvl w:val="1"/>
        <w:rPr>
          <w:rStyle w:val="29"/>
          <w:rFonts w:ascii="Times New Roman" w:hAnsi="Times New Roman" w:eastAsia="黑体" w:cs="Times New Roman"/>
        </w:rPr>
      </w:pPr>
      <w:r>
        <w:rPr>
          <w:rFonts w:eastAsia="黑体"/>
          <w:sz w:val="32"/>
          <w:szCs w:val="32"/>
        </w:rPr>
        <w:t>八、</w:t>
      </w:r>
      <w:r>
        <w:rPr>
          <w:rStyle w:val="29"/>
          <w:rFonts w:ascii="Times New Roman" w:hAnsi="Times New Roman" w:eastAsia="黑体" w:cs="Times New Roman"/>
          <w:b w:val="0"/>
        </w:rPr>
        <w:t>政府性基金预算支出决算情况说明</w:t>
      </w:r>
      <w:bookmarkEnd w:id="36"/>
      <w:bookmarkEnd w:id="37"/>
    </w:p>
    <w:p>
      <w:pPr>
        <w:spacing w:line="600" w:lineRule="exact"/>
        <w:ind w:firstLine="640"/>
        <w:rPr>
          <w:rFonts w:eastAsia="仿宋_GB2312"/>
          <w:b/>
          <w:bCs/>
          <w:sz w:val="32"/>
          <w:szCs w:val="32"/>
        </w:rPr>
      </w:pPr>
      <w:r>
        <w:rPr>
          <w:rFonts w:eastAsia="仿宋_GB2312"/>
          <w:sz w:val="32"/>
          <w:szCs w:val="32"/>
        </w:rPr>
        <w:t>2024</w:t>
      </w:r>
      <w:r>
        <w:rPr>
          <w:rFonts w:hAnsi="仿宋_GB2312" w:eastAsia="仿宋_GB2312"/>
          <w:sz w:val="32"/>
          <w:szCs w:val="32"/>
        </w:rPr>
        <w:t>年度政府性基金预算财政拨款支出</w:t>
      </w:r>
      <w:r>
        <w:rPr>
          <w:rFonts w:eastAsia="仿宋_GB2312"/>
          <w:sz w:val="32"/>
          <w:szCs w:val="32"/>
        </w:rPr>
        <w:t>0</w:t>
      </w:r>
      <w:r>
        <w:rPr>
          <w:rFonts w:hAnsi="仿宋_GB2312" w:eastAsia="仿宋_GB2312"/>
          <w:sz w:val="32"/>
          <w:szCs w:val="32"/>
        </w:rPr>
        <w:t>万元，占本年支出合计的</w:t>
      </w:r>
      <w:r>
        <w:rPr>
          <w:rFonts w:eastAsia="仿宋_GB2312"/>
          <w:sz w:val="32"/>
          <w:szCs w:val="32"/>
        </w:rPr>
        <w:t>0%。与2023年度相比，政府性基金预算财政拨款支出持平。</w:t>
      </w:r>
    </w:p>
    <w:p>
      <w:pPr>
        <w:spacing w:line="600" w:lineRule="exact"/>
        <w:ind w:left="630"/>
        <w:outlineLvl w:val="1"/>
        <w:rPr>
          <w:rStyle w:val="29"/>
          <w:rFonts w:ascii="Times New Roman" w:hAnsi="Times New Roman" w:eastAsia="黑体" w:cs="Times New Roman"/>
          <w:b w:val="0"/>
        </w:rPr>
      </w:pPr>
      <w:bookmarkStart w:id="38" w:name="_Toc15377219"/>
      <w:bookmarkStart w:id="39" w:name="_Toc15396611"/>
      <w:r>
        <w:rPr>
          <w:rStyle w:val="29"/>
          <w:rFonts w:ascii="Times New Roman" w:hAnsi="Times New Roman" w:eastAsia="黑体" w:cs="Times New Roman"/>
          <w:b w:val="0"/>
        </w:rPr>
        <w:t>九、国有资本经营预算支出决算情况说明</w:t>
      </w:r>
      <w:bookmarkEnd w:id="38"/>
      <w:bookmarkEnd w:id="39"/>
    </w:p>
    <w:p>
      <w:pPr>
        <w:spacing w:line="600" w:lineRule="exact"/>
        <w:ind w:firstLine="640"/>
        <w:rPr>
          <w:rFonts w:eastAsia="仿宋_GB2312"/>
          <w:sz w:val="32"/>
          <w:szCs w:val="32"/>
        </w:rPr>
      </w:pPr>
      <w:r>
        <w:rPr>
          <w:rFonts w:eastAsia="仿宋_GB2312"/>
          <w:sz w:val="32"/>
          <w:szCs w:val="32"/>
        </w:rPr>
        <w:t>2024年度国有资本经营预算财政拨款支出0</w:t>
      </w:r>
      <w:r>
        <w:rPr>
          <w:rFonts w:hAnsi="仿宋_GB2312" w:eastAsia="仿宋_GB2312"/>
          <w:sz w:val="32"/>
          <w:szCs w:val="32"/>
        </w:rPr>
        <w:t>万元，占本年支出合计的</w:t>
      </w:r>
      <w:r>
        <w:rPr>
          <w:rFonts w:eastAsia="仿宋_GB2312"/>
          <w:sz w:val="32"/>
          <w:szCs w:val="32"/>
        </w:rPr>
        <w:t>0%。与2023年度相比，国有资本经营预算财政拨款支出持平。</w:t>
      </w:r>
    </w:p>
    <w:p>
      <w:pPr>
        <w:spacing w:line="600" w:lineRule="exact"/>
        <w:ind w:left="630"/>
        <w:outlineLvl w:val="1"/>
        <w:rPr>
          <w:rStyle w:val="29"/>
          <w:rFonts w:ascii="Times New Roman" w:hAnsi="Times New Roman" w:eastAsia="黑体" w:cs="Times New Roman"/>
          <w:b w:val="0"/>
        </w:rPr>
      </w:pPr>
      <w:bookmarkStart w:id="40" w:name="_Toc15396612"/>
      <w:bookmarkStart w:id="41" w:name="_Toc15377221"/>
      <w:r>
        <w:rPr>
          <w:rStyle w:val="29"/>
          <w:rFonts w:ascii="Times New Roman" w:hAnsi="Times New Roman" w:eastAsia="黑体" w:cs="Times New Roman"/>
          <w:b w:val="0"/>
        </w:rPr>
        <w:t>十、其他重要事项的情况说明</w:t>
      </w:r>
      <w:bookmarkEnd w:id="40"/>
      <w:bookmarkEnd w:id="41"/>
    </w:p>
    <w:p>
      <w:pPr>
        <w:spacing w:line="600" w:lineRule="exact"/>
        <w:ind w:firstLine="642" w:firstLineChars="200"/>
        <w:outlineLvl w:val="2"/>
        <w:rPr>
          <w:rFonts w:eastAsia="楷体_GB2312"/>
          <w:b/>
          <w:sz w:val="32"/>
          <w:szCs w:val="32"/>
        </w:rPr>
      </w:pPr>
      <w:bookmarkStart w:id="42" w:name="_Toc15377222"/>
      <w:r>
        <w:rPr>
          <w:rFonts w:eastAsia="楷体_GB2312"/>
          <w:b/>
          <w:sz w:val="32"/>
          <w:szCs w:val="32"/>
        </w:rPr>
        <w:t>（一）机关运行经费支出情况</w:t>
      </w:r>
      <w:bookmarkEnd w:id="42"/>
    </w:p>
    <w:p>
      <w:pPr>
        <w:spacing w:line="600" w:lineRule="exact"/>
        <w:ind w:firstLine="640"/>
        <w:rPr>
          <w:rFonts w:eastAsia="仿宋_GB2312"/>
          <w:sz w:val="32"/>
          <w:szCs w:val="32"/>
        </w:rPr>
      </w:pPr>
      <w:r>
        <w:rPr>
          <w:rFonts w:eastAsia="仿宋_GB2312"/>
          <w:sz w:val="32"/>
          <w:szCs w:val="32"/>
        </w:rPr>
        <w:t>2024年度</w:t>
      </w:r>
      <w:r>
        <w:rPr>
          <w:rFonts w:hAnsi="仿宋_GB2312" w:eastAsia="仿宋_GB2312"/>
          <w:sz w:val="32"/>
          <w:szCs w:val="32"/>
        </w:rPr>
        <w:t>，攀枝花市科技发展战略研究所机关运行经费支出</w:t>
      </w:r>
      <w:r>
        <w:rPr>
          <w:rFonts w:eastAsia="仿宋_GB2312"/>
          <w:sz w:val="32"/>
          <w:szCs w:val="32"/>
        </w:rPr>
        <w:t>0</w:t>
      </w:r>
      <w:r>
        <w:rPr>
          <w:rFonts w:hAnsi="仿宋_GB2312" w:eastAsia="仿宋_GB2312"/>
          <w:sz w:val="32"/>
          <w:szCs w:val="32"/>
        </w:rPr>
        <w:t>万</w:t>
      </w:r>
      <w:r>
        <w:rPr>
          <w:rFonts w:eastAsia="仿宋_GB2312"/>
          <w:sz w:val="32"/>
          <w:szCs w:val="32"/>
        </w:rPr>
        <w:t>元，比2023年度持平。</w:t>
      </w:r>
    </w:p>
    <w:p>
      <w:pPr>
        <w:spacing w:line="600" w:lineRule="exact"/>
        <w:ind w:firstLine="642" w:firstLineChars="200"/>
        <w:outlineLvl w:val="2"/>
        <w:rPr>
          <w:rFonts w:eastAsia="楷体_GB2312"/>
          <w:b/>
          <w:sz w:val="32"/>
          <w:szCs w:val="32"/>
        </w:rPr>
      </w:pPr>
      <w:bookmarkStart w:id="43" w:name="_Toc15377223"/>
      <w:r>
        <w:rPr>
          <w:rFonts w:eastAsia="楷体_GB2312"/>
          <w:b/>
          <w:sz w:val="32"/>
          <w:szCs w:val="32"/>
        </w:rPr>
        <w:t>（二）政府采购支出情况</w:t>
      </w:r>
      <w:bookmarkEnd w:id="43"/>
    </w:p>
    <w:p>
      <w:pPr>
        <w:spacing w:line="600" w:lineRule="exact"/>
        <w:ind w:firstLine="640"/>
        <w:rPr>
          <w:rFonts w:eastAsia="仿宋_GB2312"/>
          <w:sz w:val="32"/>
          <w:szCs w:val="32"/>
        </w:rPr>
      </w:pPr>
      <w:r>
        <w:rPr>
          <w:rFonts w:eastAsia="仿宋_GB2312"/>
          <w:sz w:val="32"/>
          <w:szCs w:val="32"/>
        </w:rPr>
        <w:t>2024</w:t>
      </w:r>
      <w:r>
        <w:rPr>
          <w:rFonts w:hAnsi="仿宋_GB2312" w:eastAsia="仿宋_GB2312"/>
          <w:sz w:val="32"/>
          <w:szCs w:val="32"/>
        </w:rPr>
        <w:t>年度，攀枝花市科技发展战略研究所政府采购支出总额</w:t>
      </w:r>
      <w:r>
        <w:rPr>
          <w:rFonts w:eastAsia="仿宋_GB2312"/>
          <w:sz w:val="32"/>
          <w:szCs w:val="32"/>
        </w:rPr>
        <w:t>0.36</w:t>
      </w:r>
      <w:r>
        <w:rPr>
          <w:rFonts w:hAnsi="仿宋_GB2312" w:eastAsia="仿宋_GB2312"/>
          <w:sz w:val="32"/>
          <w:szCs w:val="32"/>
        </w:rPr>
        <w:t>万元，其中：政府采购货物支出</w:t>
      </w:r>
      <w:r>
        <w:rPr>
          <w:rFonts w:eastAsia="仿宋_GB2312"/>
          <w:sz w:val="32"/>
          <w:szCs w:val="32"/>
        </w:rPr>
        <w:t>0</w:t>
      </w:r>
      <w:r>
        <w:rPr>
          <w:rFonts w:hAnsi="仿宋_GB2312" w:eastAsia="仿宋_GB2312"/>
          <w:sz w:val="32"/>
          <w:szCs w:val="32"/>
        </w:rPr>
        <w:t>万元、政府采购工程支出</w:t>
      </w:r>
      <w:r>
        <w:rPr>
          <w:rFonts w:eastAsia="仿宋_GB2312"/>
          <w:sz w:val="32"/>
          <w:szCs w:val="32"/>
        </w:rPr>
        <w:t>0</w:t>
      </w:r>
      <w:r>
        <w:rPr>
          <w:rFonts w:hAnsi="仿宋_GB2312" w:eastAsia="仿宋_GB2312"/>
          <w:sz w:val="32"/>
          <w:szCs w:val="32"/>
        </w:rPr>
        <w:t>万元、政府采购服务支出</w:t>
      </w:r>
      <w:r>
        <w:rPr>
          <w:rFonts w:eastAsia="仿宋_GB2312"/>
          <w:sz w:val="32"/>
          <w:szCs w:val="32"/>
        </w:rPr>
        <w:t>0.36</w:t>
      </w:r>
      <w:r>
        <w:rPr>
          <w:rFonts w:hAnsi="仿宋_GB2312" w:eastAsia="仿宋_GB2312"/>
          <w:sz w:val="32"/>
          <w:szCs w:val="32"/>
        </w:rPr>
        <w:t>万元。主要用于公务用车燃油费用。授予中小企业合同金额</w:t>
      </w:r>
      <w:r>
        <w:rPr>
          <w:rFonts w:eastAsia="仿宋_GB2312"/>
          <w:sz w:val="32"/>
          <w:szCs w:val="32"/>
        </w:rPr>
        <w:t>0.05</w:t>
      </w:r>
      <w:r>
        <w:rPr>
          <w:rFonts w:hAnsi="仿宋_GB2312" w:eastAsia="仿宋_GB2312"/>
          <w:sz w:val="32"/>
          <w:szCs w:val="32"/>
        </w:rPr>
        <w:t>万元，占政府采购支出总额的</w:t>
      </w:r>
      <w:r>
        <w:rPr>
          <w:rFonts w:eastAsia="仿宋_GB2312"/>
          <w:sz w:val="32"/>
          <w:szCs w:val="32"/>
        </w:rPr>
        <w:t>13.86%</w:t>
      </w:r>
      <w:r>
        <w:rPr>
          <w:rFonts w:hAnsi="仿宋_GB2312" w:eastAsia="仿宋_GB2312"/>
          <w:sz w:val="32"/>
          <w:szCs w:val="32"/>
        </w:rPr>
        <w:t>，其中：授予小微企业合同金额</w:t>
      </w:r>
      <w:r>
        <w:rPr>
          <w:rFonts w:eastAsia="仿宋_GB2312"/>
          <w:sz w:val="32"/>
          <w:szCs w:val="32"/>
        </w:rPr>
        <w:t>0</w:t>
      </w:r>
      <w:r>
        <w:rPr>
          <w:rFonts w:hAnsi="仿宋_GB2312" w:eastAsia="仿宋_GB2312"/>
          <w:sz w:val="32"/>
          <w:szCs w:val="32"/>
        </w:rPr>
        <w:t>万元，占政府采购支出总额的</w:t>
      </w:r>
      <w:r>
        <w:rPr>
          <w:rFonts w:eastAsia="仿宋_GB2312"/>
          <w:sz w:val="32"/>
          <w:szCs w:val="32"/>
        </w:rPr>
        <w:t>0%</w:t>
      </w:r>
      <w:r>
        <w:rPr>
          <w:rFonts w:hAnsi="仿宋_GB2312" w:eastAsia="仿宋_GB2312"/>
          <w:sz w:val="32"/>
          <w:szCs w:val="32"/>
        </w:rPr>
        <w:t>。</w:t>
      </w:r>
    </w:p>
    <w:p>
      <w:pPr>
        <w:spacing w:line="600" w:lineRule="exact"/>
        <w:ind w:firstLine="642" w:firstLineChars="200"/>
        <w:outlineLvl w:val="2"/>
        <w:rPr>
          <w:rFonts w:eastAsia="楷体_GB2312"/>
          <w:b/>
          <w:sz w:val="32"/>
          <w:szCs w:val="32"/>
        </w:rPr>
      </w:pPr>
      <w:bookmarkStart w:id="44" w:name="_Toc15377224"/>
      <w:r>
        <w:rPr>
          <w:rFonts w:eastAsia="楷体_GB2312"/>
          <w:b/>
          <w:sz w:val="32"/>
          <w:szCs w:val="32"/>
        </w:rPr>
        <w:t>（三）国有资产占有使用情况</w:t>
      </w:r>
      <w:bookmarkEnd w:id="44"/>
    </w:p>
    <w:p>
      <w:pPr>
        <w:spacing w:line="600" w:lineRule="exact"/>
        <w:ind w:firstLine="640"/>
        <w:rPr>
          <w:rFonts w:eastAsia="仿宋_GB2312"/>
          <w:sz w:val="32"/>
          <w:szCs w:val="32"/>
        </w:rPr>
      </w:pPr>
      <w:r>
        <w:rPr>
          <w:rFonts w:hAnsi="仿宋_GB2312" w:eastAsia="仿宋_GB2312"/>
          <w:sz w:val="32"/>
          <w:szCs w:val="32"/>
        </w:rPr>
        <w:t>截至</w:t>
      </w:r>
      <w:r>
        <w:rPr>
          <w:rFonts w:eastAsia="仿宋_GB2312"/>
          <w:sz w:val="32"/>
          <w:szCs w:val="32"/>
        </w:rPr>
        <w:t>2024</w:t>
      </w:r>
      <w:r>
        <w:rPr>
          <w:rFonts w:hAnsi="仿宋_GB2312" w:eastAsia="仿宋_GB2312"/>
          <w:sz w:val="32"/>
          <w:szCs w:val="32"/>
        </w:rPr>
        <w:t>年</w:t>
      </w:r>
      <w:r>
        <w:rPr>
          <w:rFonts w:eastAsia="仿宋_GB2312"/>
          <w:sz w:val="32"/>
          <w:szCs w:val="32"/>
        </w:rPr>
        <w:t>12</w:t>
      </w:r>
      <w:r>
        <w:rPr>
          <w:rFonts w:hAnsi="仿宋_GB2312" w:eastAsia="仿宋_GB2312"/>
          <w:sz w:val="32"/>
          <w:szCs w:val="32"/>
        </w:rPr>
        <w:t>月</w:t>
      </w:r>
      <w:r>
        <w:rPr>
          <w:rFonts w:eastAsia="仿宋_GB2312"/>
          <w:sz w:val="32"/>
          <w:szCs w:val="32"/>
        </w:rPr>
        <w:t>31</w:t>
      </w:r>
      <w:r>
        <w:rPr>
          <w:rFonts w:hAnsi="仿宋_GB2312" w:eastAsia="仿宋_GB2312"/>
          <w:sz w:val="32"/>
          <w:szCs w:val="32"/>
        </w:rPr>
        <w:t>日，攀枝花市科技发展战略研究所共有车辆</w:t>
      </w:r>
      <w:r>
        <w:rPr>
          <w:rFonts w:eastAsia="仿宋_GB2312"/>
          <w:sz w:val="32"/>
          <w:szCs w:val="32"/>
        </w:rPr>
        <w:t>1</w:t>
      </w:r>
      <w:r>
        <w:rPr>
          <w:rFonts w:hAnsi="仿宋_GB2312" w:eastAsia="仿宋_GB2312"/>
          <w:sz w:val="32"/>
          <w:szCs w:val="32"/>
        </w:rPr>
        <w:t>辆，其中：主要负责人用车</w:t>
      </w:r>
      <w:r>
        <w:rPr>
          <w:rFonts w:eastAsia="仿宋_GB2312"/>
          <w:sz w:val="32"/>
          <w:szCs w:val="32"/>
        </w:rPr>
        <w:t>0</w:t>
      </w:r>
      <w:r>
        <w:rPr>
          <w:rFonts w:hAnsi="仿宋_GB2312" w:eastAsia="仿宋_GB2312"/>
          <w:sz w:val="32"/>
          <w:szCs w:val="32"/>
        </w:rPr>
        <w:t>辆、机要通信用车</w:t>
      </w:r>
      <w:r>
        <w:rPr>
          <w:rFonts w:eastAsia="仿宋_GB2312"/>
          <w:sz w:val="32"/>
          <w:szCs w:val="32"/>
        </w:rPr>
        <w:t>0</w:t>
      </w:r>
      <w:r>
        <w:rPr>
          <w:rFonts w:hAnsi="仿宋_GB2312" w:eastAsia="仿宋_GB2312"/>
          <w:sz w:val="32"/>
          <w:szCs w:val="32"/>
        </w:rPr>
        <w:t>辆、应急保障用车</w:t>
      </w:r>
      <w:r>
        <w:rPr>
          <w:rFonts w:eastAsia="仿宋_GB2312"/>
          <w:sz w:val="32"/>
          <w:szCs w:val="32"/>
        </w:rPr>
        <w:t>0</w:t>
      </w:r>
      <w:r>
        <w:rPr>
          <w:rFonts w:hAnsi="仿宋_GB2312" w:eastAsia="仿宋_GB2312"/>
          <w:sz w:val="32"/>
          <w:szCs w:val="32"/>
        </w:rPr>
        <w:t>辆、其他用车</w:t>
      </w:r>
      <w:r>
        <w:rPr>
          <w:rFonts w:eastAsia="仿宋_GB2312"/>
          <w:sz w:val="32"/>
          <w:szCs w:val="32"/>
        </w:rPr>
        <w:t>1</w:t>
      </w:r>
      <w:r>
        <w:rPr>
          <w:rFonts w:hAnsi="仿宋_GB2312" w:eastAsia="仿宋_GB2312"/>
          <w:sz w:val="32"/>
          <w:szCs w:val="32"/>
        </w:rPr>
        <w:t>辆，其他用车主要是用于</w:t>
      </w:r>
      <w:r>
        <w:rPr>
          <w:rFonts w:eastAsia="仿宋_GB2312"/>
          <w:color w:val="000000"/>
          <w:sz w:val="32"/>
          <w:szCs w:val="32"/>
        </w:rPr>
        <w:t>科技调研等所需的公务用车燃料费、维修费、过路过桥费、保险费等支出</w:t>
      </w:r>
      <w:r>
        <w:rPr>
          <w:rFonts w:hAnsi="仿宋_GB2312" w:eastAsia="仿宋_GB2312"/>
          <w:sz w:val="32"/>
          <w:szCs w:val="32"/>
        </w:rPr>
        <w:t>。单价</w:t>
      </w:r>
      <w:r>
        <w:rPr>
          <w:rFonts w:eastAsia="仿宋_GB2312"/>
          <w:sz w:val="32"/>
          <w:szCs w:val="32"/>
        </w:rPr>
        <w:t>100</w:t>
      </w:r>
      <w:r>
        <w:rPr>
          <w:rFonts w:hAnsi="仿宋_GB2312" w:eastAsia="仿宋_GB2312"/>
          <w:sz w:val="32"/>
          <w:szCs w:val="32"/>
        </w:rPr>
        <w:t>万元（含）以上设备（不含车辆）</w:t>
      </w:r>
      <w:r>
        <w:rPr>
          <w:rFonts w:eastAsia="仿宋_GB2312"/>
          <w:sz w:val="32"/>
          <w:szCs w:val="32"/>
        </w:rPr>
        <w:t>0</w:t>
      </w:r>
      <w:r>
        <w:rPr>
          <w:rFonts w:hAnsi="仿宋_GB2312" w:eastAsia="仿宋_GB2312"/>
          <w:sz w:val="32"/>
          <w:szCs w:val="32"/>
        </w:rPr>
        <w:t>台（套）</w:t>
      </w:r>
      <w:r>
        <w:rPr>
          <w:rFonts w:eastAsia="仿宋_GB2312"/>
          <w:sz w:val="32"/>
          <w:szCs w:val="32"/>
        </w:rPr>
        <w:t>。</w:t>
      </w:r>
    </w:p>
    <w:p>
      <w:pPr>
        <w:spacing w:line="600" w:lineRule="exact"/>
        <w:ind w:firstLine="642" w:firstLineChars="200"/>
        <w:outlineLvl w:val="2"/>
        <w:rPr>
          <w:rFonts w:eastAsia="楷体_GB2312"/>
          <w:b/>
          <w:sz w:val="32"/>
          <w:szCs w:val="32"/>
        </w:rPr>
      </w:pPr>
      <w:r>
        <w:rPr>
          <w:rFonts w:eastAsia="楷体_GB2312"/>
          <w:b/>
          <w:sz w:val="32"/>
          <w:szCs w:val="32"/>
        </w:rPr>
        <w:t>（四）预算绩效管理情况</w:t>
      </w:r>
    </w:p>
    <w:p>
      <w:pPr>
        <w:spacing w:line="600" w:lineRule="exact"/>
        <w:ind w:firstLine="640" w:firstLineChars="200"/>
        <w:rPr>
          <w:rFonts w:eastAsia="仿宋_GB2312"/>
          <w:sz w:val="32"/>
          <w:szCs w:val="32"/>
        </w:rPr>
      </w:pPr>
      <w:r>
        <w:rPr>
          <w:rFonts w:eastAsia="仿宋_GB2312"/>
          <w:color w:val="000000"/>
          <w:sz w:val="32"/>
          <w:szCs w:val="32"/>
        </w:rPr>
        <w:t>根据预算绩效管理要求，本单位在2024年度预算编制阶段，组织对《科技文献信息专项》等</w:t>
      </w:r>
      <w:r>
        <w:rPr>
          <w:rFonts w:hint="eastAsia" w:eastAsia="仿宋_GB2312"/>
          <w:sz w:val="32"/>
          <w:szCs w:val="32"/>
          <w:lang w:val="en-US" w:eastAsia="zh-CN"/>
        </w:rPr>
        <w:t>1</w:t>
      </w:r>
      <w:r>
        <w:rPr>
          <w:rFonts w:eastAsia="仿宋_GB2312"/>
          <w:color w:val="000000"/>
          <w:sz w:val="32"/>
          <w:szCs w:val="32"/>
        </w:rPr>
        <w:t>个项目开展了预算事前绩效评估，对</w:t>
      </w:r>
      <w:r>
        <w:rPr>
          <w:rFonts w:hint="eastAsia" w:eastAsia="仿宋_GB2312"/>
          <w:color w:val="000000"/>
          <w:sz w:val="32"/>
          <w:szCs w:val="32"/>
          <w:lang w:val="en-US" w:eastAsia="zh-CN"/>
        </w:rPr>
        <w:t>1</w:t>
      </w:r>
      <w:r>
        <w:rPr>
          <w:rFonts w:eastAsia="仿宋_GB2312"/>
          <w:color w:val="000000"/>
          <w:sz w:val="32"/>
          <w:szCs w:val="32"/>
        </w:rPr>
        <w:t>个项目编制了绩效目标，预算执行过程中，选取</w:t>
      </w:r>
      <w:r>
        <w:rPr>
          <w:rFonts w:hint="eastAsia" w:eastAsia="仿宋_GB2312"/>
          <w:color w:val="000000"/>
          <w:sz w:val="32"/>
          <w:szCs w:val="32"/>
          <w:lang w:val="en-US" w:eastAsia="zh-CN"/>
        </w:rPr>
        <w:t>1</w:t>
      </w:r>
      <w:bookmarkStart w:id="63" w:name="_GoBack"/>
      <w:bookmarkEnd w:id="63"/>
      <w:r>
        <w:rPr>
          <w:rFonts w:eastAsia="仿宋_GB2312"/>
          <w:color w:val="000000"/>
          <w:sz w:val="32"/>
          <w:szCs w:val="32"/>
        </w:rPr>
        <w:t>个项目开展绩效监控，组织对</w:t>
      </w:r>
      <w:r>
        <w:rPr>
          <w:rFonts w:hint="eastAsia" w:eastAsia="仿宋_GB2312"/>
          <w:color w:val="000000"/>
          <w:sz w:val="32"/>
          <w:szCs w:val="32"/>
          <w:lang w:val="en-US" w:eastAsia="zh-CN"/>
        </w:rPr>
        <w:t>1</w:t>
      </w:r>
      <w:r>
        <w:rPr>
          <w:rFonts w:eastAsia="仿宋_GB2312"/>
          <w:color w:val="000000"/>
          <w:sz w:val="32"/>
          <w:szCs w:val="32"/>
        </w:rPr>
        <w:t>个项目开展绩效自评，绩效自评表详见</w:t>
      </w:r>
      <w:r>
        <w:rPr>
          <w:rFonts w:eastAsia="仿宋_GB2312"/>
          <w:sz w:val="32"/>
          <w:szCs w:val="32"/>
        </w:rPr>
        <w:t>第四部分附件。</w:t>
      </w: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13"/>
        <w:rPr>
          <w:sz w:val="32"/>
          <w:szCs w:val="32"/>
        </w:rPr>
      </w:pPr>
    </w:p>
    <w:p>
      <w:pPr>
        <w:spacing w:line="600" w:lineRule="exact"/>
        <w:jc w:val="center"/>
        <w:outlineLvl w:val="0"/>
        <w:rPr>
          <w:rFonts w:eastAsia="方正小标宋_GBK"/>
          <w:bCs/>
          <w:kern w:val="44"/>
          <w:sz w:val="32"/>
          <w:szCs w:val="32"/>
        </w:rPr>
      </w:pPr>
      <w:bookmarkStart w:id="45" w:name="_Toc15377225"/>
      <w:bookmarkStart w:id="46" w:name="_Toc15396613"/>
      <w:r>
        <w:rPr>
          <w:rFonts w:eastAsia="方正小标宋_GBK"/>
          <w:bCs/>
          <w:kern w:val="44"/>
          <w:sz w:val="32"/>
          <w:szCs w:val="32"/>
        </w:rPr>
        <w:t>第三部分名词解释</w:t>
      </w:r>
      <w:bookmarkEnd w:id="45"/>
      <w:bookmarkEnd w:id="46"/>
    </w:p>
    <w:p>
      <w:pPr>
        <w:spacing w:line="600" w:lineRule="exact"/>
        <w:jc w:val="left"/>
        <w:rPr>
          <w:b/>
          <w:sz w:val="32"/>
          <w:szCs w:val="32"/>
        </w:rPr>
      </w:pP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1.财政拨款收入：指单位从同级财政单位取得的财政预算资金。</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2.年初结转和结余：指以前年度尚未完成、结转到本年按有关规定继续使用的资金。 </w:t>
      </w:r>
    </w:p>
    <w:p>
      <w:pPr>
        <w:spacing w:line="600" w:lineRule="exact"/>
        <w:ind w:firstLine="640" w:firstLineChars="200"/>
        <w:rPr>
          <w:rFonts w:eastAsia="仿宋_GB2312"/>
          <w:color w:val="000000"/>
          <w:kern w:val="0"/>
          <w:sz w:val="32"/>
          <w:szCs w:val="32"/>
        </w:rPr>
      </w:pPr>
      <w:r>
        <w:rPr>
          <w:rFonts w:eastAsia="仿宋_GB2312"/>
          <w:kern w:val="0"/>
          <w:sz w:val="32"/>
          <w:szCs w:val="32"/>
        </w:rPr>
        <w:t>3.科</w:t>
      </w:r>
      <w:r>
        <w:rPr>
          <w:rFonts w:eastAsia="仿宋_GB2312"/>
          <w:color w:val="000000"/>
          <w:kern w:val="0"/>
          <w:sz w:val="32"/>
          <w:szCs w:val="32"/>
        </w:rPr>
        <w:t>学技术支出（类）科技条件与服务（款） 机构运行（项）：指用于保障单位正常运行、开展日常工作等基本支出。</w:t>
      </w:r>
    </w:p>
    <w:p>
      <w:pPr>
        <w:spacing w:line="600" w:lineRule="exact"/>
        <w:ind w:firstLine="640" w:firstLineChars="200"/>
        <w:rPr>
          <w:rFonts w:eastAsia="仿宋_GB2312"/>
          <w:kern w:val="0"/>
          <w:sz w:val="32"/>
          <w:szCs w:val="32"/>
        </w:rPr>
      </w:pPr>
      <w:r>
        <w:rPr>
          <w:rFonts w:eastAsia="仿宋_GB2312"/>
          <w:kern w:val="0"/>
          <w:sz w:val="32"/>
          <w:szCs w:val="32"/>
        </w:rPr>
        <w:t>4.科学技术支出（类）其他科学技术支出（款） 其他科学技术支出（项）：指用于其他科学技术方面的支出。</w:t>
      </w:r>
    </w:p>
    <w:p>
      <w:pPr>
        <w:spacing w:line="600" w:lineRule="exact"/>
        <w:ind w:firstLine="640" w:firstLineChars="200"/>
        <w:rPr>
          <w:rFonts w:eastAsia="仿宋_GB2312"/>
          <w:kern w:val="0"/>
          <w:sz w:val="32"/>
          <w:szCs w:val="32"/>
        </w:rPr>
      </w:pPr>
      <w:r>
        <w:rPr>
          <w:rFonts w:eastAsia="仿宋_GB2312"/>
          <w:kern w:val="0"/>
          <w:sz w:val="32"/>
          <w:szCs w:val="32"/>
        </w:rPr>
        <w:t>5.社会保障和就业（类）行政事业单位养老支出（款） 事业单位离退休（项）: 指财政统一供养的事业单位退休人员的支出。</w:t>
      </w:r>
    </w:p>
    <w:p>
      <w:pPr>
        <w:spacing w:line="600" w:lineRule="exact"/>
        <w:ind w:firstLine="640" w:firstLineChars="200"/>
        <w:rPr>
          <w:rFonts w:eastAsia="仿宋_GB2312"/>
          <w:kern w:val="0"/>
          <w:sz w:val="32"/>
          <w:szCs w:val="32"/>
        </w:rPr>
      </w:pPr>
      <w:r>
        <w:rPr>
          <w:rFonts w:eastAsia="仿宋_GB2312"/>
          <w:kern w:val="0"/>
          <w:sz w:val="32"/>
          <w:szCs w:val="32"/>
        </w:rPr>
        <w:t>6.社会保障和就业（类）行政事业单位养老支出（款）机关事业单位基本养老保险缴费支出（项）：指机关事业单位实施养老保险制度由单位缴纳的基本养老保险费支出。</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7.住房保障支出（类）住房改革支出（款）住房公积金（项）：指反映行政事业单位按人力资源和社会保障部、财政单位规定的基本工资和津贴补贴以及规定比例为职工缴纳的住房公积金。</w:t>
      </w:r>
    </w:p>
    <w:p>
      <w:pPr>
        <w:ind w:firstLine="640" w:firstLineChars="200"/>
        <w:rPr>
          <w:rFonts w:eastAsia="仿宋_GB2312"/>
          <w:sz w:val="32"/>
          <w:szCs w:val="32"/>
        </w:rPr>
      </w:pPr>
      <w:r>
        <w:rPr>
          <w:rFonts w:eastAsia="仿宋_GB2312"/>
          <w:kern w:val="0"/>
          <w:sz w:val="32"/>
          <w:szCs w:val="32"/>
        </w:rPr>
        <w:t>8.基</w:t>
      </w:r>
      <w:r>
        <w:rPr>
          <w:rFonts w:eastAsia="仿宋_GB2312"/>
          <w:sz w:val="32"/>
          <w:szCs w:val="32"/>
        </w:rPr>
        <w:t>本支出：指为保障机构正常运转、完成日常工作任务而发生的人员支出和公用支出。</w:t>
      </w:r>
    </w:p>
    <w:p>
      <w:pPr>
        <w:ind w:firstLine="640" w:firstLineChars="200"/>
        <w:rPr>
          <w:rFonts w:eastAsia="仿宋_GB2312"/>
          <w:sz w:val="32"/>
          <w:szCs w:val="32"/>
        </w:rPr>
      </w:pPr>
      <w:r>
        <w:rPr>
          <w:rFonts w:eastAsia="仿宋_GB2312"/>
          <w:sz w:val="32"/>
          <w:szCs w:val="32"/>
        </w:rPr>
        <w:t xml:space="preserve">9.项目支出：指在基本支出之外为完成特定行政任务和事业发展目标所发生的支出。 </w:t>
      </w:r>
    </w:p>
    <w:p>
      <w:pPr>
        <w:spacing w:line="600" w:lineRule="exact"/>
        <w:ind w:firstLine="640"/>
        <w:rPr>
          <w:rFonts w:eastAsia="仿宋_GB2312"/>
          <w:sz w:val="32"/>
          <w:szCs w:val="32"/>
        </w:rPr>
      </w:pPr>
      <w:r>
        <w:rPr>
          <w:rFonts w:eastAsia="仿宋_GB2312"/>
          <w:sz w:val="32"/>
          <w:szCs w:val="32"/>
        </w:rPr>
        <w:t>10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3"/>
        <w:rPr>
          <w:sz w:val="32"/>
          <w:szCs w:val="32"/>
        </w:rPr>
      </w:pPr>
    </w:p>
    <w:p>
      <w:pPr>
        <w:pStyle w:val="7"/>
        <w:rPr>
          <w:sz w:val="32"/>
          <w:szCs w:val="32"/>
        </w:rPr>
      </w:pPr>
    </w:p>
    <w:p>
      <w:pPr>
        <w:pStyle w:val="7"/>
        <w:rPr>
          <w:sz w:val="32"/>
          <w:szCs w:val="32"/>
        </w:rPr>
      </w:pPr>
    </w:p>
    <w:p>
      <w:pPr>
        <w:pStyle w:val="7"/>
        <w:rPr>
          <w:sz w:val="32"/>
          <w:szCs w:val="32"/>
        </w:rPr>
      </w:pPr>
    </w:p>
    <w:p>
      <w:pPr>
        <w:pStyle w:val="7"/>
        <w:rPr>
          <w:sz w:val="32"/>
          <w:szCs w:val="32"/>
        </w:rPr>
      </w:pPr>
    </w:p>
    <w:p>
      <w:pPr>
        <w:pStyle w:val="7"/>
        <w:rPr>
          <w:sz w:val="32"/>
          <w:szCs w:val="32"/>
        </w:rPr>
      </w:pPr>
    </w:p>
    <w:p>
      <w:pPr>
        <w:pStyle w:val="7"/>
        <w:rPr>
          <w:sz w:val="32"/>
          <w:szCs w:val="32"/>
        </w:rPr>
      </w:pPr>
    </w:p>
    <w:p>
      <w:pPr>
        <w:pStyle w:val="7"/>
        <w:rPr>
          <w:sz w:val="32"/>
          <w:szCs w:val="32"/>
        </w:rPr>
      </w:pPr>
    </w:p>
    <w:p>
      <w:pPr>
        <w:pStyle w:val="7"/>
        <w:rPr>
          <w:sz w:val="32"/>
          <w:szCs w:val="32"/>
        </w:rPr>
      </w:pPr>
    </w:p>
    <w:p>
      <w:pPr>
        <w:pStyle w:val="7"/>
        <w:rPr>
          <w:sz w:val="32"/>
          <w:szCs w:val="32"/>
        </w:rPr>
      </w:pPr>
    </w:p>
    <w:p>
      <w:pPr>
        <w:pStyle w:val="7"/>
        <w:rPr>
          <w:sz w:val="32"/>
          <w:szCs w:val="32"/>
        </w:rPr>
      </w:pPr>
    </w:p>
    <w:p>
      <w:pPr>
        <w:spacing w:line="600" w:lineRule="exact"/>
        <w:jc w:val="center"/>
        <w:outlineLvl w:val="0"/>
        <w:rPr>
          <w:rFonts w:eastAsia="方正小标宋_GBK"/>
          <w:sz w:val="32"/>
          <w:szCs w:val="32"/>
        </w:rPr>
      </w:pPr>
      <w:bookmarkStart w:id="47" w:name="_Toc15396614"/>
      <w:bookmarkStart w:id="48" w:name="_Toc15377226"/>
      <w:r>
        <w:rPr>
          <w:rFonts w:eastAsia="方正小标宋_GBK"/>
          <w:bCs/>
          <w:kern w:val="44"/>
          <w:sz w:val="32"/>
          <w:szCs w:val="32"/>
        </w:rPr>
        <w:t>第四部分 附件</w:t>
      </w:r>
      <w:bookmarkEnd w:id="47"/>
    </w:p>
    <w:p>
      <w:pPr>
        <w:spacing w:line="572" w:lineRule="exact"/>
        <w:jc w:val="left"/>
        <w:outlineLvl w:val="0"/>
        <w:rPr>
          <w:rFonts w:eastAsia="黑体"/>
          <w:color w:val="FF0000"/>
          <w:sz w:val="32"/>
          <w:szCs w:val="32"/>
        </w:rPr>
      </w:pPr>
    </w:p>
    <w:p>
      <w:pPr>
        <w:spacing w:line="600" w:lineRule="exact"/>
        <w:jc w:val="center"/>
        <w:outlineLvl w:val="0"/>
        <w:rPr>
          <w:rFonts w:hint="eastAsia"/>
          <w:sz w:val="32"/>
          <w:szCs w:val="32"/>
          <w:lang w:val="en-US" w:eastAsia="zh-CN"/>
        </w:rPr>
      </w:pPr>
      <w:bookmarkStart w:id="49" w:name="_Toc15396618"/>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r>
        <w:rPr>
          <w:rFonts w:hint="eastAsia"/>
          <w:sz w:val="32"/>
          <w:szCs w:val="32"/>
          <w:lang w:eastAsia="zh-CN"/>
        </w:rPr>
        <w:t>见附件</w:t>
      </w:r>
      <w:r>
        <w:rPr>
          <w:rFonts w:hint="eastAsia"/>
          <w:sz w:val="32"/>
          <w:szCs w:val="32"/>
          <w:lang w:val="en-US" w:eastAsia="zh-CN"/>
        </w:rPr>
        <w:t>3。</w:t>
      </w: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default"/>
          <w:sz w:val="32"/>
          <w:szCs w:val="32"/>
          <w:lang w:val="en-US" w:eastAsia="zh-CN"/>
        </w:rPr>
      </w:pPr>
    </w:p>
    <w:p>
      <w:pPr>
        <w:spacing w:line="578" w:lineRule="exact"/>
        <w:ind w:firstLine="640"/>
        <w:rPr>
          <w:rFonts w:eastAsia="仿宋_GB2312"/>
          <w:kern w:val="0"/>
          <w:sz w:val="32"/>
          <w:szCs w:val="32"/>
        </w:rPr>
      </w:pPr>
    </w:p>
    <w:p>
      <w:pPr>
        <w:spacing w:line="600" w:lineRule="exact"/>
        <w:jc w:val="center"/>
        <w:outlineLvl w:val="0"/>
        <w:rPr>
          <w:rFonts w:eastAsia="方正小标宋_GBK"/>
          <w:bCs/>
          <w:kern w:val="44"/>
          <w:sz w:val="32"/>
          <w:szCs w:val="32"/>
        </w:rPr>
      </w:pPr>
      <w:r>
        <w:rPr>
          <w:rFonts w:eastAsia="方正小标宋_GBK"/>
          <w:bCs/>
          <w:kern w:val="44"/>
          <w:sz w:val="32"/>
          <w:szCs w:val="32"/>
        </w:rPr>
        <w:t>第</w:t>
      </w:r>
      <w:r>
        <w:rPr>
          <w:rFonts w:eastAsia="方正小标宋_GBK"/>
          <w:sz w:val="32"/>
          <w:szCs w:val="32"/>
        </w:rPr>
        <w:t>五部分 附表</w:t>
      </w:r>
      <w:bookmarkEnd w:id="48"/>
      <w:bookmarkEnd w:id="49"/>
      <w:bookmarkStart w:id="50" w:name="_Toc15396619"/>
    </w:p>
    <w:p>
      <w:pPr>
        <w:pStyle w:val="14"/>
        <w:adjustRightInd w:val="0"/>
        <w:snapToGrid w:val="0"/>
        <w:spacing w:line="560" w:lineRule="exact"/>
        <w:jc w:val="left"/>
        <w:rPr>
          <w:rFonts w:eastAsia="仿宋_GB2312"/>
          <w:sz w:val="32"/>
          <w:szCs w:val="32"/>
        </w:rPr>
      </w:pPr>
    </w:p>
    <w:p>
      <w:pPr>
        <w:pStyle w:val="14"/>
        <w:adjustRightInd w:val="0"/>
        <w:snapToGrid w:val="0"/>
        <w:spacing w:line="560" w:lineRule="exact"/>
        <w:jc w:val="left"/>
        <w:rPr>
          <w:rFonts w:eastAsia="仿宋_GB2312"/>
          <w:sz w:val="32"/>
          <w:szCs w:val="32"/>
        </w:rPr>
      </w:pPr>
      <w:r>
        <w:rPr>
          <w:rFonts w:eastAsia="仿宋_GB2312"/>
          <w:sz w:val="32"/>
          <w:szCs w:val="32"/>
        </w:rPr>
        <w:t>一、收入支出决算总表</w:t>
      </w:r>
      <w:bookmarkEnd w:id="50"/>
    </w:p>
    <w:p>
      <w:pPr>
        <w:pStyle w:val="14"/>
        <w:adjustRightInd w:val="0"/>
        <w:snapToGrid w:val="0"/>
        <w:spacing w:line="560" w:lineRule="exact"/>
        <w:jc w:val="left"/>
        <w:rPr>
          <w:rFonts w:eastAsia="仿宋_GB2312"/>
          <w:sz w:val="32"/>
          <w:szCs w:val="32"/>
        </w:rPr>
      </w:pPr>
      <w:bookmarkStart w:id="51" w:name="_Toc15396620"/>
      <w:r>
        <w:rPr>
          <w:rFonts w:eastAsia="仿宋_GB2312"/>
          <w:sz w:val="32"/>
          <w:szCs w:val="32"/>
        </w:rPr>
        <w:t>二、收入决算表</w:t>
      </w:r>
      <w:bookmarkEnd w:id="51"/>
    </w:p>
    <w:p>
      <w:pPr>
        <w:pStyle w:val="14"/>
        <w:adjustRightInd w:val="0"/>
        <w:snapToGrid w:val="0"/>
        <w:spacing w:line="560" w:lineRule="exact"/>
        <w:jc w:val="left"/>
        <w:rPr>
          <w:rFonts w:eastAsia="仿宋_GB2312"/>
          <w:sz w:val="32"/>
          <w:szCs w:val="32"/>
        </w:rPr>
      </w:pPr>
      <w:bookmarkStart w:id="52" w:name="_Toc15396621"/>
      <w:r>
        <w:rPr>
          <w:rFonts w:eastAsia="仿宋_GB2312"/>
          <w:sz w:val="32"/>
          <w:szCs w:val="32"/>
        </w:rPr>
        <w:t>三、支出决算表</w:t>
      </w:r>
      <w:bookmarkEnd w:id="52"/>
    </w:p>
    <w:p>
      <w:pPr>
        <w:pStyle w:val="14"/>
        <w:adjustRightInd w:val="0"/>
        <w:snapToGrid w:val="0"/>
        <w:spacing w:line="560" w:lineRule="exact"/>
        <w:jc w:val="left"/>
        <w:rPr>
          <w:rFonts w:eastAsia="仿宋_GB2312"/>
          <w:sz w:val="32"/>
          <w:szCs w:val="32"/>
        </w:rPr>
      </w:pPr>
      <w:bookmarkStart w:id="53" w:name="_Toc15396622"/>
      <w:r>
        <w:rPr>
          <w:rFonts w:eastAsia="仿宋_GB2312"/>
          <w:sz w:val="32"/>
          <w:szCs w:val="32"/>
        </w:rPr>
        <w:t>四、财政拨款收入支出决算总表</w:t>
      </w:r>
      <w:bookmarkEnd w:id="53"/>
    </w:p>
    <w:p>
      <w:pPr>
        <w:pStyle w:val="14"/>
        <w:adjustRightInd w:val="0"/>
        <w:snapToGrid w:val="0"/>
        <w:spacing w:line="560" w:lineRule="exact"/>
        <w:jc w:val="left"/>
        <w:rPr>
          <w:rFonts w:eastAsia="仿宋_GB2312"/>
          <w:sz w:val="32"/>
          <w:szCs w:val="32"/>
        </w:rPr>
      </w:pPr>
      <w:bookmarkStart w:id="54" w:name="_Toc15396623"/>
      <w:r>
        <w:rPr>
          <w:rFonts w:eastAsia="仿宋_GB2312"/>
          <w:sz w:val="32"/>
          <w:szCs w:val="32"/>
        </w:rPr>
        <w:t>五、财政拨款支出决算明细表</w:t>
      </w:r>
      <w:bookmarkEnd w:id="54"/>
      <w:bookmarkStart w:id="55" w:name="_Toc15396624"/>
    </w:p>
    <w:p>
      <w:pPr>
        <w:pStyle w:val="14"/>
        <w:adjustRightInd w:val="0"/>
        <w:snapToGrid w:val="0"/>
        <w:spacing w:line="560" w:lineRule="exact"/>
        <w:jc w:val="left"/>
        <w:rPr>
          <w:rFonts w:eastAsia="仿宋_GB2312"/>
          <w:sz w:val="32"/>
          <w:szCs w:val="32"/>
        </w:rPr>
      </w:pPr>
      <w:r>
        <w:rPr>
          <w:rFonts w:eastAsia="仿宋_GB2312"/>
          <w:sz w:val="32"/>
          <w:szCs w:val="32"/>
        </w:rPr>
        <w:t>六、一般公共预算财政拨款支出决算表</w:t>
      </w:r>
      <w:bookmarkEnd w:id="55"/>
    </w:p>
    <w:p>
      <w:pPr>
        <w:pStyle w:val="14"/>
        <w:adjustRightInd w:val="0"/>
        <w:snapToGrid w:val="0"/>
        <w:spacing w:line="560" w:lineRule="exact"/>
        <w:jc w:val="left"/>
        <w:rPr>
          <w:rFonts w:eastAsia="仿宋_GB2312"/>
          <w:sz w:val="32"/>
          <w:szCs w:val="32"/>
        </w:rPr>
      </w:pPr>
      <w:bookmarkStart w:id="56" w:name="_Toc15396625"/>
      <w:r>
        <w:rPr>
          <w:rFonts w:eastAsia="仿宋_GB2312"/>
          <w:sz w:val="32"/>
          <w:szCs w:val="32"/>
        </w:rPr>
        <w:t>七、一般公共预算财政拨款支出决算明细表</w:t>
      </w:r>
      <w:bookmarkEnd w:id="56"/>
    </w:p>
    <w:p>
      <w:pPr>
        <w:pStyle w:val="14"/>
        <w:adjustRightInd w:val="0"/>
        <w:snapToGrid w:val="0"/>
        <w:spacing w:line="560" w:lineRule="exact"/>
        <w:jc w:val="left"/>
        <w:rPr>
          <w:rFonts w:eastAsia="仿宋_GB2312"/>
          <w:sz w:val="32"/>
          <w:szCs w:val="32"/>
        </w:rPr>
      </w:pPr>
      <w:bookmarkStart w:id="57" w:name="_Toc15396626"/>
      <w:r>
        <w:rPr>
          <w:rFonts w:eastAsia="仿宋_GB2312"/>
          <w:sz w:val="32"/>
          <w:szCs w:val="32"/>
        </w:rPr>
        <w:t>八、一般公共预算财政拨款基本支出决算表</w:t>
      </w:r>
      <w:bookmarkEnd w:id="57"/>
    </w:p>
    <w:p>
      <w:pPr>
        <w:pStyle w:val="14"/>
        <w:adjustRightInd w:val="0"/>
        <w:snapToGrid w:val="0"/>
        <w:spacing w:line="560" w:lineRule="exact"/>
        <w:jc w:val="left"/>
        <w:rPr>
          <w:rFonts w:eastAsia="仿宋_GB2312"/>
          <w:sz w:val="32"/>
          <w:szCs w:val="32"/>
        </w:rPr>
      </w:pPr>
      <w:bookmarkStart w:id="58" w:name="_Toc15396627"/>
      <w:r>
        <w:rPr>
          <w:rFonts w:eastAsia="仿宋_GB2312"/>
          <w:sz w:val="32"/>
          <w:szCs w:val="32"/>
        </w:rPr>
        <w:t>九、一般公共预算财政拨款项目支出决算表</w:t>
      </w:r>
      <w:bookmarkEnd w:id="58"/>
    </w:p>
    <w:p>
      <w:pPr>
        <w:pStyle w:val="14"/>
        <w:adjustRightInd w:val="0"/>
        <w:snapToGrid w:val="0"/>
        <w:spacing w:line="560" w:lineRule="exact"/>
        <w:jc w:val="left"/>
        <w:rPr>
          <w:rFonts w:eastAsia="仿宋_GB2312"/>
          <w:sz w:val="32"/>
          <w:szCs w:val="32"/>
        </w:rPr>
      </w:pPr>
      <w:bookmarkStart w:id="59" w:name="_Toc15396628"/>
      <w:r>
        <w:rPr>
          <w:rFonts w:eastAsia="仿宋_GB2312"/>
          <w:sz w:val="32"/>
          <w:szCs w:val="32"/>
        </w:rPr>
        <w:t>十、</w:t>
      </w:r>
      <w:bookmarkEnd w:id="59"/>
      <w:r>
        <w:rPr>
          <w:rFonts w:eastAsia="仿宋_GB2312"/>
          <w:sz w:val="32"/>
          <w:szCs w:val="32"/>
        </w:rPr>
        <w:t>政府性基金预算财政拨款收入支出决算表</w:t>
      </w:r>
    </w:p>
    <w:p>
      <w:pPr>
        <w:pStyle w:val="14"/>
        <w:adjustRightInd w:val="0"/>
        <w:snapToGrid w:val="0"/>
        <w:spacing w:line="560" w:lineRule="exact"/>
        <w:jc w:val="left"/>
        <w:rPr>
          <w:rFonts w:eastAsia="仿宋_GB2312"/>
          <w:sz w:val="32"/>
          <w:szCs w:val="32"/>
        </w:rPr>
      </w:pPr>
      <w:bookmarkStart w:id="60" w:name="_Toc15396629"/>
      <w:r>
        <w:rPr>
          <w:rFonts w:eastAsia="仿宋_GB2312"/>
          <w:sz w:val="32"/>
          <w:szCs w:val="32"/>
        </w:rPr>
        <w:t>十一、</w:t>
      </w:r>
      <w:bookmarkEnd w:id="60"/>
      <w:r>
        <w:rPr>
          <w:rFonts w:eastAsia="仿宋_GB2312"/>
          <w:sz w:val="32"/>
          <w:szCs w:val="32"/>
        </w:rPr>
        <w:t>国有资本经营预算财政拨款收入支出决算表</w:t>
      </w:r>
    </w:p>
    <w:p>
      <w:pPr>
        <w:pStyle w:val="14"/>
        <w:adjustRightInd w:val="0"/>
        <w:snapToGrid w:val="0"/>
        <w:spacing w:line="560" w:lineRule="exact"/>
        <w:jc w:val="left"/>
        <w:rPr>
          <w:rFonts w:eastAsia="仿宋_GB2312"/>
          <w:sz w:val="32"/>
          <w:szCs w:val="32"/>
        </w:rPr>
      </w:pPr>
      <w:bookmarkStart w:id="61" w:name="_Toc15396630"/>
      <w:r>
        <w:rPr>
          <w:rFonts w:eastAsia="仿宋_GB2312"/>
          <w:sz w:val="32"/>
          <w:szCs w:val="32"/>
        </w:rPr>
        <w:t>十二、</w:t>
      </w:r>
      <w:bookmarkEnd w:id="61"/>
      <w:r>
        <w:rPr>
          <w:rFonts w:eastAsia="仿宋_GB2312"/>
          <w:sz w:val="32"/>
          <w:szCs w:val="32"/>
        </w:rPr>
        <w:t>国有资本经营预算财政拨款支出决算表</w:t>
      </w:r>
    </w:p>
    <w:p>
      <w:pPr>
        <w:pStyle w:val="14"/>
        <w:adjustRightInd w:val="0"/>
        <w:snapToGrid w:val="0"/>
        <w:spacing w:line="560" w:lineRule="exact"/>
        <w:jc w:val="left"/>
        <w:rPr>
          <w:rFonts w:eastAsia="仿宋_GB2312"/>
          <w:sz w:val="32"/>
          <w:szCs w:val="32"/>
        </w:rPr>
      </w:pPr>
      <w:bookmarkStart w:id="62" w:name="_Toc15396631"/>
      <w:r>
        <w:rPr>
          <w:rFonts w:eastAsia="仿宋_GB2312"/>
          <w:sz w:val="32"/>
          <w:szCs w:val="32"/>
        </w:rPr>
        <w:t>十三、</w:t>
      </w:r>
      <w:bookmarkEnd w:id="62"/>
      <w:r>
        <w:rPr>
          <w:rFonts w:eastAsia="仿宋_GB2312"/>
          <w:sz w:val="32"/>
          <w:szCs w:val="32"/>
        </w:rPr>
        <w:t>财政拨款“三公”经费支出决算表</w:t>
      </w:r>
    </w:p>
    <w:p>
      <w:pPr>
        <w:rPr>
          <w:sz w:val="32"/>
          <w:szCs w:val="32"/>
        </w:rPr>
      </w:pPr>
    </w:p>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pStyle w:val="10"/>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sdt>
      <w:sdtPr>
        <w:id w:val="8358924"/>
        <w:showingPlcHdr/>
        <w:docPartObj>
          <w:docPartGallery w:val="autotext"/>
        </w:docPartObj>
      </w:sdtPr>
      <w:sdtContent/>
    </w:sdt>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4C40"/>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4CFF"/>
    <w:rsid w:val="000C4FB8"/>
    <w:rsid w:val="000D1267"/>
    <w:rsid w:val="000D1D50"/>
    <w:rsid w:val="000D5782"/>
    <w:rsid w:val="000E6613"/>
    <w:rsid w:val="000E7119"/>
    <w:rsid w:val="00114E9B"/>
    <w:rsid w:val="00142216"/>
    <w:rsid w:val="00144D6A"/>
    <w:rsid w:val="0014729F"/>
    <w:rsid w:val="00157BAB"/>
    <w:rsid w:val="0016104D"/>
    <w:rsid w:val="001654D1"/>
    <w:rsid w:val="00173BEA"/>
    <w:rsid w:val="00174518"/>
    <w:rsid w:val="0018106D"/>
    <w:rsid w:val="001877A7"/>
    <w:rsid w:val="00191536"/>
    <w:rsid w:val="00196687"/>
    <w:rsid w:val="001C0962"/>
    <w:rsid w:val="001C540B"/>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310"/>
    <w:rsid w:val="002F1818"/>
    <w:rsid w:val="002F1F9C"/>
    <w:rsid w:val="002F567B"/>
    <w:rsid w:val="003216A9"/>
    <w:rsid w:val="00335A74"/>
    <w:rsid w:val="00361D0B"/>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791B"/>
    <w:rsid w:val="00434489"/>
    <w:rsid w:val="00437085"/>
    <w:rsid w:val="00443880"/>
    <w:rsid w:val="004464F4"/>
    <w:rsid w:val="00471401"/>
    <w:rsid w:val="00473F31"/>
    <w:rsid w:val="0048263A"/>
    <w:rsid w:val="00487E5D"/>
    <w:rsid w:val="0049698A"/>
    <w:rsid w:val="004A711F"/>
    <w:rsid w:val="004B199D"/>
    <w:rsid w:val="004B4690"/>
    <w:rsid w:val="004B59B6"/>
    <w:rsid w:val="004E0A2D"/>
    <w:rsid w:val="004E206B"/>
    <w:rsid w:val="004E6DF7"/>
    <w:rsid w:val="004F0FBD"/>
    <w:rsid w:val="00505A47"/>
    <w:rsid w:val="00512FDA"/>
    <w:rsid w:val="00520DA0"/>
    <w:rsid w:val="00547EDD"/>
    <w:rsid w:val="005655E2"/>
    <w:rsid w:val="005664BB"/>
    <w:rsid w:val="00566FFA"/>
    <w:rsid w:val="0057481D"/>
    <w:rsid w:val="0058486E"/>
    <w:rsid w:val="00585B33"/>
    <w:rsid w:val="0059014D"/>
    <w:rsid w:val="00596D86"/>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0D42"/>
    <w:rsid w:val="006440E4"/>
    <w:rsid w:val="0066343B"/>
    <w:rsid w:val="00664777"/>
    <w:rsid w:val="006748A4"/>
    <w:rsid w:val="00681A31"/>
    <w:rsid w:val="00683E73"/>
    <w:rsid w:val="00692622"/>
    <w:rsid w:val="006A3141"/>
    <w:rsid w:val="006A5E34"/>
    <w:rsid w:val="006B2422"/>
    <w:rsid w:val="006B2B9A"/>
    <w:rsid w:val="006C1937"/>
    <w:rsid w:val="006F020C"/>
    <w:rsid w:val="00707883"/>
    <w:rsid w:val="007127B7"/>
    <w:rsid w:val="0071798E"/>
    <w:rsid w:val="007416B6"/>
    <w:rsid w:val="00744420"/>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0D97"/>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11B2"/>
    <w:rsid w:val="009B2C43"/>
    <w:rsid w:val="009B4EAE"/>
    <w:rsid w:val="009B7573"/>
    <w:rsid w:val="009C22F4"/>
    <w:rsid w:val="009C2A4B"/>
    <w:rsid w:val="009C2E98"/>
    <w:rsid w:val="009C6262"/>
    <w:rsid w:val="009D2CD7"/>
    <w:rsid w:val="009D3447"/>
    <w:rsid w:val="009D4711"/>
    <w:rsid w:val="009F1185"/>
    <w:rsid w:val="009F18CD"/>
    <w:rsid w:val="009F2A13"/>
    <w:rsid w:val="009F6646"/>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4A2D"/>
    <w:rsid w:val="00A91760"/>
    <w:rsid w:val="00A93B00"/>
    <w:rsid w:val="00A93C21"/>
    <w:rsid w:val="00AA781A"/>
    <w:rsid w:val="00AB64C9"/>
    <w:rsid w:val="00AC3C6A"/>
    <w:rsid w:val="00AD5620"/>
    <w:rsid w:val="00AD656B"/>
    <w:rsid w:val="00AD7C1B"/>
    <w:rsid w:val="00AE16BA"/>
    <w:rsid w:val="00AE1EBE"/>
    <w:rsid w:val="00B03C9D"/>
    <w:rsid w:val="00B060AE"/>
    <w:rsid w:val="00B10517"/>
    <w:rsid w:val="00B14E76"/>
    <w:rsid w:val="00B161B8"/>
    <w:rsid w:val="00B1682A"/>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424D"/>
    <w:rsid w:val="00D20620"/>
    <w:rsid w:val="00D254F7"/>
    <w:rsid w:val="00D26091"/>
    <w:rsid w:val="00D2685C"/>
    <w:rsid w:val="00D34E7C"/>
    <w:rsid w:val="00D35489"/>
    <w:rsid w:val="00D36AFE"/>
    <w:rsid w:val="00D51276"/>
    <w:rsid w:val="00D7035F"/>
    <w:rsid w:val="00D85005"/>
    <w:rsid w:val="00DA634F"/>
    <w:rsid w:val="00DA65AC"/>
    <w:rsid w:val="00DB1913"/>
    <w:rsid w:val="00DC410D"/>
    <w:rsid w:val="00DC5A81"/>
    <w:rsid w:val="00DC68CA"/>
    <w:rsid w:val="00DC7CBA"/>
    <w:rsid w:val="00DD14E2"/>
    <w:rsid w:val="00DD73B7"/>
    <w:rsid w:val="00DF28BC"/>
    <w:rsid w:val="00DF34B9"/>
    <w:rsid w:val="00E01053"/>
    <w:rsid w:val="00E07ACF"/>
    <w:rsid w:val="00E23CC8"/>
    <w:rsid w:val="00E331A1"/>
    <w:rsid w:val="00E33202"/>
    <w:rsid w:val="00E336A9"/>
    <w:rsid w:val="00E472B1"/>
    <w:rsid w:val="00E50624"/>
    <w:rsid w:val="00E54633"/>
    <w:rsid w:val="00E568DF"/>
    <w:rsid w:val="00E64269"/>
    <w:rsid w:val="00E82267"/>
    <w:rsid w:val="00E84BEA"/>
    <w:rsid w:val="00E853CE"/>
    <w:rsid w:val="00E867B6"/>
    <w:rsid w:val="00E966A4"/>
    <w:rsid w:val="00EA010F"/>
    <w:rsid w:val="00EA5F33"/>
    <w:rsid w:val="00ED1B63"/>
    <w:rsid w:val="00ED3C1F"/>
    <w:rsid w:val="00ED4085"/>
    <w:rsid w:val="00ED420E"/>
    <w:rsid w:val="00ED6FBE"/>
    <w:rsid w:val="00EE2F57"/>
    <w:rsid w:val="00EE4D4C"/>
    <w:rsid w:val="00EF4C34"/>
    <w:rsid w:val="00EF6E89"/>
    <w:rsid w:val="00EF77C6"/>
    <w:rsid w:val="00F05438"/>
    <w:rsid w:val="00F1361C"/>
    <w:rsid w:val="00F151FA"/>
    <w:rsid w:val="00F156F0"/>
    <w:rsid w:val="00F160C7"/>
    <w:rsid w:val="00F2408F"/>
    <w:rsid w:val="00F240E9"/>
    <w:rsid w:val="00F36D8F"/>
    <w:rsid w:val="00F409A6"/>
    <w:rsid w:val="00F417B1"/>
    <w:rsid w:val="00F45853"/>
    <w:rsid w:val="00F602DF"/>
    <w:rsid w:val="00F754A1"/>
    <w:rsid w:val="00F8102E"/>
    <w:rsid w:val="00F81FD9"/>
    <w:rsid w:val="00F841AA"/>
    <w:rsid w:val="00F84A94"/>
    <w:rsid w:val="00F87E96"/>
    <w:rsid w:val="00FA23E8"/>
    <w:rsid w:val="00FC19D0"/>
    <w:rsid w:val="00FD3CC1"/>
    <w:rsid w:val="00FF1E02"/>
    <w:rsid w:val="00FF30B4"/>
    <w:rsid w:val="00FF3557"/>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502E32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4F82439"/>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DF2849"/>
    <w:rsid w:val="6FDFBAEF"/>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BB8451"/>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8F7526F8"/>
    <w:rsid w:val="99FF2014"/>
    <w:rsid w:val="A6DD0D7F"/>
    <w:rsid w:val="A8AA8AB8"/>
    <w:rsid w:val="ACFF4FBB"/>
    <w:rsid w:val="ADC6F725"/>
    <w:rsid w:val="B33FACE0"/>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7F583B"/>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4\2023&#24180;&#20915;&#31639;\2023&#24180;(&#25112;&#30053;&#25152;&#12289;&#29983;&#20135;&#21147;&#65289;&#20915;&#31639;&#20844;&#24320;\2023&#20915;&#31639;&#20844;&#24320;&#26609;&#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000000"/>
                </a:solidFill>
                <a:latin typeface="宋体" charset="-122"/>
                <a:ea typeface="宋体" charset="-122"/>
                <a:cs typeface="宋体" charset="-122"/>
              </a:defRPr>
            </a:pPr>
            <a:r>
              <a:rPr lang="zh-CN" altLang="en-US"/>
              <a:t>收、支决算总计变动情况图</a:t>
            </a:r>
            <a:endParaRPr lang="zh-CN" altLang="en-US"/>
          </a:p>
        </c:rich>
      </c:tx>
      <c:layout/>
      <c:overlay val="false"/>
    </c:title>
    <c:autoTitleDeleted val="false"/>
    <c:plotArea>
      <c:layout>
        <c:manualLayout>
          <c:layoutTarget val="inner"/>
          <c:xMode val="edge"/>
          <c:yMode val="edge"/>
          <c:x val="0.146711635750422"/>
          <c:y val="0.242622950819672"/>
          <c:w val="0.817875210792582"/>
          <c:h val="0.472131147540983"/>
        </c:manualLayout>
      </c:layout>
      <c:barChart>
        <c:barDir val="col"/>
        <c:grouping val="clustered"/>
        <c:varyColors val="false"/>
        <c:ser>
          <c:idx val="0"/>
          <c:order val="0"/>
          <c:tx>
            <c:strRef>
              <c:f>图1!$B$1</c:f>
              <c:strCache>
                <c:ptCount val="1"/>
                <c:pt idx="0">
                  <c:v>2023年</c:v>
                </c:pt>
              </c:strCache>
            </c:strRef>
          </c:tx>
          <c:spPr>
            <a:gradFill rotWithShape="false">
              <a:gsLst>
                <a:gs pos="0">
                  <a:srgbClr val="E30000"/>
                </a:gs>
                <a:gs pos="100000">
                  <a:srgbClr val="760303"/>
                </a:gs>
              </a:gsLst>
              <a:lin ang="5400000"/>
            </a:gradFill>
            <a:ln w="25400">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图1!$A$2:$A$3</c:f>
              <c:strCache>
                <c:ptCount val="2"/>
                <c:pt idx="0">
                  <c:v>收入总计</c:v>
                </c:pt>
                <c:pt idx="1">
                  <c:v>支出总计</c:v>
                </c:pt>
              </c:strCache>
            </c:strRef>
          </c:cat>
          <c:val>
            <c:numRef>
              <c:f>图1!$B$2:$B$3</c:f>
              <c:numCache>
                <c:formatCode>General</c:formatCode>
                <c:ptCount val="2"/>
                <c:pt idx="0">
                  <c:v>508.16</c:v>
                </c:pt>
                <c:pt idx="1">
                  <c:v>508.16</c:v>
                </c:pt>
              </c:numCache>
            </c:numRef>
          </c:val>
        </c:ser>
        <c:ser>
          <c:idx val="1"/>
          <c:order val="1"/>
          <c:tx>
            <c:strRef>
              <c:f>图1!$C$1</c:f>
              <c:strCache>
                <c:ptCount val="1"/>
                <c:pt idx="0">
                  <c:v>2024年</c:v>
                </c:pt>
              </c:strCache>
            </c:strRef>
          </c:tx>
          <c:spPr>
            <a:gradFill rotWithShape="false">
              <a:gsLst>
                <a:gs pos="0">
                  <a:srgbClr val="007BD3"/>
                </a:gs>
                <a:gs pos="100000">
                  <a:srgbClr val="034373"/>
                </a:gs>
              </a:gsLst>
              <a:lin ang="5400000"/>
            </a:gradFill>
            <a:ln w="25400">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图1!$A$2:$A$3</c:f>
              <c:strCache>
                <c:ptCount val="2"/>
                <c:pt idx="0">
                  <c:v>收入总计</c:v>
                </c:pt>
                <c:pt idx="1">
                  <c:v>支出总计</c:v>
                </c:pt>
              </c:strCache>
            </c:strRef>
          </c:cat>
          <c:val>
            <c:numRef>
              <c:f>图1!$C$2:$C$3</c:f>
              <c:numCache>
                <c:formatCode>General</c:formatCode>
                <c:ptCount val="2"/>
                <c:pt idx="0">
                  <c:v>480.429999999999</c:v>
                </c:pt>
                <c:pt idx="1">
                  <c:v>480.429999999999</c:v>
                </c:pt>
              </c:numCache>
            </c:numRef>
          </c:val>
        </c:ser>
        <c:dLbls>
          <c:showLegendKey val="false"/>
          <c:showVal val="true"/>
          <c:showCatName val="false"/>
          <c:showSerName val="false"/>
          <c:showPercent val="false"/>
          <c:showBubbleSize val="false"/>
        </c:dLbls>
        <c:gapWidth val="150"/>
        <c:axId val="76857728"/>
        <c:axId val="76873728"/>
      </c:barChart>
      <c:catAx>
        <c:axId val="76857728"/>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true"/>
          <a:lstStyle/>
          <a:p>
            <a:pPr>
              <a:defRPr lang="zh-CN" sz="900" b="0" i="0" u="none" strike="noStrike" kern="1200" baseline="0">
                <a:solidFill>
                  <a:srgbClr val="333333"/>
                </a:solidFill>
                <a:latin typeface="宋体" charset="-122"/>
                <a:ea typeface="宋体" charset="-122"/>
                <a:cs typeface="宋体" charset="-122"/>
              </a:defRPr>
            </a:pPr>
          </a:p>
        </c:txPr>
        <c:crossAx val="76873728"/>
        <c:crosses val="autoZero"/>
        <c:auto val="true"/>
        <c:lblAlgn val="ctr"/>
        <c:lblOffset val="100"/>
        <c:noMultiLvlLbl val="false"/>
      </c:catAx>
      <c:valAx>
        <c:axId val="7687372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ln w="9525" cap="flat" cmpd="sng" algn="ctr">
            <a:noFill/>
            <a:prstDash val="solid"/>
            <a:round/>
          </a:ln>
        </c:spPr>
        <c:txPr>
          <a:bodyPr rot="0" spcFirstLastPara="0" vertOverflow="ellipsis" vert="horz" wrap="square" anchor="ctr" anchorCtr="true"/>
          <a:lstStyle/>
          <a:p>
            <a:pPr>
              <a:defRPr lang="zh-CN" sz="900" b="0" i="0" u="none" strike="noStrike" kern="1200" baseline="0">
                <a:solidFill>
                  <a:srgbClr val="333333"/>
                </a:solidFill>
                <a:latin typeface="宋体" charset="-122"/>
                <a:ea typeface="宋体" charset="-122"/>
                <a:cs typeface="宋体" charset="-122"/>
              </a:defRPr>
            </a:pPr>
          </a:p>
        </c:txPr>
        <c:crossAx val="76857728"/>
        <c:crosses val="autoZero"/>
        <c:crossBetween val="between"/>
      </c:valAx>
      <c:spPr>
        <a:noFill/>
        <a:ln w="25400">
          <a:noFill/>
        </a:ln>
      </c:spPr>
    </c:plotArea>
    <c:legend>
      <c:legendPos val="r"/>
      <c:layout/>
      <c:overlay val="false"/>
      <c:spPr>
        <a:noFill/>
        <a:ln w="25400">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333333"/>
                </a:solidFill>
                <a:latin typeface="宋体" charset="-122"/>
                <a:ea typeface="宋体" charset="-122"/>
                <a:cs typeface="宋体" charset="-122"/>
              </a:defRPr>
            </a:pPr>
            <a:r>
              <a:rPr lang="zh-CN" altLang="en-US"/>
              <a:t>收入决算结构图</a:t>
            </a:r>
            <a:endParaRPr lang="zh-CN" altLang="en-US"/>
          </a:p>
        </c:rich>
      </c:tx>
      <c:layout/>
      <c:overlay val="false"/>
      <c:spPr>
        <a:noFill/>
        <a:ln w="25400">
          <a:noFill/>
        </a:ln>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Lbls>
            <c:spPr>
              <a:noFill/>
              <a:ln w="25400">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3175" cap="flat" cmpd="sng" algn="ctr">
                      <a:solidFill>
                        <a:srgbClr val="969696"/>
                      </a:solidFill>
                      <a:prstDash val="solid"/>
                      <a:round/>
                    </a:ln>
                  </c:spPr>
                </c15:leaderLines>
              </c:ext>
            </c:extLst>
          </c:dLbls>
          <c:cat>
            <c:strRef>
              <c:f>图2!$A$1</c:f>
              <c:strCache>
                <c:ptCount val="1"/>
                <c:pt idx="0">
                  <c:v>一般公共预算财政拨款收入</c:v>
                </c:pt>
              </c:strCache>
            </c:strRef>
          </c:cat>
          <c:val>
            <c:numRef>
              <c:f>图2!$A$2</c:f>
              <c:numCache>
                <c:formatCode>0.00%</c:formatCode>
                <c:ptCount val="1"/>
                <c:pt idx="0">
                  <c:v>1</c:v>
                </c:pt>
              </c:numCache>
            </c:numRef>
          </c:val>
        </c:ser>
        <c:dLbls>
          <c:showLegendKey val="false"/>
          <c:showVal val="true"/>
          <c:showCatName val="false"/>
          <c:showSerName val="false"/>
          <c:showPercent val="false"/>
          <c:showBubbleSize val="false"/>
          <c:showLeaderLines val="true"/>
        </c:dLbls>
        <c:firstSliceAng val="0"/>
      </c:pieChart>
      <c:spPr>
        <a:noFill/>
        <a:ln w="25400">
          <a:noFill/>
        </a:ln>
      </c:spPr>
    </c:plotArea>
    <c:legend>
      <c:legendPos val="r"/>
      <c:layout/>
      <c:overlay val="false"/>
      <c:spPr>
        <a:noFill/>
        <a:ln w="25400">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333333"/>
                </a:solidFill>
                <a:latin typeface="宋体" charset="-122"/>
                <a:ea typeface="宋体" charset="-122"/>
                <a:cs typeface="宋体" charset="-122"/>
              </a:defRPr>
            </a:pPr>
            <a:r>
              <a:rPr lang="zh-CN" altLang="en-US"/>
              <a:t>支出决算结构图</a:t>
            </a:r>
            <a:endParaRPr lang="zh-CN" altLang="en-US"/>
          </a:p>
        </c:rich>
      </c:tx>
      <c:layout/>
      <c:overlay val="false"/>
      <c:spPr>
        <a:noFill/>
        <a:ln w="25400">
          <a:noFill/>
        </a:ln>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w="25400">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3175" cap="flat" cmpd="sng" algn="ctr">
                      <a:solidFill>
                        <a:srgbClr val="969696"/>
                      </a:solidFill>
                      <a:prstDash val="solid"/>
                      <a:round/>
                    </a:ln>
                  </c:spPr>
                </c15:leaderLines>
              </c:ext>
            </c:extLst>
          </c:dLbls>
          <c:cat>
            <c:strRef>
              <c:f>图3!$A$1:$B$1</c:f>
              <c:strCache>
                <c:ptCount val="2"/>
                <c:pt idx="0">
                  <c:v>基本支出</c:v>
                </c:pt>
                <c:pt idx="1">
                  <c:v>项目支出</c:v>
                </c:pt>
              </c:strCache>
            </c:strRef>
          </c:cat>
          <c:val>
            <c:numRef>
              <c:f>图3!$A$2:$B$2</c:f>
              <c:numCache>
                <c:formatCode>0.00%</c:formatCode>
                <c:ptCount val="2"/>
                <c:pt idx="0">
                  <c:v>0.9872</c:v>
                </c:pt>
                <c:pt idx="1">
                  <c:v>0.0128</c:v>
                </c:pt>
              </c:numCache>
            </c:numRef>
          </c:val>
        </c:ser>
        <c:dLbls>
          <c:showLegendKey val="false"/>
          <c:showVal val="true"/>
          <c:showCatName val="false"/>
          <c:showSerName val="false"/>
          <c:showPercent val="false"/>
          <c:showBubbleSize val="false"/>
          <c:showLeaderLines val="true"/>
        </c:dLbls>
        <c:firstSliceAng val="0"/>
      </c:pieChart>
      <c:spPr>
        <a:noFill/>
        <a:ln w="25400">
          <a:noFill/>
        </a:ln>
      </c:spPr>
    </c:plotArea>
    <c:legend>
      <c:legendPos val="r"/>
      <c:layout/>
      <c:overlay val="false"/>
      <c:spPr>
        <a:noFill/>
        <a:ln w="25400">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stacked"/>
        <c:varyColors val="false"/>
        <c:ser>
          <c:idx val="0"/>
          <c:order val="0"/>
          <c:tx>
            <c:strRef>
              <c:f>图4!$A$2</c:f>
              <c:strCache>
                <c:ptCount val="1"/>
                <c:pt idx="0">
                  <c:v>财政拨款收入</c:v>
                </c:pt>
              </c:strCache>
            </c:strRef>
          </c:tx>
          <c:invertIfNegative val="false"/>
          <c:dLbls>
            <c:delete val="true"/>
          </c:dLbls>
          <c:cat>
            <c:strRef>
              <c:f>图4!$B$1:$C$1</c:f>
              <c:strCache>
                <c:ptCount val="2"/>
                <c:pt idx="0">
                  <c:v>2023年</c:v>
                </c:pt>
                <c:pt idx="1">
                  <c:v>2024年</c:v>
                </c:pt>
              </c:strCache>
            </c:strRef>
          </c:cat>
          <c:val>
            <c:numRef>
              <c:f>图4!$B$2:$C$2</c:f>
              <c:numCache>
                <c:formatCode>General</c:formatCode>
                <c:ptCount val="2"/>
                <c:pt idx="0">
                  <c:v>508.16</c:v>
                </c:pt>
                <c:pt idx="1">
                  <c:v>480.429999999999</c:v>
                </c:pt>
              </c:numCache>
            </c:numRef>
          </c:val>
        </c:ser>
        <c:ser>
          <c:idx val="1"/>
          <c:order val="1"/>
          <c:tx>
            <c:strRef>
              <c:f>图4!$A$3</c:f>
              <c:strCache>
                <c:ptCount val="1"/>
                <c:pt idx="0">
                  <c:v>财政拨款支出</c:v>
                </c:pt>
              </c:strCache>
            </c:strRef>
          </c:tx>
          <c:invertIfNegative val="false"/>
          <c:dLbls>
            <c:delete val="true"/>
          </c:dLbls>
          <c:cat>
            <c:strRef>
              <c:f>图4!$B$1:$C$1</c:f>
              <c:strCache>
                <c:ptCount val="2"/>
                <c:pt idx="0">
                  <c:v>2023年</c:v>
                </c:pt>
                <c:pt idx="1">
                  <c:v>2024年</c:v>
                </c:pt>
              </c:strCache>
            </c:strRef>
          </c:cat>
          <c:val>
            <c:numRef>
              <c:f>图4!$B$3:$C$3</c:f>
              <c:numCache>
                <c:formatCode>General</c:formatCode>
                <c:ptCount val="2"/>
                <c:pt idx="0">
                  <c:v>508.16</c:v>
                </c:pt>
                <c:pt idx="1">
                  <c:v>480.429999999999</c:v>
                </c:pt>
              </c:numCache>
            </c:numRef>
          </c:val>
        </c:ser>
        <c:dLbls>
          <c:showLegendKey val="false"/>
          <c:showVal val="false"/>
          <c:showCatName val="false"/>
          <c:showSerName val="false"/>
          <c:showPercent val="false"/>
          <c:showBubbleSize val="false"/>
        </c:dLbls>
        <c:gapWidth val="150"/>
        <c:overlap val="100"/>
        <c:axId val="105969152"/>
        <c:axId val="119291904"/>
      </c:barChart>
      <c:catAx>
        <c:axId val="105969152"/>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9291904"/>
        <c:crosses val="autoZero"/>
        <c:auto val="true"/>
        <c:lblAlgn val="ctr"/>
        <c:lblOffset val="100"/>
        <c:noMultiLvlLbl val="false"/>
      </c:catAx>
      <c:valAx>
        <c:axId val="11929190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0596915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000000"/>
                </a:solidFill>
                <a:latin typeface="宋体" charset="-122"/>
                <a:ea typeface="宋体" charset="-122"/>
                <a:cs typeface="宋体" charset="-122"/>
              </a:defRPr>
            </a:pPr>
            <a:r>
              <a:rPr lang="zh-CN" altLang="en-US"/>
              <a:t>一般公共预算财政拨款支出决算变动情况</a:t>
            </a:r>
            <a:endParaRPr lang="zh-CN" altLang="en-US"/>
          </a:p>
        </c:rich>
      </c:tx>
      <c:layout/>
      <c:overlay val="false"/>
    </c:title>
    <c:autoTitleDeleted val="false"/>
    <c:plotArea>
      <c:layout/>
      <c:barChart>
        <c:barDir val="col"/>
        <c:grouping val="stacked"/>
        <c:varyColors val="false"/>
        <c:ser>
          <c:idx val="0"/>
          <c:order val="0"/>
          <c:tx>
            <c:strRef>
              <c:f>图5!#REF!</c:f>
              <c:strCache>
                <c:ptCount val="1"/>
                <c:pt idx="0">
                  <c:v/>
                </c:pt>
              </c:strCache>
            </c:strRef>
          </c:tx>
          <c:spPr>
            <a:solidFill>
              <a:srgbClr val="4F81BD"/>
            </a:solidFill>
            <a:ln w="25400">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宋体" charset="-122"/>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图5!$B$1:$C$1</c:f>
              <c:strCache>
                <c:ptCount val="2"/>
                <c:pt idx="0">
                  <c:v>2023年</c:v>
                </c:pt>
                <c:pt idx="1">
                  <c:v>2024年</c:v>
                </c:pt>
              </c:strCache>
            </c:strRef>
          </c:cat>
          <c:val>
            <c:numRef>
              <c:f>图5!#REF!</c:f>
              <c:numCache>
                <c:formatCode>General</c:formatCode>
                <c:ptCount val="1"/>
                <c:pt idx="0">
                  <c:v>0</c:v>
                </c:pt>
              </c:numCache>
            </c:numRef>
          </c:val>
        </c:ser>
        <c:ser>
          <c:idx val="1"/>
          <c:order val="1"/>
          <c:tx>
            <c:strRef>
              <c:f>图5!$A$2</c:f>
              <c:strCache>
                <c:ptCount val="1"/>
                <c:pt idx="0">
                  <c:v>一般公共预算财政拨款支出</c:v>
                </c:pt>
              </c:strCache>
            </c:strRef>
          </c:tx>
          <c:spPr>
            <a:gradFill rotWithShape="false">
              <a:gsLst>
                <a:gs pos="0">
                  <a:srgbClr val="FECF40"/>
                </a:gs>
                <a:gs pos="100000">
                  <a:srgbClr val="846C21"/>
                </a:gs>
              </a:gsLst>
              <a:lin ang="5400000"/>
            </a:gradFill>
            <a:ln w="25400">
              <a:noFill/>
            </a:ln>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宋体" charset="-122"/>
                    <a:ea typeface="宋体" charset="-122"/>
                    <a:cs typeface="宋体" charset="-122"/>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图5!$B$1:$C$1</c:f>
              <c:strCache>
                <c:ptCount val="2"/>
                <c:pt idx="0">
                  <c:v>2023年</c:v>
                </c:pt>
                <c:pt idx="1">
                  <c:v>2024年</c:v>
                </c:pt>
              </c:strCache>
            </c:strRef>
          </c:cat>
          <c:val>
            <c:numRef>
              <c:f>图5!$B$2:$C$2</c:f>
              <c:numCache>
                <c:formatCode>General</c:formatCode>
                <c:ptCount val="2"/>
                <c:pt idx="0">
                  <c:v>500.96</c:v>
                </c:pt>
                <c:pt idx="1">
                  <c:v>475.66</c:v>
                </c:pt>
              </c:numCache>
            </c:numRef>
          </c:val>
        </c:ser>
        <c:dLbls>
          <c:showLegendKey val="false"/>
          <c:showVal val="true"/>
          <c:showCatName val="false"/>
          <c:showSerName val="false"/>
          <c:showPercent val="false"/>
          <c:showBubbleSize val="false"/>
        </c:dLbls>
        <c:gapWidth val="150"/>
        <c:overlap val="100"/>
        <c:axId val="83644800"/>
        <c:axId val="83646336"/>
      </c:barChart>
      <c:catAx>
        <c:axId val="83644800"/>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true"/>
          <a:lstStyle/>
          <a:p>
            <a:pPr>
              <a:defRPr lang="zh-CN" sz="900" b="0" i="0" u="none" strike="noStrike" kern="1200" baseline="0">
                <a:solidFill>
                  <a:srgbClr val="333333"/>
                </a:solidFill>
                <a:latin typeface="宋体" charset="-122"/>
                <a:ea typeface="宋体" charset="-122"/>
                <a:cs typeface="宋体" charset="-122"/>
              </a:defRPr>
            </a:pPr>
          </a:p>
        </c:txPr>
        <c:crossAx val="83646336"/>
        <c:crosses val="autoZero"/>
        <c:auto val="true"/>
        <c:lblAlgn val="ctr"/>
        <c:lblOffset val="100"/>
        <c:noMultiLvlLbl val="false"/>
      </c:catAx>
      <c:valAx>
        <c:axId val="8364633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ln w="9525" cap="flat" cmpd="sng" algn="ctr">
            <a:noFill/>
            <a:prstDash val="solid"/>
            <a:round/>
          </a:ln>
        </c:spPr>
        <c:txPr>
          <a:bodyPr rot="0" spcFirstLastPara="0" vertOverflow="ellipsis" vert="horz" wrap="square" anchor="ctr" anchorCtr="true"/>
          <a:lstStyle/>
          <a:p>
            <a:pPr>
              <a:defRPr lang="zh-CN" sz="900" b="0" i="0" u="none" strike="noStrike" kern="1200" baseline="0">
                <a:solidFill>
                  <a:srgbClr val="333333"/>
                </a:solidFill>
                <a:latin typeface="宋体" charset="-122"/>
                <a:ea typeface="宋体" charset="-122"/>
                <a:cs typeface="宋体" charset="-122"/>
              </a:defRPr>
            </a:pPr>
          </a:p>
        </c:txPr>
        <c:crossAx val="83644800"/>
        <c:crosses val="autoZero"/>
        <c:crossBetween val="between"/>
      </c:valAx>
      <c:spPr>
        <a:noFill/>
        <a:ln w="25400">
          <a:noFill/>
        </a:ln>
      </c:spPr>
    </c:plotArea>
    <c:legend>
      <c:legendPos val="b"/>
      <c:legendEntry>
        <c:idx val="1"/>
        <c:delete val="true"/>
      </c:legendEntry>
      <c:layout>
        <c:manualLayout>
          <c:xMode val="edge"/>
          <c:yMode val="edge"/>
          <c:x val="0.27575"/>
          <c:y val="0.894999950101295"/>
          <c:w val="0.44825"/>
          <c:h val="0.0770000898176703"/>
        </c:manualLayout>
      </c:layout>
      <c:overlay val="false"/>
      <c:spPr>
        <a:noFill/>
        <a:ln w="25400">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333333"/>
                </a:solidFill>
                <a:latin typeface="宋体" charset="-122"/>
                <a:ea typeface="宋体" charset="-122"/>
                <a:cs typeface="宋体" charset="-122"/>
              </a:defRPr>
            </a:pPr>
            <a:r>
              <a:rPr lang="zh-CN" altLang="en-US"/>
              <a:t>一般公共预算财政拨款支出决算结构</a:t>
            </a:r>
            <a:endParaRPr lang="zh-CN" altLang="en-US"/>
          </a:p>
        </c:rich>
      </c:tx>
      <c:layout/>
      <c:overlay val="false"/>
      <c:spPr>
        <a:noFill/>
        <a:ln w="25400">
          <a:noFill/>
        </a:ln>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dPt>
          <c:dLbls>
            <c:dLbl>
              <c:idx val="0"/>
              <c:layout>
                <c:manualLayout>
                  <c:x val="0.0689059206954346"/>
                  <c:y val="0.0015424470705107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333333"/>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3175" cap="flat" cmpd="sng" algn="ctr">
                      <a:solidFill>
                        <a:srgbClr val="969696"/>
                      </a:solidFill>
                      <a:prstDash val="solid"/>
                      <a:round/>
                    </a:ln>
                  </c:spPr>
                </c15:leaderLines>
              </c:ext>
            </c:extLst>
          </c:dLbls>
          <c:cat>
            <c:strRef>
              <c:f>图6!$A$1:$D$1</c:f>
              <c:strCache>
                <c:ptCount val="4"/>
                <c:pt idx="0">
                  <c:v>科学技术支出</c:v>
                </c:pt>
                <c:pt idx="1">
                  <c:v>卫生健康支出</c:v>
                </c:pt>
                <c:pt idx="2">
                  <c:v>社会保障和就业支出</c:v>
                </c:pt>
                <c:pt idx="3">
                  <c:v>住房保障支出</c:v>
                </c:pt>
              </c:strCache>
            </c:strRef>
          </c:cat>
          <c:val>
            <c:numRef>
              <c:f>图6!$A$2:$D$2</c:f>
              <c:numCache>
                <c:formatCode>0.00%</c:formatCode>
                <c:ptCount val="4"/>
                <c:pt idx="0">
                  <c:v>0.642700000000001</c:v>
                </c:pt>
                <c:pt idx="1">
                  <c:v>0.0539</c:v>
                </c:pt>
                <c:pt idx="2">
                  <c:v>0.2363</c:v>
                </c:pt>
                <c:pt idx="3">
                  <c:v>0.0671</c:v>
                </c:pt>
              </c:numCache>
            </c:numRef>
          </c:val>
        </c:ser>
        <c:dLbls>
          <c:showLegendKey val="false"/>
          <c:showVal val="true"/>
          <c:showCatName val="false"/>
          <c:showSerName val="false"/>
          <c:showPercent val="false"/>
          <c:showBubbleSize val="false"/>
          <c:showLeaderLines val="true"/>
        </c:dLbls>
        <c:firstSliceAng val="0"/>
      </c:pieChart>
      <c:spPr>
        <a:noFill/>
        <a:ln w="25400">
          <a:noFill/>
        </a:ln>
      </c:spPr>
    </c:plotArea>
    <c:legend>
      <c:legendPos val="r"/>
      <c:layout/>
      <c:overlay val="false"/>
      <c:spPr>
        <a:noFill/>
        <a:ln w="25400">
          <a:noFill/>
        </a:ln>
      </c:spPr>
      <c:txPr>
        <a:bodyPr rot="0" spcFirstLastPara="0" vertOverflow="ellipsis" vert="horz" wrap="square" anchor="ctr" anchorCtr="true"/>
        <a:lstStyle/>
        <a:p>
          <a:pPr>
            <a:defRPr lang="zh-CN" sz="825" b="0" i="0" u="none" strike="noStrike" kern="1200" baseline="0">
              <a:solidFill>
                <a:srgbClr val="333333"/>
              </a:solidFill>
              <a:latin typeface="宋体" charset="-122"/>
              <a:ea typeface="宋体" charset="-122"/>
              <a:cs typeface="宋体" charset="-122"/>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597436570428698"/>
          <c:y val="0.231481481481482"/>
          <c:w val="0.430555555555556"/>
          <c:h val="0.717592592592594"/>
        </c:manualLayout>
      </c:layout>
      <c:pieChart>
        <c:varyColors val="true"/>
        <c:ser>
          <c:idx val="0"/>
          <c:order val="0"/>
          <c:explosion val="0"/>
          <c:dPt>
            <c:idx val="0"/>
            <c:bubble3D val="false"/>
          </c:dPt>
          <c:dPt>
            <c:idx val="1"/>
            <c:bubble3D val="false"/>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图7!$A$1:$B$1</c:f>
              <c:strCache>
                <c:ptCount val="2"/>
                <c:pt idx="0">
                  <c:v>公务用车购置及运行维护费</c:v>
                </c:pt>
                <c:pt idx="1">
                  <c:v>公务接待支出</c:v>
                </c:pt>
              </c:strCache>
            </c:strRef>
          </c:cat>
          <c:val>
            <c:numRef>
              <c:f>图7!$A$2:$B$2</c:f>
              <c:numCache>
                <c:formatCode>0.00%</c:formatCode>
                <c:ptCount val="2"/>
                <c:pt idx="0">
                  <c:v>1</c:v>
                </c:pt>
                <c:pt idx="1">
                  <c:v>0</c:v>
                </c:pt>
              </c:numCache>
            </c:numRef>
          </c:val>
        </c:ser>
        <c:dLbls>
          <c:showLegendKey val="false"/>
          <c:showVal val="false"/>
          <c:showCatName val="false"/>
          <c:showSerName val="false"/>
          <c:showPercent val="false"/>
          <c:showBubbleSize val="false"/>
          <c:showLeaderLines val="true"/>
        </c:dLbls>
        <c:firstSliceAng val="0"/>
      </c:pieChart>
      <c:spPr>
        <a:noFill/>
        <a:ln w="25400">
          <a:noFill/>
        </a:ln>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14</Pages>
  <Words>862</Words>
  <Characters>4919</Characters>
  <Lines>40</Lines>
  <Paragraphs>11</Paragraphs>
  <TotalTime>3</TotalTime>
  <ScaleCrop>false</ScaleCrop>
  <LinksUpToDate>false</LinksUpToDate>
  <CharactersWithSpaces>5770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2025-09-05T16:55:00Z</dcterms:created>
  <dc:creator>曹颖</dc:creator>
  <cp:lastModifiedBy>user</cp:lastModifiedBy>
  <cp:lastPrinted>2025-08-09T01:34:00Z</cp:lastPrinted>
  <dcterms:modified xsi:type="dcterms:W3CDTF">2025-09-15T09:41:39Z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