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193"/>
      <w:bookmarkStart w:id="1" w:name="_Toc15396475"/>
      <w:bookmarkStart w:id="2" w:name="_Toc15396597"/>
      <w:bookmarkStart w:id="3" w:name="_Toc15377425"/>
      <w:bookmarkStart w:id="4" w:name="_Toc15378441"/>
      <w:bookmarkStart w:id="5" w:name="_Toc1530626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攀枝花市科技基础条件平台服务中心</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单位决算公开</w:t>
      </w:r>
      <w:r>
        <w:rPr>
          <w:rFonts w:hint="eastAsia" w:ascii="Times New Roman" w:eastAsia="方正小标宋简体"/>
          <w:kern w:val="2"/>
          <w:sz w:val="44"/>
          <w:szCs w:val="44"/>
          <w:lang w:eastAsia="zh-CN"/>
        </w:rPr>
        <w:t>文字</w:t>
      </w:r>
      <w:r>
        <w:rPr>
          <w:rFonts w:hint="eastAsia" w:ascii="Times New Roman" w:hAnsi="Times New Roman" w:eastAsia="方正小标宋简体" w:cs="Times New Roman"/>
          <w:color w:val="auto"/>
          <w:kern w:val="2"/>
          <w:sz w:val="44"/>
          <w:szCs w:val="44"/>
          <w:highlight w:val="none"/>
          <w:lang w:val="en-US" w:eastAsia="zh-CN" w:bidi="ar-SA"/>
        </w:rPr>
        <w:t>说明</w:t>
      </w:r>
    </w:p>
    <w:p>
      <w:pPr>
        <w:spacing w:line="600" w:lineRule="exact"/>
        <w:jc w:val="center"/>
        <w:outlineLvl w:val="0"/>
        <w:rPr>
          <w:rFonts w:ascii="Times New Roman" w:hAnsi="Times New Roman" w:eastAsia="方正小标宋简体"/>
          <w:color w:val="auto"/>
          <w:sz w:val="72"/>
          <w:szCs w:val="72"/>
          <w:highlight w:val="none"/>
        </w:rPr>
      </w:pPr>
    </w:p>
    <w:p>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.......................................12</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.........................................................................16</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............1</w:t>
      </w:r>
      <w:r>
        <w:rPr>
          <w:rFonts w:hint="eastAsia" w:eastAsia="黑体" w:cs="黑体"/>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黑体" w:cs="黑体"/>
          <w:color w:val="auto"/>
          <w:sz w:val="32"/>
          <w:szCs w:val="32"/>
          <w:highlight w:val="none"/>
          <w:lang w:val="en-US" w:eastAsia="zh-CN"/>
        </w:rPr>
        <w:t>..................................</w:t>
      </w:r>
      <w:r>
        <w:rPr>
          <w:rFonts w:hint="eastAsia" w:eastAsia="黑体" w:cs="黑体"/>
          <w:color w:val="auto"/>
          <w:sz w:val="32"/>
          <w:szCs w:val="32"/>
          <w:highlight w:val="none"/>
          <w:lang w:val="en-US" w:eastAsia="zh-CN"/>
        </w:rPr>
        <w:t>........................</w:t>
      </w:r>
      <w:r>
        <w:rPr>
          <w:rFonts w:hint="eastAsia" w:ascii="Times New Roman" w:hAnsi="Times New Roman" w:eastAsia="黑体" w:cs="黑体"/>
          <w:color w:val="auto"/>
          <w:sz w:val="32"/>
          <w:szCs w:val="32"/>
          <w:highlight w:val="none"/>
          <w:lang w:val="en-US" w:eastAsia="zh-CN"/>
        </w:rPr>
        <w:t>.....1</w:t>
      </w:r>
      <w:r>
        <w:rPr>
          <w:rFonts w:hint="eastAsia" w:eastAsia="黑体" w:cs="黑体"/>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hint="eastAsia" w:ascii="Times New Roman" w:hAnsi="Times New Roman" w:eastAsia="仿宋_GB2312" w:cs="仿宋_GB2312"/>
          <w:b/>
          <w:bCs/>
          <w:color w:val="auto"/>
          <w:sz w:val="32"/>
          <w:szCs w:val="32"/>
          <w:highlight w:val="none"/>
          <w:lang w:eastAsia="zh-CN"/>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77196"/>
      <w:bookmarkStart w:id="7" w:name="_Toc15396599"/>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pPr>
        <w:widowControl/>
        <w:jc w:val="left"/>
        <w:rPr>
          <w:rFonts w:ascii="Times New Roman" w:hAnsi="Times New Roman" w:eastAsia="黑体"/>
          <w:color w:val="auto"/>
          <w:sz w:val="32"/>
          <w:szCs w:val="32"/>
          <w:highlight w:val="none"/>
        </w:rPr>
      </w:pPr>
    </w:p>
    <w:p>
      <w:pPr>
        <w:pStyle w:val="4"/>
        <w:pageBreakBefore w:val="0"/>
        <w:widowControl w:val="0"/>
        <w:kinsoku/>
        <w:wordWrap/>
        <w:overflowPunct/>
        <w:topLinePunct w:val="0"/>
        <w:autoSpaceDE/>
        <w:autoSpaceDN/>
        <w:bidi w:val="0"/>
        <w:spacing w:before="0" w:after="0" w:line="580" w:lineRule="exact"/>
        <w:textAlignment w:val="auto"/>
        <w:rPr>
          <w:rFonts w:hint="eastAsia" w:ascii="Times New Roman" w:hAnsi="Times New Roman" w:eastAsia="黑体"/>
          <w:b w:val="0"/>
          <w:color w:val="auto"/>
          <w:highlight w:val="none"/>
          <w:lang w:eastAsia="zh-CN"/>
        </w:rPr>
      </w:pPr>
      <w:bookmarkStart w:id="8" w:name="_Toc15377197"/>
      <w:bookmarkStart w:id="9" w:name="_Toc15396600"/>
      <w:r>
        <w:rPr>
          <w:rFonts w:hint="eastAsia" w:ascii="Times New Roman" w:hAnsi="Times New Roman" w:eastAsia="黑体"/>
          <w:b w:val="0"/>
          <w:color w:val="auto"/>
          <w:highlight w:val="none"/>
        </w:rPr>
        <w:t>一、</w:t>
      </w:r>
      <w:bookmarkEnd w:id="8"/>
      <w:bookmarkEnd w:id="9"/>
      <w:r>
        <w:rPr>
          <w:rFonts w:hint="eastAsia" w:ascii="Times New Roman" w:hAnsi="Times New Roman" w:eastAsia="黑体"/>
          <w:b w:val="0"/>
          <w:color w:val="auto"/>
          <w:highlight w:val="none"/>
          <w:lang w:eastAsia="zh-CN"/>
        </w:rPr>
        <w:t>主要职责</w:t>
      </w:r>
    </w:p>
    <w:p>
      <w:pPr>
        <w:pageBreakBefore w:val="0"/>
        <w:widowControl w:val="0"/>
        <w:kinsoku/>
        <w:wordWrap/>
        <w:overflowPunct/>
        <w:topLinePunct w:val="0"/>
        <w:autoSpaceDE/>
        <w:autoSpaceDN/>
        <w:bidi w:val="0"/>
        <w:spacing w:line="580" w:lineRule="exact"/>
        <w:ind w:firstLine="640" w:firstLineChars="200"/>
        <w:textAlignment w:val="auto"/>
        <w:rPr>
          <w:rFonts w:hint="eastAsia"/>
          <w:lang w:eastAsia="zh-CN"/>
        </w:rPr>
      </w:pPr>
      <w:r>
        <w:rPr>
          <w:rFonts w:hint="eastAsia" w:ascii="仿宋_GB2312" w:eastAsia="仿宋_GB2312"/>
          <w:sz w:val="32"/>
          <w:szCs w:val="32"/>
        </w:rPr>
        <w:t>研究实验基地和大型科学仪器设备共享平台的建设与管理，市级重点实验室的管理，自然科技资源共享平台的建设和管理，科学数据共享平台的建设与管理，科技文献共享平台的建设与管理，成果转化公共服务平台的建设与管理，网络科技环境平台的建设与管理，全市技术创新人才库的建设与管理，承担农村产业科技服务工作。</w:t>
      </w:r>
    </w:p>
    <w:p>
      <w:pPr>
        <w:pStyle w:val="4"/>
        <w:pageBreakBefore w:val="0"/>
        <w:widowControl w:val="0"/>
        <w:kinsoku/>
        <w:wordWrap/>
        <w:overflowPunct/>
        <w:topLinePunct w:val="0"/>
        <w:autoSpaceDE/>
        <w:autoSpaceDN/>
        <w:bidi w:val="0"/>
        <w:spacing w:before="0" w:after="0" w:line="580" w:lineRule="exact"/>
        <w:textAlignment w:val="auto"/>
        <w:rPr>
          <w:rStyle w:val="29"/>
          <w:rFonts w:ascii="Times New Roman" w:hAnsi="Times New Roman"/>
          <w:b w:val="0"/>
          <w:bCs w:val="0"/>
          <w:color w:val="auto"/>
          <w:highlight w:val="none"/>
        </w:rPr>
      </w:pPr>
      <w:bookmarkStart w:id="10" w:name="_Toc15396601"/>
      <w:bookmarkStart w:id="11"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0"/>
      <w:bookmarkEnd w:id="11"/>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攀枝花市科技基础条件平台属财政拨款公益二类事业单位</w:t>
      </w:r>
      <w:r>
        <w:rPr>
          <w:rFonts w:hint="eastAsia" w:ascii="仿宋_GB2312" w:eastAsia="仿宋_GB2312"/>
          <w:sz w:val="32"/>
          <w:szCs w:val="32"/>
          <w:lang w:val="en-US" w:eastAsia="zh-CN"/>
        </w:rPr>
        <w:t>，内设机构2个（综合部、业务部），事业编制12人。2024年底，实有在职人员11人，退休人员6人。</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2" w:name="_Toc15377204"/>
      <w:bookmarkStart w:id="13"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2"/>
      <w:bookmarkEnd w:id="13"/>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4" w:name="_Toc15377205"/>
      <w:bookmarkStart w:id="15"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4"/>
      <w:bookmarkEnd w:id="15"/>
    </w:p>
    <w:p>
      <w:pPr>
        <w:spacing w:line="600" w:lineRule="exact"/>
        <w:ind w:firstLine="640" w:firstLineChars="200"/>
        <w:rPr>
          <w:rFonts w:hint="eastAsia" w:ascii="仿宋" w:hAnsi="仿宋" w:eastAsia="仿宋"/>
          <w:sz w:val="32"/>
          <w:szCs w:val="32"/>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210.29</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3.08</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1.49</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eastAsia="zh-CN"/>
        </w:rPr>
        <w:t>职工工资和保险基数调整。</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黑体"/>
          <w:color w:val="auto"/>
          <w:sz w:val="32"/>
          <w:szCs w:val="32"/>
          <w:highlight w:val="none"/>
          <w:lang w:eastAsia="zh-CN"/>
        </w:rPr>
      </w:pPr>
      <w:r>
        <w:drawing>
          <wp:anchor distT="0" distB="0" distL="114300" distR="114300" simplePos="0" relativeHeight="251658240" behindDoc="0" locked="0" layoutInCell="1" allowOverlap="1">
            <wp:simplePos x="0" y="0"/>
            <wp:positionH relativeFrom="column">
              <wp:posOffset>213995</wp:posOffset>
            </wp:positionH>
            <wp:positionV relativeFrom="paragraph">
              <wp:posOffset>187325</wp:posOffset>
            </wp:positionV>
            <wp:extent cx="4785360" cy="2590800"/>
            <wp:effectExtent l="4445" t="4445" r="10795" b="14605"/>
            <wp:wrapSquare wrapText="bothSides"/>
            <wp:docPr id="11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16" w:name="_Toc15377206"/>
      <w:bookmarkStart w:id="17" w:name="_Toc15396604"/>
      <w:r>
        <w:rPr>
          <w:rFonts w:hint="eastAsia"/>
          <w:lang w:val="en-US" w:eastAsia="zh-CN"/>
        </w:rPr>
        <w:t xml:space="preserve">  </w:t>
      </w:r>
      <w:r>
        <w:rPr>
          <w:rFonts w:hint="eastAsia" w:ascii="Times New Roman" w:hAnsi="Times New Roman" w:eastAsia="黑体"/>
          <w:color w:val="auto"/>
          <w:sz w:val="32"/>
          <w:szCs w:val="32"/>
          <w:highlight w:val="none"/>
          <w:lang w:eastAsia="zh-CN"/>
        </w:rPr>
        <w:t>二、收入决算情况说明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210.29万元，其中：一般公共预算财政拨款收入210.29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242570</wp:posOffset>
            </wp:positionH>
            <wp:positionV relativeFrom="paragraph">
              <wp:posOffset>236220</wp:posOffset>
            </wp:positionV>
            <wp:extent cx="4572000" cy="2743200"/>
            <wp:effectExtent l="4445" t="4445" r="14605" b="14605"/>
            <wp:wrapSquare wrapText="bothSides"/>
            <wp:docPr id="1743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8" w:name="_Toc15396605"/>
      <w:bookmarkStart w:id="19" w:name="_Toc1537720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210.29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199.22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94.73</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11.07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5.26</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525" w:firstLineChars="25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480695</wp:posOffset>
            </wp:positionH>
            <wp:positionV relativeFrom="paragraph">
              <wp:posOffset>530860</wp:posOffset>
            </wp:positionV>
            <wp:extent cx="4191000" cy="2743835"/>
            <wp:effectExtent l="4445" t="4445" r="14605" b="13970"/>
            <wp:wrapSquare wrapText="bothSides"/>
            <wp:docPr id="1233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Fonts w:hint="eastAsia" w:ascii="Times New Roman" w:hAnsi="Times New Roman" w:eastAsia="黑体"/>
          <w:color w:val="auto"/>
          <w:sz w:val="32"/>
          <w:szCs w:val="32"/>
          <w:highlight w:val="none"/>
        </w:rPr>
      </w:pPr>
      <w:bookmarkStart w:id="20" w:name="_Toc15396606"/>
      <w:bookmarkStart w:id="21" w:name="_Toc15377208"/>
    </w:p>
    <w:p>
      <w:pPr>
        <w:spacing w:line="600" w:lineRule="exact"/>
        <w:ind w:firstLine="640" w:firstLineChars="200"/>
        <w:outlineLvl w:val="1"/>
        <w:rPr>
          <w:rFonts w:hint="eastAsia" w:ascii="Times New Roman" w:hAnsi="Times New Roman" w:eastAsia="黑体"/>
          <w:color w:val="auto"/>
          <w:sz w:val="32"/>
          <w:szCs w:val="32"/>
          <w:highlight w:val="none"/>
        </w:rPr>
      </w:pPr>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0"/>
      <w:bookmarkEnd w:id="21"/>
    </w:p>
    <w:p>
      <w:pPr>
        <w:spacing w:line="600" w:lineRule="exact"/>
        <w:ind w:firstLine="640" w:firstLineChars="200"/>
        <w:rPr>
          <w:rFonts w:hint="eastAsia" w:ascii="仿宋" w:hAnsi="仿宋" w:eastAsia="仿宋"/>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210.29</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3.08</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1.49</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eastAsia="zh-CN"/>
        </w:rPr>
        <w:t>职工工资和保险基数调整。</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Style w:val="29"/>
          <w:rFonts w:ascii="Times New Roman" w:hAnsi="Times New Roman" w:eastAsia="黑体"/>
          <w:b w:val="0"/>
          <w:color w:val="auto"/>
          <w:highlight w:val="none"/>
        </w:rPr>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172085</wp:posOffset>
            </wp:positionV>
            <wp:extent cx="5271770" cy="2762885"/>
            <wp:effectExtent l="4445" t="4445" r="19685" b="13970"/>
            <wp:wrapSquare wrapText="bothSides"/>
            <wp:docPr id="113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2" w:name="_Toc15396607"/>
      <w:bookmarkStart w:id="23"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2"/>
      <w:bookmarkEnd w:id="2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4"/>
    </w:p>
    <w:p>
      <w:pPr>
        <w:spacing w:line="600" w:lineRule="exact"/>
        <w:ind w:firstLine="640" w:firstLineChars="200"/>
        <w:rPr>
          <w:rFonts w:hint="eastAsia" w:ascii="仿宋" w:hAnsi="仿宋" w:eastAsia="仿宋"/>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210.29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3.08</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1.49</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eastAsia="zh-CN"/>
        </w:rPr>
        <w:t>职工工资和保险基数调整。</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180340</wp:posOffset>
            </wp:positionV>
            <wp:extent cx="4572635" cy="2771775"/>
            <wp:effectExtent l="4445" t="4445" r="13970" b="5080"/>
            <wp:wrapSquare wrapText="bothSides"/>
            <wp:docPr id="72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5" w:name="_Toc1537721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25"/>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2024年度一般公共预算财政拨款支出210.29万</w:t>
      </w:r>
      <w:r>
        <w:rPr>
          <w:rFonts w:hint="eastAsia" w:ascii="仿宋_GB2312" w:hAnsi="仿宋_GB2312" w:eastAsia="仿宋_GB2312" w:cs="仿宋_GB2312"/>
          <w:color w:val="auto"/>
          <w:kern w:val="2"/>
          <w:sz w:val="32"/>
          <w:szCs w:val="32"/>
          <w:highlight w:val="none"/>
          <w:lang w:val="en-US" w:eastAsia="zh-CN" w:bidi="ar-SA"/>
        </w:rPr>
        <w:t>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科学技术支出141.58万元，占</w:t>
      </w:r>
      <w:r>
        <w:rPr>
          <w:rFonts w:hint="eastAsia" w:eastAsia="仿宋_GB2312" w:cs="仿宋_GB2312"/>
          <w:color w:val="auto"/>
          <w:kern w:val="2"/>
          <w:sz w:val="32"/>
          <w:szCs w:val="32"/>
          <w:highlight w:val="none"/>
          <w:lang w:val="en-US" w:eastAsia="zh-CN" w:bidi="ar-SA"/>
        </w:rPr>
        <w:t>67.33</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42.94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20.42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b/>
          <w:bCs/>
          <w:sz w:val="32"/>
          <w:szCs w:val="32"/>
        </w:rPr>
        <w:t>卫生健康支出</w:t>
      </w:r>
      <w:r>
        <w:rPr>
          <w:rFonts w:hint="eastAsia" w:ascii="Times New Roman" w:hAnsi="Times New Roman" w:eastAsia="仿宋_GB2312" w:cs="仿宋_GB2312"/>
          <w:color w:val="auto"/>
          <w:kern w:val="2"/>
          <w:sz w:val="32"/>
          <w:szCs w:val="32"/>
          <w:highlight w:val="none"/>
          <w:lang w:val="en-US" w:eastAsia="zh-CN" w:bidi="ar-SA"/>
        </w:rPr>
        <w:t>10.73万元，占5.45%</w:t>
      </w:r>
      <w:r>
        <w:rPr>
          <w:rFonts w:hint="eastAsia" w:ascii="仿宋" w:hAnsi="仿宋" w:eastAsia="仿宋"/>
          <w:sz w:val="32"/>
          <w:szCs w:val="32"/>
          <w:lang w:val="en-US" w:eastAsia="zh-CN"/>
        </w:rPr>
        <w:t>；</w:t>
      </w:r>
      <w:r>
        <w:rPr>
          <w:rFonts w:hint="eastAsia" w:ascii="仿宋" w:hAnsi="仿宋" w:eastAsia="仿宋"/>
          <w:b/>
          <w:bCs/>
          <w:sz w:val="32"/>
          <w:szCs w:val="32"/>
        </w:rPr>
        <w:t>住房保障支出</w:t>
      </w:r>
      <w:r>
        <w:rPr>
          <w:rFonts w:hint="eastAsia" w:ascii="Times New Roman" w:hAnsi="Times New Roman" w:eastAsia="仿宋_GB2312" w:cs="仿宋_GB2312"/>
          <w:color w:val="auto"/>
          <w:kern w:val="2"/>
          <w:sz w:val="32"/>
          <w:szCs w:val="32"/>
          <w:highlight w:val="none"/>
          <w:lang w:val="en-US" w:eastAsia="zh-CN" w:bidi="ar-SA"/>
        </w:rPr>
        <w:t>14.3万元，占6.8%</w:t>
      </w:r>
      <w:r>
        <w:rPr>
          <w:rFonts w:hint="eastAsia" w:ascii="仿宋" w:hAnsi="仿宋" w:eastAsia="仿宋"/>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737870</wp:posOffset>
            </wp:positionH>
            <wp:positionV relativeFrom="paragraph">
              <wp:posOffset>159385</wp:posOffset>
            </wp:positionV>
            <wp:extent cx="3943350" cy="2534285"/>
            <wp:effectExtent l="4445" t="4445" r="14605" b="13970"/>
            <wp:wrapSquare wrapText="bothSides"/>
            <wp:docPr id="1436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26"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27" w:name="_Toc15377444"/>
      <w:bookmarkStart w:id="28" w:name="_Toc15377213"/>
      <w:bookmarkStart w:id="29"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210.29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sz w:val="32"/>
          <w:szCs w:val="32"/>
          <w:lang w:eastAsia="zh-CN"/>
        </w:rPr>
      </w:pPr>
      <w:r>
        <w:rPr>
          <w:rStyle w:val="17"/>
          <w:rFonts w:ascii="仿宋" w:hAnsi="仿宋" w:eastAsia="仿宋"/>
          <w:bCs/>
          <w:sz w:val="32"/>
          <w:szCs w:val="32"/>
        </w:rPr>
        <w:t>1.</w:t>
      </w:r>
      <w:r>
        <w:rPr>
          <w:rStyle w:val="17"/>
          <w:rFonts w:hint="eastAsia" w:ascii="仿宋" w:hAnsi="仿宋" w:eastAsia="仿宋"/>
          <w:bCs/>
          <w:sz w:val="32"/>
          <w:szCs w:val="32"/>
        </w:rPr>
        <w:t>科学技术（类）技术研究与开发（款） 科技成果转化与扩散（项）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8.55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cstheme="minorBidi"/>
          <w:bCs/>
          <w:sz w:val="32"/>
          <w:szCs w:val="32"/>
          <w:lang w:eastAsia="zh-CN"/>
        </w:rPr>
        <w:t>科技条件与服务（款）机构运行（项）</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130.51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cstheme="minorBidi"/>
          <w:bCs/>
          <w:sz w:val="32"/>
          <w:szCs w:val="32"/>
          <w:lang w:eastAsia="zh-CN"/>
        </w:rPr>
        <w:t>其他科学技术支出（款）其他科学技术支出（项）：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2.52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b/>
          <w:sz w:val="32"/>
          <w:szCs w:val="32"/>
          <w:lang w:eastAsia="zh-CN"/>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24.01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18.93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sz w:val="32"/>
          <w:szCs w:val="32"/>
        </w:rPr>
      </w:pPr>
      <w:r>
        <w:rPr>
          <w:rStyle w:val="17"/>
          <w:rFonts w:hint="eastAsia" w:ascii="仿宋" w:hAnsi="仿宋" w:eastAsia="仿宋"/>
          <w:bCs/>
          <w:sz w:val="32"/>
          <w:szCs w:val="32"/>
          <w:lang w:val="en-US" w:eastAsia="zh-CN"/>
        </w:rPr>
        <w:t>3.</w:t>
      </w:r>
      <w:r>
        <w:rPr>
          <w:rStyle w:val="17"/>
          <w:rFonts w:hint="eastAsia" w:ascii="仿宋" w:hAnsi="仿宋" w:eastAsia="仿宋"/>
          <w:bCs/>
          <w:sz w:val="32"/>
          <w:szCs w:val="32"/>
        </w:rPr>
        <w:t>卫生健康支出（类）行政事业单位医疗（款） 事业单位医疗（项）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9.08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卫生健康支出（类）行政事业单位医疗（款） 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 xml:space="preserve">% </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住房保障（类）住房改革支出（款） 住房公积金（项）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w:t>
      </w:r>
      <w:r>
        <w:rPr>
          <w:rStyle w:val="17"/>
          <w:rFonts w:hint="eastAsia" w:ascii="仿宋" w:hAnsi="仿宋" w:eastAsia="仿宋"/>
          <w:b w:val="0"/>
          <w:bCs/>
          <w:sz w:val="32"/>
          <w:szCs w:val="32"/>
          <w:lang w:val="en-US" w:eastAsia="zh-CN"/>
        </w:rPr>
        <w:t>4.3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80" w:lineRule="exact"/>
        <w:ind w:firstLine="640"/>
        <w:textAlignment w:val="auto"/>
        <w:outlineLvl w:val="1"/>
        <w:rPr>
          <w:rStyle w:val="29"/>
          <w:rFonts w:ascii="Times New Roman" w:hAnsi="Times New Roman"/>
          <w:color w:val="auto"/>
          <w:highlight w:val="none"/>
        </w:rPr>
      </w:pPr>
      <w:bookmarkStart w:id="30" w:name="_Toc15377214"/>
      <w:bookmarkStart w:id="31"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0"/>
      <w:bookmarkEnd w:id="31"/>
      <w:r>
        <w:rPr>
          <w:rStyle w:val="29"/>
          <w:rFonts w:ascii="Times New Roman" w:hAnsi="Times New Roman"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199.22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189.33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基本工资、津贴补贴、绩效工资、机关事业单位基本养老保险缴费、职工基本医疗保险缴费</w:t>
      </w:r>
      <w:r>
        <w:rPr>
          <w:rFonts w:hint="eastAsia" w:ascii="仿宋" w:hAnsi="仿宋" w:eastAsia="仿宋"/>
          <w:sz w:val="32"/>
          <w:szCs w:val="32"/>
          <w:lang w:eastAsia="zh-CN"/>
        </w:rPr>
        <w:t>、</w:t>
      </w:r>
      <w:r>
        <w:rPr>
          <w:rFonts w:hint="eastAsia" w:ascii="仿宋" w:hAnsi="仿宋" w:eastAsia="仿宋"/>
          <w:sz w:val="32"/>
          <w:szCs w:val="32"/>
        </w:rPr>
        <w:t>公务员医疗补助缴费</w:t>
      </w:r>
      <w:r>
        <w:rPr>
          <w:rFonts w:hint="eastAsia" w:ascii="仿宋" w:hAnsi="仿宋" w:eastAsia="仿宋"/>
          <w:sz w:val="32"/>
          <w:szCs w:val="32"/>
          <w:lang w:eastAsia="zh-CN"/>
        </w:rPr>
        <w:t>、</w:t>
      </w:r>
      <w:r>
        <w:rPr>
          <w:rFonts w:hint="eastAsia" w:ascii="仿宋" w:hAnsi="仿宋" w:eastAsia="仿宋"/>
          <w:sz w:val="32"/>
          <w:szCs w:val="32"/>
        </w:rPr>
        <w:t>其他社会保障缴费、生活补助、医疗费补助、住房公积金、奖励金</w:t>
      </w:r>
      <w:r>
        <w:rPr>
          <w:rFonts w:hint="eastAsia" w:ascii="仿宋" w:hAnsi="仿宋" w:eastAsia="仿宋"/>
          <w:sz w:val="32"/>
          <w:szCs w:val="32"/>
          <w:lang w:eastAsia="zh-CN"/>
        </w:rPr>
        <w:t>、</w:t>
      </w:r>
      <w:r>
        <w:rPr>
          <w:rFonts w:hint="eastAsia" w:ascii="仿宋" w:hAnsi="仿宋" w:eastAsia="仿宋"/>
          <w:sz w:val="32"/>
          <w:szCs w:val="32"/>
        </w:rPr>
        <w:t>其他对个人和家庭的补助支出</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9.89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hAnsi="仿宋" w:eastAsia="仿宋"/>
          <w:sz w:val="32"/>
          <w:szCs w:val="32"/>
        </w:rPr>
        <w:t>办公费、电费、邮电费、物业管理费</w:t>
      </w:r>
      <w:r>
        <w:rPr>
          <w:rFonts w:hint="eastAsia" w:ascii="仿宋" w:hAnsi="仿宋" w:eastAsia="仿宋"/>
          <w:sz w:val="32"/>
          <w:szCs w:val="32"/>
          <w:lang w:eastAsia="zh-CN"/>
        </w:rPr>
        <w:t>、</w:t>
      </w:r>
      <w:r>
        <w:rPr>
          <w:rFonts w:hint="eastAsia" w:ascii="仿宋" w:hAnsi="仿宋" w:eastAsia="仿宋"/>
          <w:sz w:val="32"/>
          <w:szCs w:val="32"/>
        </w:rPr>
        <w:t>差旅费、工会经费、福利费、公务用车运行维护费、其他商品和服务支出</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1"/>
        <w:rPr>
          <w:rStyle w:val="29"/>
          <w:rFonts w:ascii="Times New Roman" w:hAnsi="Times New Roman" w:eastAsia="黑体"/>
          <w:b w:val="0"/>
          <w:color w:val="auto"/>
          <w:highlight w:val="none"/>
        </w:rPr>
      </w:pPr>
      <w:bookmarkStart w:id="32" w:name="_Toc15377215"/>
      <w:bookmarkStart w:id="33"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34"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1.12</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lang w:val="en-US" w:eastAsia="zh-CN"/>
        </w:rPr>
        <w:t>100</w:t>
      </w:r>
      <w:bookmarkStart w:id="63" w:name="_GoBack"/>
      <w:bookmarkEnd w:id="63"/>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18.84</w:t>
      </w:r>
      <w:r>
        <w:rPr>
          <w:rFonts w:hint="eastAsia" w:ascii="Times New Roman" w:hAnsi="Times New Roman" w:eastAsia="仿宋_GB2312" w:cs="仿宋_GB2312"/>
          <w:color w:val="auto"/>
          <w:kern w:val="2"/>
          <w:sz w:val="32"/>
          <w:szCs w:val="32"/>
          <w:highlight w:val="none"/>
          <w:lang w:val="en-US" w:eastAsia="zh-CN" w:bidi="ar-SA"/>
        </w:rPr>
        <w:t>%。决算数小于预算数是</w:t>
      </w:r>
      <w:r>
        <w:rPr>
          <w:rFonts w:hint="eastAsia" w:ascii="仿宋" w:hAnsi="仿宋" w:eastAsia="仿宋"/>
          <w:sz w:val="32"/>
          <w:szCs w:val="32"/>
        </w:rPr>
        <w:t>主要原因是</w:t>
      </w:r>
      <w:r>
        <w:rPr>
          <w:rFonts w:hint="eastAsia" w:ascii="仿宋" w:hAnsi="仿宋" w:eastAsia="仿宋"/>
          <w:sz w:val="32"/>
          <w:szCs w:val="32"/>
          <w:lang w:eastAsia="zh-CN"/>
        </w:rPr>
        <w:t>本年无接待任务，未产生公务接待费。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35"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5"/>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1.12</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518795</wp:posOffset>
            </wp:positionH>
            <wp:positionV relativeFrom="paragraph">
              <wp:posOffset>104775</wp:posOffset>
            </wp:positionV>
            <wp:extent cx="3943350" cy="2534285"/>
            <wp:effectExtent l="4445" t="4445" r="14605" b="13970"/>
            <wp:wrapSquare wrapText="bothSides"/>
            <wp:docPr id="1539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rPr>
        <w:t>未产生因公出国</w:t>
      </w:r>
      <w:r>
        <w:rPr>
          <w:rFonts w:hint="eastAsia" w:ascii="仿宋_GB2312" w:eastAsia="仿宋_GB2312"/>
          <w:sz w:val="32"/>
          <w:szCs w:val="32"/>
          <w:lang w:eastAsia="zh-CN"/>
        </w:rPr>
        <w:t>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1.12万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3.45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lang w:eastAsia="zh-CN"/>
        </w:rPr>
        <w:t>加强公车管理，减少费用支出。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1.12</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sz w:val="32"/>
          <w:szCs w:val="32"/>
        </w:rPr>
        <w:t>主要用于</w:t>
      </w:r>
      <w:r>
        <w:rPr>
          <w:rFonts w:hint="eastAsia" w:ascii="仿宋_GB2312" w:eastAsia="仿宋_GB2312"/>
          <w:sz w:val="32"/>
          <w:szCs w:val="32"/>
          <w:lang w:eastAsia="zh-CN"/>
        </w:rPr>
        <w:t>四川科技扶贫在线平台项目建设、回访，农村产业培训等</w:t>
      </w:r>
      <w:r>
        <w:rPr>
          <w:rFonts w:hint="eastAsia" w:ascii="仿宋_GB2312" w:eastAsia="仿宋_GB2312"/>
          <w:sz w:val="32"/>
          <w:szCs w:val="32"/>
        </w:rPr>
        <w:t>的公务用车燃料费、维修费</w:t>
      </w:r>
      <w:r>
        <w:rPr>
          <w:rFonts w:hint="eastAsia" w:ascii="仿宋_GB2312" w:eastAsia="仿宋_GB2312"/>
          <w:sz w:val="32"/>
          <w:szCs w:val="32"/>
          <w:lang w:eastAsia="zh-CN"/>
        </w:rPr>
        <w:t>，及车辆年检、</w:t>
      </w:r>
      <w:r>
        <w:rPr>
          <w:rFonts w:hint="eastAsia" w:ascii="仿宋_GB2312" w:eastAsia="仿宋_GB2312"/>
          <w:sz w:val="32"/>
          <w:szCs w:val="32"/>
        </w:rPr>
        <w:t>保险费等支出</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本年无接待任务</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outlineLvl w:val="1"/>
        <w:rPr>
          <w:rStyle w:val="29"/>
          <w:rFonts w:ascii="Times New Roman" w:hAnsi="Times New Roman" w:eastAsia="黑体"/>
          <w:color w:val="auto"/>
          <w:highlight w:val="none"/>
        </w:rPr>
      </w:pPr>
      <w:bookmarkStart w:id="36" w:name="_Toc15396610"/>
      <w:bookmarkStart w:id="37" w:name="_Toc15377218"/>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6"/>
      <w:bookmarkEnd w:id="37"/>
    </w:p>
    <w:p>
      <w:pPr>
        <w:numPr>
          <w:ilvl w:val="0"/>
          <w:numId w:val="0"/>
        </w:numPr>
        <w:spacing w:line="600" w:lineRule="exact"/>
        <w:ind w:left="10" w:leftChars="0" w:firstLine="617" w:firstLineChars="193"/>
        <w:outlineLvl w:val="1"/>
        <w:rPr>
          <w:rFonts w:hint="eastAsia"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与2023年度</w:t>
      </w:r>
      <w:bookmarkStart w:id="38" w:name="_Toc15377219"/>
      <w:bookmarkStart w:id="39" w:name="_Toc15396611"/>
      <w:r>
        <w:rPr>
          <w:rFonts w:hint="eastAsia" w:eastAsia="仿宋_GB2312" w:cs="仿宋_GB2312"/>
          <w:color w:val="auto"/>
          <w:kern w:val="2"/>
          <w:sz w:val="32"/>
          <w:szCs w:val="32"/>
          <w:highlight w:val="none"/>
          <w:lang w:val="en-US" w:eastAsia="zh-CN" w:bidi="ar-SA"/>
        </w:rPr>
        <w:t>持平。</w:t>
      </w:r>
    </w:p>
    <w:p>
      <w:pPr>
        <w:numPr>
          <w:ilvl w:val="0"/>
          <w:numId w:val="0"/>
        </w:numPr>
        <w:spacing w:line="600" w:lineRule="exact"/>
        <w:ind w:left="630" w:leftChars="0"/>
        <w:outlineLvl w:val="1"/>
        <w:rPr>
          <w:rStyle w:val="29"/>
          <w:rFonts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8"/>
      <w:bookmarkEnd w:id="39"/>
    </w:p>
    <w:p>
      <w:pPr>
        <w:numPr>
          <w:ilvl w:val="0"/>
          <w:numId w:val="0"/>
        </w:numPr>
        <w:spacing w:line="600" w:lineRule="exact"/>
        <w:ind w:left="10" w:leftChars="0" w:firstLine="617" w:firstLineChars="193"/>
        <w:outlineLvl w:val="1"/>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与2023年度</w:t>
      </w:r>
      <w:bookmarkStart w:id="40" w:name="_Toc15396612"/>
      <w:bookmarkStart w:id="41" w:name="_Toc15377221"/>
      <w:r>
        <w:rPr>
          <w:rFonts w:hint="eastAsia" w:eastAsia="仿宋_GB2312" w:cs="仿宋_GB2312"/>
          <w:color w:val="auto"/>
          <w:kern w:val="2"/>
          <w:sz w:val="32"/>
          <w:szCs w:val="32"/>
          <w:highlight w:val="none"/>
          <w:lang w:val="en-US" w:eastAsia="zh-CN" w:bidi="ar-SA"/>
        </w:rPr>
        <w:t>持平。</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0"/>
      <w:bookmarkEnd w:id="4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2"/>
      <w:r>
        <w:rPr>
          <w:rFonts w:hint="eastAsia" w:ascii="Times New Roman" w:hAnsi="Times New Roman" w:eastAsia="楷体_GB2312" w:cs="楷体_GB2312"/>
          <w:b/>
          <w:color w:val="auto"/>
          <w:sz w:val="32"/>
          <w:szCs w:val="32"/>
          <w:highlight w:val="none"/>
        </w:rPr>
        <w:t>（一）机关运行经费支出情况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四川省攀枝花市科技基础条件平台服务中心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元，与2023年度决算数持平</w:t>
      </w:r>
      <w:r>
        <w:rPr>
          <w:rFonts w:hint="eastAsia"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3" w:name="_Toc15377223"/>
      <w:r>
        <w:rPr>
          <w:rFonts w:hint="eastAsia" w:ascii="Times New Roman" w:hAnsi="Times New Roman" w:eastAsia="楷体_GB2312" w:cs="楷体_GB2312"/>
          <w:b/>
          <w:color w:val="auto"/>
          <w:sz w:val="32"/>
          <w:szCs w:val="32"/>
          <w:highlight w:val="none"/>
        </w:rPr>
        <w:t>（二）政府采购支出情况</w:t>
      </w:r>
      <w:bookmarkEnd w:id="4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四川省攀枝花市科技基础条件平台服务中心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0.35</w:t>
      </w:r>
      <w:r>
        <w:rPr>
          <w:rFonts w:hint="eastAsia" w:ascii="仿宋_GB2312" w:hAnsi="仿宋_GB2312" w:eastAsia="仿宋_GB2312" w:cs="仿宋_GB2312"/>
          <w:color w:val="auto"/>
          <w:kern w:val="2"/>
          <w:sz w:val="32"/>
          <w:szCs w:val="32"/>
          <w:highlight w:val="none"/>
          <w:lang w:val="en-US" w:eastAsia="zh-CN" w:bidi="ar-SA"/>
        </w:rPr>
        <w:t>万元。主要用于公车维修、加油、保险。授予中小企业合同金额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24"/>
      <w:r>
        <w:rPr>
          <w:rFonts w:hint="eastAsia" w:ascii="Times New Roman" w:hAnsi="Times New Roman" w:eastAsia="楷体_GB2312" w:cs="楷体_GB2312"/>
          <w:b/>
          <w:color w:val="auto"/>
          <w:sz w:val="32"/>
          <w:szCs w:val="32"/>
          <w:highlight w:val="none"/>
        </w:rPr>
        <w:t>（三）国有资产占有使用情况</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四川省攀枝花市科技基础条件平台服务中心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 w:hAnsi="仿宋" w:eastAsia="仿宋"/>
          <w:sz w:val="32"/>
          <w:szCs w:val="32"/>
          <w:lang w:val="en-US" w:eastAsia="zh-CN"/>
        </w:rPr>
        <w:t>企业调研，科技下乡等方面</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default" w:ascii="仿宋_GB2312" w:eastAsia="仿宋_GB2312"/>
          <w:sz w:val="32"/>
          <w:szCs w:val="32"/>
          <w:lang w:val="en"/>
        </w:rPr>
        <w:t>攀枝花“四川科技扶贫在线”平台建设与运行维护</w:t>
      </w:r>
      <w:r>
        <w:rPr>
          <w:rFonts w:hint="eastAsia" w:ascii="仿宋_GB2312" w:eastAsia="仿宋_GB2312"/>
          <w:sz w:val="32"/>
          <w:szCs w:val="32"/>
        </w:rPr>
        <w:t>项目</w:t>
      </w:r>
      <w:r>
        <w:rPr>
          <w:rFonts w:hint="eastAsia" w:ascii="Times New Roman" w:hAnsi="Times New Roman" w:eastAsia="仿宋_GB2312" w:cs="仿宋_GB2312"/>
          <w:color w:val="auto"/>
          <w:kern w:val="2"/>
          <w:sz w:val="32"/>
          <w:szCs w:val="32"/>
          <w:highlight w:val="none"/>
          <w:lang w:val="en-US" w:eastAsia="zh-CN" w:bidi="ar-SA"/>
        </w:rPr>
        <w:t>项目开展了预算事前绩效评估，对</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br w:type="page"/>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5" w:name="_Toc15377225"/>
      <w:bookmarkStart w:id="46"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5"/>
      <w:bookmarkEnd w:id="46"/>
    </w:p>
    <w:p>
      <w:pPr>
        <w:spacing w:line="600" w:lineRule="exact"/>
        <w:jc w:val="left"/>
        <w:rPr>
          <w:rFonts w:ascii="Times New Roman" w:hAnsi="Times New Roman"/>
          <w:b/>
          <w:color w:val="auto"/>
          <w:sz w:val="44"/>
          <w:szCs w:val="44"/>
          <w:highlight w:val="none"/>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.科学技术支出（类）技术研究与开发（款）科技成果转化与扩散（项）：</w:t>
      </w:r>
      <w:r>
        <w:rPr>
          <w:rFonts w:hint="eastAsia" w:eastAsia="仿宋_GB2312"/>
          <w:color w:val="000000"/>
          <w:kern w:val="0"/>
          <w:sz w:val="32"/>
          <w:szCs w:val="32"/>
          <w:lang w:eastAsia="zh-CN"/>
        </w:rPr>
        <w:t>指开展四川科技扶贫在线平台建设，下乡调研、农村实用技术培训等项目支出</w:t>
      </w:r>
      <w:r>
        <w:rPr>
          <w:rFonts w:hint="eastAsia" w:eastAsia="仿宋_GB2312"/>
          <w:color w:val="000000"/>
          <w:kern w:val="0"/>
          <w:sz w:val="32"/>
          <w:szCs w:val="32"/>
        </w:rPr>
        <w:t>。</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4</w:t>
      </w:r>
      <w:r>
        <w:rPr>
          <w:rFonts w:hint="eastAsia" w:eastAsia="仿宋_GB2312"/>
          <w:color w:val="000000"/>
          <w:kern w:val="0"/>
          <w:sz w:val="32"/>
          <w:szCs w:val="32"/>
        </w:rPr>
        <w:t>.科学技术支出（类）科技条件与服务（款） 机构运行（项）：指</w:t>
      </w:r>
      <w:r>
        <w:rPr>
          <w:rFonts w:hint="eastAsia" w:eastAsia="仿宋_GB2312"/>
          <w:color w:val="000000"/>
          <w:kern w:val="0"/>
          <w:sz w:val="32"/>
          <w:szCs w:val="32"/>
          <w:lang w:val="en-US" w:eastAsia="zh-CN"/>
        </w:rPr>
        <w:t>用于职工工资及保障单位正常运行</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w:t>
      </w:r>
      <w:r>
        <w:rPr>
          <w:rFonts w:hint="eastAsia" w:eastAsia="仿宋_GB2312"/>
          <w:color w:val="000000"/>
          <w:kern w:val="0"/>
          <w:sz w:val="32"/>
          <w:szCs w:val="32"/>
        </w:rPr>
        <w:t>科学技术支</w:t>
      </w:r>
      <w:r>
        <w:rPr>
          <w:rFonts w:hint="eastAsia" w:ascii="Times New Roman" w:hAnsi="Times New Roman" w:eastAsia="仿宋_GB2312" w:cs="Times New Roman"/>
          <w:color w:val="000000"/>
          <w:kern w:val="0"/>
          <w:sz w:val="32"/>
          <w:szCs w:val="32"/>
          <w:lang w:val="en-US" w:eastAsia="zh-CN" w:bidi="ar-SA"/>
        </w:rPr>
        <w:t>出（类）其他科学技术支出（款）其他科学技术支出（项）：指</w:t>
      </w:r>
      <w:r>
        <w:rPr>
          <w:rFonts w:hint="eastAsia" w:eastAsia="仿宋_GB2312"/>
          <w:color w:val="000000"/>
          <w:kern w:val="0"/>
          <w:sz w:val="32"/>
          <w:szCs w:val="32"/>
          <w:lang w:val="en-US" w:eastAsia="zh-CN"/>
        </w:rPr>
        <w:t>用于</w:t>
      </w:r>
      <w:r>
        <w:rPr>
          <w:rFonts w:hint="eastAsia"/>
          <w:color w:val="000000"/>
          <w:kern w:val="0"/>
          <w:sz w:val="32"/>
          <w:szCs w:val="32"/>
          <w:lang w:val="en-US" w:eastAsia="zh-CN"/>
        </w:rPr>
        <w:t>开展</w:t>
      </w:r>
      <w:r>
        <w:rPr>
          <w:rFonts w:hint="default" w:ascii="Times New Roman" w:hAnsi="Times New Roman" w:eastAsia="仿宋_GB2312" w:cs="Times New Roman"/>
          <w:color w:val="auto"/>
          <w:kern w:val="0"/>
          <w:sz w:val="32"/>
          <w:szCs w:val="32"/>
          <w:vertAlign w:val="baseline"/>
          <w:lang w:val="en-US" w:eastAsia="zh-CN" w:bidi="ar"/>
        </w:rPr>
        <w:t>攀枝花市共同富裕试验区科普能力提升</w:t>
      </w:r>
      <w:r>
        <w:rPr>
          <w:rFonts w:hint="eastAsia"/>
          <w:color w:val="000000"/>
          <w:kern w:val="0"/>
          <w:sz w:val="32"/>
          <w:szCs w:val="32"/>
          <w:lang w:val="en-US" w:eastAsia="zh-CN"/>
        </w:rPr>
        <w:t>的支出</w:t>
      </w:r>
      <w:r>
        <w:rPr>
          <w:rFonts w:hint="eastAsia"/>
          <w:color w:val="000000"/>
          <w:kern w:val="0"/>
          <w:sz w:val="32"/>
          <w:szCs w:val="32"/>
          <w:lang w:eastAsia="zh-CN"/>
        </w:rPr>
        <w:t>；</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6</w:t>
      </w:r>
      <w:r>
        <w:rPr>
          <w:rFonts w:hint="eastAsia" w:eastAsia="仿宋_GB2312"/>
          <w:color w:val="000000"/>
          <w:kern w:val="0"/>
          <w:sz w:val="32"/>
          <w:szCs w:val="32"/>
        </w:rPr>
        <w:t>.社会保障和就业（类）行政事业单位养老支出（款） 事业单位离退休（项）: 指</w:t>
      </w:r>
      <w:r>
        <w:rPr>
          <w:rFonts w:hint="eastAsia" w:eastAsia="仿宋_GB2312"/>
          <w:color w:val="000000"/>
          <w:kern w:val="0"/>
          <w:sz w:val="32"/>
          <w:szCs w:val="32"/>
          <w:lang w:val="en-US" w:eastAsia="zh-CN"/>
        </w:rPr>
        <w:t>财政统一供养的事业单位退休人员的生活补助、医疗费支出。</w:t>
      </w:r>
    </w:p>
    <w:p>
      <w:pPr>
        <w:spacing w:line="600" w:lineRule="exact"/>
        <w:ind w:firstLine="640" w:firstLineChars="200"/>
      </w:pPr>
      <w:r>
        <w:rPr>
          <w:rFonts w:hint="eastAsia" w:eastAsia="仿宋_GB2312"/>
          <w:color w:val="000000"/>
          <w:kern w:val="0"/>
          <w:sz w:val="32"/>
          <w:szCs w:val="32"/>
          <w:lang w:val="en-US" w:eastAsia="zh-CN"/>
        </w:rPr>
        <w:t>7.</w:t>
      </w:r>
      <w:r>
        <w:rPr>
          <w:rFonts w:hint="eastAsia" w:eastAsia="仿宋_GB2312"/>
          <w:color w:val="000000"/>
          <w:kern w:val="0"/>
          <w:sz w:val="32"/>
          <w:szCs w:val="32"/>
        </w:rPr>
        <w:t>社会保障和就业（类）行政事业单位养老支出（款）机关事业单位基本养老保险缴费支出（项）：</w:t>
      </w:r>
      <w:r>
        <w:rPr>
          <w:rFonts w:ascii="仿宋_gb2312" w:hAnsi="仿宋_gb2312" w:eastAsia="仿宋_gb2312" w:cs="仿宋_gb2312"/>
          <w:kern w:val="0"/>
          <w:sz w:val="33"/>
          <w:szCs w:val="33"/>
          <w:lang w:val="en-US" w:eastAsia="zh-CN" w:bidi="ar"/>
        </w:rPr>
        <w:t>指机关事业单位实施养老保险制度由单位缴纳的基本养老保险费支出。</w:t>
      </w:r>
    </w:p>
    <w:p>
      <w:pPr>
        <w:spacing w:line="600" w:lineRule="exact"/>
        <w:ind w:firstLine="640" w:firstLineChars="200"/>
        <w:rPr>
          <w:rFonts w:ascii="仿宋_gb2312" w:hAnsi="仿宋_gb2312" w:eastAsia="仿宋_gb2312" w:cs="仿宋_gb2312"/>
          <w:kern w:val="0"/>
          <w:sz w:val="33"/>
          <w:szCs w:val="33"/>
          <w:lang w:val="en-US" w:eastAsia="zh-CN" w:bidi="ar"/>
        </w:rPr>
      </w:pPr>
      <w:r>
        <w:rPr>
          <w:rFonts w:hint="eastAsia" w:ascii="Times New Roman" w:hAnsi="Times New Roman" w:eastAsia="仿宋_GB2312" w:cs="Times New Roman"/>
          <w:color w:val="000000"/>
          <w:kern w:val="0"/>
          <w:sz w:val="32"/>
          <w:szCs w:val="32"/>
          <w:lang w:val="en-US" w:eastAsia="zh-CN" w:bidi="ar-SA"/>
        </w:rPr>
        <w:t xml:space="preserve">8.卫生健康支出（类）行政事业单位医疗（款）事业单位医疗（项）: </w:t>
      </w:r>
      <w:r>
        <w:rPr>
          <w:rFonts w:ascii="仿宋_gb2312" w:hAnsi="仿宋_gb2312" w:eastAsia="仿宋_gb2312" w:cs="仿宋_gb2312"/>
          <w:kern w:val="0"/>
          <w:sz w:val="33"/>
          <w:szCs w:val="33"/>
          <w:lang w:val="en-US" w:eastAsia="zh-CN" w:bidi="ar"/>
        </w:rPr>
        <w:t>指机关事业单位由单位缴纳的基本</w:t>
      </w:r>
      <w:r>
        <w:rPr>
          <w:rFonts w:hint="eastAsia" w:ascii="仿宋_gb2312" w:hAnsi="仿宋_gb2312" w:eastAsia="仿宋_gb2312" w:cs="仿宋_gb2312"/>
          <w:kern w:val="0"/>
          <w:sz w:val="33"/>
          <w:szCs w:val="33"/>
          <w:lang w:val="en-US" w:eastAsia="zh-CN" w:bidi="ar"/>
        </w:rPr>
        <w:t>医疗</w:t>
      </w:r>
      <w:r>
        <w:rPr>
          <w:rFonts w:ascii="仿宋_gb2312" w:hAnsi="仿宋_gb2312" w:eastAsia="仿宋_gb2312" w:cs="仿宋_gb2312"/>
          <w:kern w:val="0"/>
          <w:sz w:val="33"/>
          <w:szCs w:val="33"/>
          <w:lang w:val="en-US" w:eastAsia="zh-CN" w:bidi="ar"/>
        </w:rPr>
        <w:t>保险费支出。</w:t>
      </w:r>
    </w:p>
    <w:p>
      <w:pPr>
        <w:spacing w:line="600" w:lineRule="exact"/>
        <w:ind w:firstLine="640" w:firstLineChars="200"/>
        <w:rPr>
          <w:rFonts w:ascii="仿宋_gb2312" w:hAnsi="仿宋_gb2312" w:eastAsia="仿宋_gb2312" w:cs="仿宋_gb2312"/>
          <w:kern w:val="0"/>
          <w:sz w:val="33"/>
          <w:szCs w:val="33"/>
          <w:lang w:val="en-US" w:eastAsia="zh-CN" w:bidi="ar"/>
        </w:rPr>
      </w:pPr>
      <w:r>
        <w:rPr>
          <w:rFonts w:hint="eastAsia" w:ascii="Times New Roman" w:hAnsi="Times New Roman" w:eastAsia="仿宋_GB2312" w:cs="Times New Roman"/>
          <w:color w:val="000000"/>
          <w:kern w:val="0"/>
          <w:sz w:val="32"/>
          <w:szCs w:val="32"/>
          <w:lang w:val="en-US" w:eastAsia="zh-CN" w:bidi="ar-SA"/>
        </w:rPr>
        <w:t xml:space="preserve">9.卫生健康支出（类）行政事业单位医疗（款）公务员医疗补助（项）: </w:t>
      </w:r>
      <w:r>
        <w:rPr>
          <w:rFonts w:ascii="仿宋_gb2312" w:hAnsi="仿宋_gb2312" w:eastAsia="仿宋_gb2312" w:cs="仿宋_gb2312"/>
          <w:kern w:val="0"/>
          <w:sz w:val="33"/>
          <w:szCs w:val="33"/>
          <w:lang w:val="en-US" w:eastAsia="zh-CN" w:bidi="ar"/>
        </w:rPr>
        <w:t>指机关事业单位由单位缴纳的</w:t>
      </w:r>
      <w:r>
        <w:rPr>
          <w:rFonts w:hint="eastAsia" w:ascii="仿宋_gb2312" w:hAnsi="仿宋_gb2312" w:eastAsia="仿宋_gb2312" w:cs="仿宋_gb2312"/>
          <w:kern w:val="0"/>
          <w:sz w:val="33"/>
          <w:szCs w:val="33"/>
          <w:lang w:val="en-US" w:eastAsia="zh-CN" w:bidi="ar"/>
        </w:rPr>
        <w:t>公务员医疗补助</w:t>
      </w:r>
      <w:r>
        <w:rPr>
          <w:rFonts w:ascii="仿宋_gb2312" w:hAnsi="仿宋_gb2312" w:eastAsia="仿宋_gb2312" w:cs="仿宋_gb2312"/>
          <w:kern w:val="0"/>
          <w:sz w:val="33"/>
          <w:szCs w:val="33"/>
          <w:lang w:val="en-US" w:eastAsia="zh-CN" w:bidi="ar"/>
        </w:rPr>
        <w:t>支出。</w:t>
      </w:r>
    </w:p>
    <w:p>
      <w:pPr>
        <w:pStyle w:val="26"/>
        <w:spacing w:line="56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10.卫生健康支出（类）行政事业单位医疗（款）其他行政事业单位医疗支出（项）：指由单位缴纳的在职人员补充医疗支出。</w:t>
      </w:r>
    </w:p>
    <w:p>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eastAsia="仿宋_GB2312"/>
          <w:color w:val="000000"/>
          <w:kern w:val="0"/>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7" w:name="_Toc15377226"/>
      <w:r>
        <w:rPr>
          <w:rFonts w:hint="eastAsia" w:ascii="Times New Roman" w:hAnsi="Times New Roman" w:eastAsia="仿宋_GB2312" w:cs="仿宋_GB2312"/>
          <w:color w:val="auto"/>
          <w:kern w:val="2"/>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spacing w:line="600" w:lineRule="exact"/>
        <w:jc w:val="center"/>
        <w:outlineLvl w:val="0"/>
        <w:rPr>
          <w:rStyle w:val="35"/>
          <w:rFonts w:ascii="黑体" w:hAnsi="黑体" w:eastAsia="黑体"/>
          <w:b w:val="0"/>
        </w:rPr>
      </w:pPr>
      <w:bookmarkStart w:id="48" w:name="_Toc15396614"/>
      <w:bookmarkStart w:id="49" w:name="_Toc15396618"/>
      <w:r>
        <w:rPr>
          <w:rFonts w:hint="eastAsia" w:ascii="黑体" w:hAnsi="黑体" w:eastAsia="黑体"/>
          <w:sz w:val="44"/>
          <w:szCs w:val="44"/>
        </w:rPr>
        <w:t>第</w:t>
      </w:r>
      <w:r>
        <w:rPr>
          <w:rStyle w:val="35"/>
          <w:rFonts w:hint="eastAsia" w:ascii="黑体" w:hAnsi="黑体" w:eastAsia="黑体"/>
          <w:b w:val="0"/>
        </w:rPr>
        <w:t>四部分 附件</w:t>
      </w:r>
      <w:bookmarkEnd w:id="48"/>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ascii="黑体" w:hAnsi="黑体" w:eastAsia="宋体"/>
          <w:color w:val="FF0000"/>
          <w:sz w:val="44"/>
          <w:szCs w:val="44"/>
          <w:lang w:val="en-US" w:eastAsia="zh-CN"/>
        </w:rPr>
      </w:pPr>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r>
        <w:rPr>
          <w:rFonts w:hint="eastAsia"/>
          <w:sz w:val="32"/>
          <w:szCs w:val="32"/>
          <w:lang w:eastAsia="zh-CN"/>
        </w:rPr>
        <w:t>见附件</w:t>
      </w:r>
      <w:r>
        <w:rPr>
          <w:rFonts w:hint="eastAsia"/>
          <w:sz w:val="32"/>
          <w:szCs w:val="32"/>
          <w:lang w:val="en-US" w:eastAsia="zh-CN"/>
        </w:rPr>
        <w:t>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黑体"/>
          <w:color w:val="auto"/>
          <w:sz w:val="44"/>
          <w:szCs w:val="44"/>
          <w:highlight w:val="none"/>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7"/>
      <w:bookmarkEnd w:id="49"/>
      <w:bookmarkStart w:id="50"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0"/>
      <w:r>
        <w:rPr>
          <w:rFonts w:hint="eastAsia" w:ascii="Times New Roman" w:hAnsi="Times New Roman" w:eastAsia="仿宋_GB2312" w:cs="仿宋_GB2312"/>
          <w:color w:val="auto"/>
          <w:sz w:val="32"/>
          <w:szCs w:val="32"/>
          <w:highlight w:val="none"/>
        </w:rPr>
        <w:t>二、收入决算表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1"/>
      <w:r>
        <w:rPr>
          <w:rFonts w:hint="eastAsia" w:ascii="Times New Roman" w:hAnsi="Times New Roman" w:eastAsia="仿宋_GB2312" w:cs="仿宋_GB2312"/>
          <w:color w:val="auto"/>
          <w:sz w:val="32"/>
          <w:szCs w:val="32"/>
          <w:highlight w:val="none"/>
        </w:rPr>
        <w:t>三、支出决算表</w:t>
      </w:r>
      <w:bookmarkEnd w:id="5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2"/>
      <w:r>
        <w:rPr>
          <w:rFonts w:hint="eastAsia" w:ascii="Times New Roman" w:hAnsi="Times New Roman" w:eastAsia="仿宋_GB2312" w:cs="仿宋_GB2312"/>
          <w:color w:val="auto"/>
          <w:sz w:val="32"/>
          <w:szCs w:val="32"/>
          <w:highlight w:val="none"/>
        </w:rPr>
        <w:t>四、财政拨款收入支出决算总表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3"/>
      <w:r>
        <w:rPr>
          <w:rFonts w:hint="eastAsia" w:ascii="Times New Roman" w:hAnsi="Times New Roman" w:eastAsia="仿宋_GB2312" w:cs="仿宋_GB2312"/>
          <w:color w:val="auto"/>
          <w:sz w:val="32"/>
          <w:szCs w:val="32"/>
          <w:highlight w:val="none"/>
        </w:rPr>
        <w:t>五、财政拨款支出决算明细表</w:t>
      </w:r>
      <w:bookmarkEnd w:id="54"/>
      <w:bookmarkStart w:id="55"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5"/>
      <w:r>
        <w:rPr>
          <w:rFonts w:hint="eastAsia" w:ascii="Times New Roman" w:hAnsi="Times New Roman" w:eastAsia="仿宋_GB2312" w:cs="仿宋_GB2312"/>
          <w:color w:val="auto"/>
          <w:sz w:val="32"/>
          <w:szCs w:val="32"/>
          <w:highlight w:val="none"/>
        </w:rPr>
        <w:t>七、一般公共预算财政拨款支出决算明细表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6"/>
      <w:r>
        <w:rPr>
          <w:rFonts w:hint="eastAsia" w:ascii="Times New Roman" w:hAnsi="Times New Roman" w:eastAsia="仿宋_GB2312" w:cs="仿宋_GB2312"/>
          <w:color w:val="auto"/>
          <w:sz w:val="32"/>
          <w:szCs w:val="32"/>
          <w:highlight w:val="none"/>
        </w:rPr>
        <w:t>八、一般公共预算财政拨款基本支出决算表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7"/>
      <w:r>
        <w:rPr>
          <w:rFonts w:hint="eastAsia" w:ascii="Times New Roman" w:hAnsi="Times New Roman" w:eastAsia="仿宋_GB2312" w:cs="仿宋_GB2312"/>
          <w:color w:val="auto"/>
          <w:sz w:val="32"/>
          <w:szCs w:val="32"/>
          <w:highlight w:val="none"/>
        </w:rPr>
        <w:t>九、一般公共预算财政拨款项目支出决算表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8"/>
      <w:r>
        <w:rPr>
          <w:rFonts w:hint="eastAsia" w:ascii="Times New Roman" w:hAnsi="Times New Roman" w:eastAsia="仿宋_GB2312" w:cs="仿宋_GB2312"/>
          <w:color w:val="auto"/>
          <w:sz w:val="32"/>
          <w:szCs w:val="32"/>
          <w:highlight w:val="none"/>
        </w:rPr>
        <w:t>十、</w:t>
      </w:r>
      <w:bookmarkEnd w:id="59"/>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9"/>
      <w:r>
        <w:rPr>
          <w:rFonts w:hint="eastAsia" w:ascii="Times New Roman" w:hAnsi="Times New Roman" w:eastAsia="仿宋_GB2312" w:cs="仿宋_GB2312"/>
          <w:color w:val="auto"/>
          <w:sz w:val="32"/>
          <w:szCs w:val="32"/>
          <w:highlight w:val="none"/>
        </w:rPr>
        <w:t>十一、</w:t>
      </w:r>
      <w:bookmarkEnd w:id="6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30"/>
      <w:r>
        <w:rPr>
          <w:rFonts w:hint="eastAsia" w:ascii="Times New Roman" w:hAnsi="Times New Roman" w:eastAsia="仿宋_GB2312" w:cs="仿宋_GB2312"/>
          <w:color w:val="auto"/>
          <w:sz w:val="32"/>
          <w:szCs w:val="32"/>
          <w:highlight w:val="none"/>
        </w:rPr>
        <w:t>十二、</w:t>
      </w:r>
      <w:bookmarkEnd w:id="61"/>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2" w:name="_Toc15396631"/>
      <w:r>
        <w:rPr>
          <w:rFonts w:hint="eastAsia" w:ascii="Times New Roman" w:hAnsi="Times New Roman" w:eastAsia="仿宋_GB2312" w:cs="仿宋_GB2312"/>
          <w:color w:val="auto"/>
          <w:sz w:val="32"/>
          <w:szCs w:val="32"/>
          <w:highlight w:val="none"/>
        </w:rPr>
        <w:t>十三、</w:t>
      </w:r>
      <w:bookmarkEnd w:id="62"/>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4D79621"/>
    <w:rsid w:val="36AA5135"/>
    <w:rsid w:val="36BE0DA7"/>
    <w:rsid w:val="376B6AA6"/>
    <w:rsid w:val="376D39B2"/>
    <w:rsid w:val="37782454"/>
    <w:rsid w:val="37E16F03"/>
    <w:rsid w:val="37EE1C2C"/>
    <w:rsid w:val="37F53A3B"/>
    <w:rsid w:val="389B6C89"/>
    <w:rsid w:val="38D469F0"/>
    <w:rsid w:val="39627CCD"/>
    <w:rsid w:val="397BAF1F"/>
    <w:rsid w:val="3AB79AF3"/>
    <w:rsid w:val="3AE834C0"/>
    <w:rsid w:val="3B7EF35A"/>
    <w:rsid w:val="3B9FDB6C"/>
    <w:rsid w:val="3BF5BC2F"/>
    <w:rsid w:val="3CEBA265"/>
    <w:rsid w:val="3D25FA01"/>
    <w:rsid w:val="3D98207C"/>
    <w:rsid w:val="3DEE7CF3"/>
    <w:rsid w:val="3E740A63"/>
    <w:rsid w:val="3E78745D"/>
    <w:rsid w:val="3EE17838"/>
    <w:rsid w:val="3EF74B30"/>
    <w:rsid w:val="3F55381A"/>
    <w:rsid w:val="3F5FA5A6"/>
    <w:rsid w:val="3F7F7599"/>
    <w:rsid w:val="3FF4CAE0"/>
    <w:rsid w:val="3FF7B227"/>
    <w:rsid w:val="44E268DA"/>
    <w:rsid w:val="450D13D7"/>
    <w:rsid w:val="45506656"/>
    <w:rsid w:val="486A6C7A"/>
    <w:rsid w:val="4A627F82"/>
    <w:rsid w:val="4B0E749A"/>
    <w:rsid w:val="4B2477C4"/>
    <w:rsid w:val="4B4F25DA"/>
    <w:rsid w:val="4BE068DB"/>
    <w:rsid w:val="4D577224"/>
    <w:rsid w:val="4D9FA7B7"/>
    <w:rsid w:val="4DBF1CEB"/>
    <w:rsid w:val="4DF0007C"/>
    <w:rsid w:val="4EAB630A"/>
    <w:rsid w:val="4ECE2238"/>
    <w:rsid w:val="4EF5F7B7"/>
    <w:rsid w:val="4F388955"/>
    <w:rsid w:val="4F833267"/>
    <w:rsid w:val="4FE9BD67"/>
    <w:rsid w:val="4FFB052F"/>
    <w:rsid w:val="516FB07D"/>
    <w:rsid w:val="537E6D0A"/>
    <w:rsid w:val="53F74C96"/>
    <w:rsid w:val="55170BA8"/>
    <w:rsid w:val="553218C9"/>
    <w:rsid w:val="567E1AA5"/>
    <w:rsid w:val="56E47B74"/>
    <w:rsid w:val="57175D52"/>
    <w:rsid w:val="57BD3DD4"/>
    <w:rsid w:val="5AF92295"/>
    <w:rsid w:val="5B250254"/>
    <w:rsid w:val="5B3FFFA7"/>
    <w:rsid w:val="5BDD79E6"/>
    <w:rsid w:val="5BF561CA"/>
    <w:rsid w:val="5BFF5DFC"/>
    <w:rsid w:val="5BFF91A6"/>
    <w:rsid w:val="5CD71FC4"/>
    <w:rsid w:val="5D1F11B5"/>
    <w:rsid w:val="5D695134"/>
    <w:rsid w:val="5DAE1B18"/>
    <w:rsid w:val="5DE7D9E5"/>
    <w:rsid w:val="5E3F564F"/>
    <w:rsid w:val="5EBF99B4"/>
    <w:rsid w:val="5ECEC941"/>
    <w:rsid w:val="5FBB8E70"/>
    <w:rsid w:val="5FBF9FF3"/>
    <w:rsid w:val="5FCD4E2C"/>
    <w:rsid w:val="5FE3ACA1"/>
    <w:rsid w:val="5FED8F54"/>
    <w:rsid w:val="5FEF394A"/>
    <w:rsid w:val="5FF67715"/>
    <w:rsid w:val="62BF3928"/>
    <w:rsid w:val="63B3701E"/>
    <w:rsid w:val="647F5392"/>
    <w:rsid w:val="64F996A3"/>
    <w:rsid w:val="65E66580"/>
    <w:rsid w:val="664B1D71"/>
    <w:rsid w:val="664B4E8E"/>
    <w:rsid w:val="67277B67"/>
    <w:rsid w:val="67AA3209"/>
    <w:rsid w:val="698D0931"/>
    <w:rsid w:val="6A7FE5F3"/>
    <w:rsid w:val="6B053271"/>
    <w:rsid w:val="6B3E7106"/>
    <w:rsid w:val="6BDD78B3"/>
    <w:rsid w:val="6C4A05C8"/>
    <w:rsid w:val="6C8742B8"/>
    <w:rsid w:val="6CCE9AC2"/>
    <w:rsid w:val="6CDF5887"/>
    <w:rsid w:val="6DBF5E93"/>
    <w:rsid w:val="6DFF077E"/>
    <w:rsid w:val="6DFFE801"/>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BA4C2B"/>
    <w:rsid w:val="73FA497D"/>
    <w:rsid w:val="744731E5"/>
    <w:rsid w:val="74BBD01D"/>
    <w:rsid w:val="74ED5379"/>
    <w:rsid w:val="75DEEEC2"/>
    <w:rsid w:val="75E32345"/>
    <w:rsid w:val="76E3355F"/>
    <w:rsid w:val="76FF5125"/>
    <w:rsid w:val="776F6FFA"/>
    <w:rsid w:val="778769C8"/>
    <w:rsid w:val="77A75DCA"/>
    <w:rsid w:val="77DC22F5"/>
    <w:rsid w:val="77FC3CD4"/>
    <w:rsid w:val="783E271A"/>
    <w:rsid w:val="78616DE9"/>
    <w:rsid w:val="78E875D7"/>
    <w:rsid w:val="79086DAD"/>
    <w:rsid w:val="79D7FD79"/>
    <w:rsid w:val="79EE5BA4"/>
    <w:rsid w:val="79FEF68B"/>
    <w:rsid w:val="7A894339"/>
    <w:rsid w:val="7AD284E8"/>
    <w:rsid w:val="7AFF7572"/>
    <w:rsid w:val="7B6C7DFB"/>
    <w:rsid w:val="7BBFBED0"/>
    <w:rsid w:val="7BC3E394"/>
    <w:rsid w:val="7BE3F914"/>
    <w:rsid w:val="7BF7077D"/>
    <w:rsid w:val="7BFB04DC"/>
    <w:rsid w:val="7BFE3199"/>
    <w:rsid w:val="7C1F3737"/>
    <w:rsid w:val="7CBFC87B"/>
    <w:rsid w:val="7CFE0F48"/>
    <w:rsid w:val="7D272ABC"/>
    <w:rsid w:val="7D7EC23E"/>
    <w:rsid w:val="7DB56D75"/>
    <w:rsid w:val="7E8ADEBF"/>
    <w:rsid w:val="7EBB0F35"/>
    <w:rsid w:val="7EEF11D3"/>
    <w:rsid w:val="7EFE4840"/>
    <w:rsid w:val="7F0971A6"/>
    <w:rsid w:val="7F1D62E7"/>
    <w:rsid w:val="7F3F679B"/>
    <w:rsid w:val="7F4D9B5E"/>
    <w:rsid w:val="7F4FC4EF"/>
    <w:rsid w:val="7F5D5BEF"/>
    <w:rsid w:val="7F5D76A7"/>
    <w:rsid w:val="7F5E4D54"/>
    <w:rsid w:val="7F6E0135"/>
    <w:rsid w:val="7F79F205"/>
    <w:rsid w:val="7FA30C79"/>
    <w:rsid w:val="7FA79C44"/>
    <w:rsid w:val="7FAF8ABF"/>
    <w:rsid w:val="7FB7269E"/>
    <w:rsid w:val="7FC96657"/>
    <w:rsid w:val="7FD720C9"/>
    <w:rsid w:val="7FDA9588"/>
    <w:rsid w:val="7FDB24E4"/>
    <w:rsid w:val="7FDF220F"/>
    <w:rsid w:val="7FEDC5F7"/>
    <w:rsid w:val="7FEDD9DE"/>
    <w:rsid w:val="7FF5890D"/>
    <w:rsid w:val="7FF7EFE8"/>
    <w:rsid w:val="7FF88EBB"/>
    <w:rsid w:val="7FF93490"/>
    <w:rsid w:val="99FF2014"/>
    <w:rsid w:val="9B73CD8C"/>
    <w:rsid w:val="9FBBD2E0"/>
    <w:rsid w:val="A6DD0D7F"/>
    <w:rsid w:val="AA3D565E"/>
    <w:rsid w:val="ACFF4FBB"/>
    <w:rsid w:val="ADC6F725"/>
    <w:rsid w:val="B5DF1AB3"/>
    <w:rsid w:val="B5FE8BA1"/>
    <w:rsid w:val="B5FF1BBE"/>
    <w:rsid w:val="B732BF03"/>
    <w:rsid w:val="B7CF06AB"/>
    <w:rsid w:val="B7CFA926"/>
    <w:rsid w:val="B7F8786B"/>
    <w:rsid w:val="B9E97418"/>
    <w:rsid w:val="BABB6AA1"/>
    <w:rsid w:val="BB2F4199"/>
    <w:rsid w:val="BBF3A0C8"/>
    <w:rsid w:val="BCFFB442"/>
    <w:rsid w:val="BD079C78"/>
    <w:rsid w:val="BD733540"/>
    <w:rsid w:val="BEF7BBD9"/>
    <w:rsid w:val="BF3735D5"/>
    <w:rsid w:val="BF7F09AC"/>
    <w:rsid w:val="BFD475C3"/>
    <w:rsid w:val="BFDE5EA6"/>
    <w:rsid w:val="C79D436C"/>
    <w:rsid w:val="CD7E1564"/>
    <w:rsid w:val="CF6FC6F3"/>
    <w:rsid w:val="CFD3D3D7"/>
    <w:rsid w:val="CFDF1009"/>
    <w:rsid w:val="D2EBD17A"/>
    <w:rsid w:val="D7D7B16A"/>
    <w:rsid w:val="D8D6DB89"/>
    <w:rsid w:val="DB6F4CAB"/>
    <w:rsid w:val="DB777682"/>
    <w:rsid w:val="DD1FB521"/>
    <w:rsid w:val="DEFBFEAE"/>
    <w:rsid w:val="DF1F3B80"/>
    <w:rsid w:val="DF6F9789"/>
    <w:rsid w:val="DF7FA7E9"/>
    <w:rsid w:val="DFE9BE81"/>
    <w:rsid w:val="DFFD0C54"/>
    <w:rsid w:val="DFFE62B0"/>
    <w:rsid w:val="DFFFA9E8"/>
    <w:rsid w:val="E27EB303"/>
    <w:rsid w:val="E5F4E9DC"/>
    <w:rsid w:val="E70FE695"/>
    <w:rsid w:val="E7B3CA79"/>
    <w:rsid w:val="E7E970C6"/>
    <w:rsid w:val="E8F56E1C"/>
    <w:rsid w:val="EB2E368B"/>
    <w:rsid w:val="ECEFEC18"/>
    <w:rsid w:val="ECFED1BC"/>
    <w:rsid w:val="ED1D69BB"/>
    <w:rsid w:val="ED7FD312"/>
    <w:rsid w:val="EF2E1AC6"/>
    <w:rsid w:val="EF3BBB05"/>
    <w:rsid w:val="EF53993F"/>
    <w:rsid w:val="EF6ADCF1"/>
    <w:rsid w:val="EF6FD633"/>
    <w:rsid w:val="EF76212A"/>
    <w:rsid w:val="EFBE3860"/>
    <w:rsid w:val="EFBFB2F4"/>
    <w:rsid w:val="EFBFFA21"/>
    <w:rsid w:val="EFCBD783"/>
    <w:rsid w:val="EFDE60EB"/>
    <w:rsid w:val="EFEF0E0F"/>
    <w:rsid w:val="F2BEBCB8"/>
    <w:rsid w:val="F36FB518"/>
    <w:rsid w:val="F3DE1A04"/>
    <w:rsid w:val="F3F722E5"/>
    <w:rsid w:val="F4FBCD07"/>
    <w:rsid w:val="F57D0E8E"/>
    <w:rsid w:val="F6BE198F"/>
    <w:rsid w:val="F76E0695"/>
    <w:rsid w:val="F7FEE748"/>
    <w:rsid w:val="FA5F1E70"/>
    <w:rsid w:val="FA5FDB97"/>
    <w:rsid w:val="FAB7D11A"/>
    <w:rsid w:val="FB7F486A"/>
    <w:rsid w:val="FBFF5B2E"/>
    <w:rsid w:val="FC5B683F"/>
    <w:rsid w:val="FD7F73C9"/>
    <w:rsid w:val="FD7FFE2B"/>
    <w:rsid w:val="FDEE196B"/>
    <w:rsid w:val="FDFE6575"/>
    <w:rsid w:val="FDFF57F1"/>
    <w:rsid w:val="FDFF822D"/>
    <w:rsid w:val="FE5E3CA0"/>
    <w:rsid w:val="FE9FB486"/>
    <w:rsid w:val="FECBDA22"/>
    <w:rsid w:val="FEDFDDC2"/>
    <w:rsid w:val="FEED32F6"/>
    <w:rsid w:val="FEF781DD"/>
    <w:rsid w:val="FEFB0B0B"/>
    <w:rsid w:val="FEFD579E"/>
    <w:rsid w:val="FF3F7E3F"/>
    <w:rsid w:val="FFBA12D7"/>
    <w:rsid w:val="FFC339FD"/>
    <w:rsid w:val="FFCBD314"/>
    <w:rsid w:val="FFCFCA82"/>
    <w:rsid w:val="FFDE1EAA"/>
    <w:rsid w:val="FFDFF91C"/>
    <w:rsid w:val="FFDFFAEE"/>
    <w:rsid w:val="FFEF6777"/>
    <w:rsid w:val="FFF4F57D"/>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1 字符"/>
    <w:basedOn w:val="16"/>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24&#20915;&#31639;&#20844;&#24320;/2024&#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收入、支出决算总计变动情况图</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[2024柱状图.xls]图1!$B$1</c:f>
              <c:strCache>
                <c:ptCount val="1"/>
                <c:pt idx="0">
                  <c:v>2023年</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[2024柱状图.xls]图1!$A$2:$A$3</c:f>
              <c:strCache>
                <c:ptCount val="2"/>
                <c:pt idx="0">
                  <c:v>收入总计</c:v>
                </c:pt>
                <c:pt idx="1">
                  <c:v>支出总计</c:v>
                </c:pt>
              </c:strCache>
            </c:strRef>
          </c:cat>
          <c:val>
            <c:numRef>
              <c:f>[2024柱状图.xls]图1!$B$2:$B$3</c:f>
              <c:numCache>
                <c:formatCode>General</c:formatCode>
                <c:ptCount val="2"/>
                <c:pt idx="0">
                  <c:v>207.21</c:v>
                </c:pt>
                <c:pt idx="1">
                  <c:v>207.21</c:v>
                </c:pt>
              </c:numCache>
            </c:numRef>
          </c:val>
        </c:ser>
        <c:ser>
          <c:idx val="1"/>
          <c:order val="1"/>
          <c:tx>
            <c:strRef>
              <c:f>[2024柱状图.xls]图1!$C$1</c:f>
              <c:strCache>
                <c:ptCount val="1"/>
                <c:pt idx="0">
                  <c:v>2024年</c:v>
                </c:pt>
              </c:strCache>
            </c:strRef>
          </c:tx>
          <c:spPr>
            <a:gradFill>
              <a:gsLst>
                <a:gs pos="0">
                  <a:srgbClr val="9EE256"/>
                </a:gs>
                <a:gs pos="100000">
                  <a:srgbClr val="52762D"/>
                </a:gs>
              </a:gsLst>
              <a:lin ang="5400000" scaled="false"/>
            </a:gra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[2024柱状图.xls]图1!$A$2:$A$3</c:f>
              <c:strCache>
                <c:ptCount val="2"/>
                <c:pt idx="0">
                  <c:v>收入总计</c:v>
                </c:pt>
                <c:pt idx="1">
                  <c:v>支出总计</c:v>
                </c:pt>
              </c:strCache>
            </c:strRef>
          </c:cat>
          <c:val>
            <c:numRef>
              <c:f>[2024柱状图.xls]图1!$C$2:$C$3</c:f>
              <c:numCache>
                <c:formatCode>General</c:formatCode>
                <c:ptCount val="2"/>
                <c:pt idx="0">
                  <c:v>210.29</c:v>
                </c:pt>
                <c:pt idx="1">
                  <c:v>210.29</c:v>
                </c:pt>
              </c:numCache>
            </c:numRef>
          </c:val>
        </c:ser>
        <c:dLbls>
          <c:showLegendKey val="false"/>
          <c:showVal val="false"/>
          <c:showCatName val="false"/>
          <c:showSerName val="false"/>
          <c:showPercent val="false"/>
          <c:showBubbleSize val="false"/>
        </c:dLbls>
        <c:gapWidth val="150"/>
        <c:overlap val="0"/>
        <c:axId val="758006992"/>
        <c:axId val="550878920"/>
      </c:barChart>
      <c:catAx>
        <c:axId val="7580069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0878920"/>
        <c:crosses val="autoZero"/>
        <c:auto val="true"/>
        <c:lblAlgn val="ctr"/>
        <c:lblOffset val="100"/>
        <c:noMultiLvlLbl val="false"/>
      </c:catAx>
      <c:valAx>
        <c:axId val="550878920"/>
        <c:scaling>
          <c:orientation val="minMax"/>
          <c:max val="215"/>
          <c:min val="20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8006992"/>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收入决算结构图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[2024柱状图.xls]图2!$A$1</c:f>
              <c:strCache>
                <c:ptCount val="1"/>
                <c:pt idx="0">
                  <c:v>一般公共预算财政拨款收入</c:v>
                </c:pt>
              </c:strCache>
            </c:strRef>
          </c:cat>
          <c:val>
            <c:numRef>
              <c:f>[2024柱状图.xls]图2!$A$2</c:f>
              <c:numCache>
                <c:formatCode>0.00%</c:formatCode>
                <c:ptCount val="1"/>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支出决算结构图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[2024柱状图.xls]图3!$A$1:$B$1</c:f>
              <c:strCache>
                <c:ptCount val="2"/>
                <c:pt idx="0">
                  <c:v>基本支出</c:v>
                </c:pt>
                <c:pt idx="1">
                  <c:v>项目支出</c:v>
                </c:pt>
              </c:strCache>
            </c:strRef>
          </c:cat>
          <c:val>
            <c:numRef>
              <c:f>[2024柱状图.xls]图3!$A$2:$B$2</c:f>
              <c:numCache>
                <c:formatCode>0.00%</c:formatCode>
                <c:ptCount val="2"/>
                <c:pt idx="0">
                  <c:v>0.9473</c:v>
                </c:pt>
                <c:pt idx="1">
                  <c:v>0.0526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lang="en-US" altLang="zh-CN" sz="1400" b="0" i="0" u="none" strike="noStrike" baseline="0">
                <a:solidFill>
                  <a:srgbClr val="000000">
                    <a:alpha val="100000"/>
                  </a:srgbClr>
                </a:solidFill>
                <a:latin typeface="宋体" charset="-122"/>
                <a:ea typeface="宋体" charset="-122"/>
                <a:cs typeface="宋体" charset="-122"/>
              </a:rPr>
              <a:t>财政拨款收、支决算总计变动情况</a:t>
            </a:r>
            <a:endParaRPr lang="en-US" altLang="zh-CN" sz="1400" b="0" i="0" u="none" strike="noStrike" baseline="0">
              <a:solidFill>
                <a:srgbClr val="000000">
                  <a:alpha val="100000"/>
                </a:srgbClr>
              </a:solidFill>
              <a:latin typeface="宋体" charset="-122"/>
              <a:ea typeface="宋体" charset="-122"/>
              <a:cs typeface="宋体" charset="-122"/>
            </a:endParaRPr>
          </a:p>
        </c:rich>
      </c:tx>
      <c:layout>
        <c:manualLayout>
          <c:xMode val="edge"/>
          <c:yMode val="edge"/>
          <c:x val="0.268391764051196"/>
          <c:y val="0.0286624203821656"/>
        </c:manualLayout>
      </c:layout>
      <c:overlay val="false"/>
    </c:title>
    <c:autoTitleDeleted val="false"/>
    <c:plotArea>
      <c:layout>
        <c:manualLayout>
          <c:layoutTarget val="inner"/>
          <c:xMode val="edge"/>
          <c:yMode val="edge"/>
          <c:x val="0.0890987362866269"/>
          <c:y val="0.0508788159111933"/>
          <c:w val="0.88201638661297"/>
          <c:h val="0.732516188714154"/>
        </c:manualLayout>
      </c:layout>
      <c:barChart>
        <c:barDir val="col"/>
        <c:grouping val="clustered"/>
        <c:varyColors val="false"/>
        <c:ser>
          <c:idx val="0"/>
          <c:order val="0"/>
          <c:tx>
            <c:strRef>
              <c:f>[2024柱状图.xls]图4!$B$1</c:f>
              <c:strCache>
                <c:ptCount val="1"/>
                <c:pt idx="0">
                  <c:v>2023年</c:v>
                </c:pt>
              </c:strCache>
            </c:strRef>
          </c:tx>
          <c:spPr>
            <a:solidFill>
              <a:schemeClr val="accent2">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[2024柱状图.xls]图4!$A$2:$A$3</c:f>
              <c:strCache>
                <c:ptCount val="2"/>
                <c:pt idx="0">
                  <c:v>财政拨款收入</c:v>
                </c:pt>
                <c:pt idx="1">
                  <c:v>财政拨款支出</c:v>
                </c:pt>
              </c:strCache>
            </c:strRef>
          </c:cat>
          <c:val>
            <c:numRef>
              <c:f>[2024柱状图.xls]图4!$B$2:$B$3</c:f>
              <c:numCache>
                <c:formatCode>General</c:formatCode>
                <c:ptCount val="2"/>
                <c:pt idx="0">
                  <c:v>207.21</c:v>
                </c:pt>
                <c:pt idx="1">
                  <c:v>207.21</c:v>
                </c:pt>
              </c:numCache>
            </c:numRef>
          </c:val>
        </c:ser>
        <c:ser>
          <c:idx val="1"/>
          <c:order val="1"/>
          <c:tx>
            <c:strRef>
              <c:f>[2024柱状图.xls]图4!$C$1</c:f>
              <c:strCache>
                <c:ptCount val="1"/>
                <c:pt idx="0">
                  <c:v>2024年</c:v>
                </c:pt>
              </c:strCache>
            </c:strRef>
          </c:tx>
          <c:spPr>
            <a:solidFill>
              <a:schemeClr val="accent5">
                <a:lumMod val="60000"/>
                <a:lumOff val="40000"/>
              </a:schemeClr>
            </a:solidFill>
            <a:ln>
              <a:noFill/>
            </a:ln>
            <a:effectLst/>
          </c:spPr>
          <c:invertIfNegative val="false"/>
          <c:dPt>
            <c:idx val="0"/>
            <c:invertIfNegative val="false"/>
            <c:bubble3D val="false"/>
            <c:explosion val="0"/>
            <c:spPr>
              <a:solidFill>
                <a:schemeClr val="accent5">
                  <a:lumMod val="60000"/>
                  <a:lumOff val="40000"/>
                </a:schemeClr>
              </a:solidFill>
              <a:ln>
                <a:noFill/>
              </a:ln>
              <a:effectLst/>
            </c:spPr>
          </c:dPt>
          <c:dPt>
            <c:idx val="1"/>
            <c:invertIfNegative val="false"/>
            <c:bubble3D val="false"/>
            <c:explosion val="0"/>
            <c:spPr>
              <a:solidFill>
                <a:schemeClr val="accent5">
                  <a:lumMod val="60000"/>
                  <a:lumOff val="40000"/>
                </a:schemeClr>
              </a:solidFill>
              <a:ln>
                <a:no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[2024柱状图.xls]图4!$A$2:$A$3</c:f>
              <c:strCache>
                <c:ptCount val="2"/>
                <c:pt idx="0">
                  <c:v>财政拨款收入</c:v>
                </c:pt>
                <c:pt idx="1">
                  <c:v>财政拨款支出</c:v>
                </c:pt>
              </c:strCache>
            </c:strRef>
          </c:cat>
          <c:val>
            <c:numRef>
              <c:f>[2024柱状图.xls]图4!$C$2:$C$3</c:f>
              <c:numCache>
                <c:formatCode>General</c:formatCode>
                <c:ptCount val="2"/>
                <c:pt idx="0">
                  <c:v>210.29</c:v>
                </c:pt>
                <c:pt idx="1">
                  <c:v>210.29</c:v>
                </c:pt>
              </c:numCache>
            </c:numRef>
          </c:val>
        </c:ser>
        <c:dLbls>
          <c:showLegendKey val="false"/>
          <c:showVal val="false"/>
          <c:showCatName val="false"/>
          <c:showSerName val="false"/>
          <c:showPercent val="false"/>
          <c:showBubbleSize val="false"/>
        </c:dLbls>
        <c:gapWidth val="150"/>
        <c:overlap val="0"/>
        <c:axId val="594522634"/>
        <c:axId val="898062514"/>
      </c:barChart>
      <c:catAx>
        <c:axId val="594522634"/>
        <c:scaling>
          <c:orientation val="minMax"/>
        </c:scaling>
        <c:delete val="false"/>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8062514"/>
        <c:crosses val="autoZero"/>
        <c:auto val="true"/>
        <c:lblAlgn val="ctr"/>
        <c:lblOffset val="100"/>
        <c:noMultiLvlLbl val="false"/>
      </c:catAx>
      <c:valAx>
        <c:axId val="898062514"/>
        <c:scaling>
          <c:orientation val="minMax"/>
          <c:max val="40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out"/>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522634"/>
        <c:crosses val="autoZero"/>
        <c:crossBetween val="between"/>
      </c:valAx>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i="0" u="none" strike="noStrike" baseline="0">
                <a:solidFill>
                  <a:srgbClr val="000000">
                    <a:alpha val="100000"/>
                  </a:srgbClr>
                </a:solidFill>
                <a:latin typeface="宋体" charset="-122"/>
                <a:ea typeface="宋体" charset="-122"/>
                <a:cs typeface="宋体" charset="-122"/>
              </a:rPr>
              <a:t>一般公共预算财政拨款支出决算变动情况</a:t>
            </a:r>
            <a:endParaRPr sz="1400" b="0" i="0" u="none" strike="noStrike" baseline="0">
              <a:solidFill>
                <a:srgbClr val="000000">
                  <a:alpha val="100000"/>
                </a:srgbClr>
              </a:solidFill>
              <a:latin typeface="宋体" charset="-122"/>
              <a:ea typeface="宋体" charset="-122"/>
              <a:cs typeface="宋体" charset="-122"/>
            </a:endParaRPr>
          </a:p>
        </c:rich>
      </c:tx>
      <c:layout/>
      <c:overlay val="false"/>
    </c:title>
    <c:autoTitleDeleted val="false"/>
    <c:plotArea>
      <c:layout/>
      <c:barChart>
        <c:barDir val="col"/>
        <c:grouping val="stacked"/>
        <c:varyColors val="false"/>
        <c:ser>
          <c:idx val="0"/>
          <c:order val="0"/>
          <c:tx>
            <c:strRef>
              <c:f>[2024柱状图.xls]图5!#REF!</c:f>
              <c:strCache>
                <c:ptCount val="1"/>
                <c:pt idx="0">
                  <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[2024柱状图.xls]图5!$B$1:$C$1</c:f>
              <c:strCache>
                <c:ptCount val="2"/>
                <c:pt idx="0">
                  <c:v>2023年</c:v>
                </c:pt>
                <c:pt idx="1">
                  <c:v>2024年</c:v>
                </c:pt>
              </c:strCache>
            </c:strRef>
          </c:cat>
          <c:val>
            <c:numRef>
              <c:f>[2024柱状图.xls]图5!#REF!</c:f>
              <c:numCache>
                <c:formatCode>General</c:formatCode>
                <c:ptCount val="1"/>
              </c:numCache>
            </c:numRef>
          </c:val>
        </c:ser>
        <c:ser>
          <c:idx val="1"/>
          <c:order val="1"/>
          <c:tx>
            <c:strRef>
              <c:f>[2024柱状图.xls]图5!$A$2</c:f>
              <c:strCache>
                <c:ptCount val="1"/>
                <c:pt idx="0">
                  <c:v>一般公共预算财政拨款支出</c:v>
                </c:pt>
              </c:strCache>
            </c:strRef>
          </c:tx>
          <c:spPr>
            <a:solidFill>
              <a:schemeClr val="accent6">
                <a:lumMod val="60000"/>
                <a:lumOff val="40000"/>
              </a:schemeClr>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[2024柱状图.xls]图5!$B$1:$C$1</c:f>
              <c:strCache>
                <c:ptCount val="2"/>
                <c:pt idx="0">
                  <c:v>2023年</c:v>
                </c:pt>
                <c:pt idx="1">
                  <c:v>2024年</c:v>
                </c:pt>
              </c:strCache>
            </c:strRef>
          </c:cat>
          <c:val>
            <c:numRef>
              <c:f>[2024柱状图.xls]图5!$B$2:$C$2</c:f>
              <c:numCache>
                <c:formatCode>General</c:formatCode>
                <c:ptCount val="2"/>
                <c:pt idx="0">
                  <c:v>207.21</c:v>
                </c:pt>
                <c:pt idx="1">
                  <c:v>210.29</c:v>
                </c:pt>
              </c:numCache>
            </c:numRef>
          </c:val>
        </c:ser>
        <c:dLbls>
          <c:showLegendKey val="false"/>
          <c:showVal val="false"/>
          <c:showCatName val="false"/>
          <c:showSerName val="false"/>
          <c:showPercent val="false"/>
          <c:showBubbleSize val="false"/>
        </c:dLbls>
        <c:gapWidth val="150"/>
        <c:overlap val="100"/>
        <c:axId val="786365839"/>
        <c:axId val="69029683"/>
      </c:barChart>
      <c:catAx>
        <c:axId val="78636583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029683"/>
        <c:crosses val="autoZero"/>
        <c:auto val="true"/>
        <c:lblAlgn val="ctr"/>
        <c:lblOffset val="100"/>
        <c:noMultiLvlLbl val="false"/>
      </c:catAx>
      <c:valAx>
        <c:axId val="69029683"/>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6365839"/>
        <c:crosses val="autoZero"/>
        <c:crossBetween val="between"/>
      </c:valAx>
      <c:spPr>
        <a:noFill/>
        <a:ln>
          <a:noFill/>
        </a:ln>
        <a:effectLst/>
      </c:spPr>
    </c:plotArea>
    <c:legend>
      <c:legendPos val="b"/>
      <c:legendEntry>
        <c:idx val="0"/>
        <c:delete val="true"/>
      </c:legendEntry>
      <c:layout>
        <c:manualLayout>
          <c:xMode val="edge"/>
          <c:yMode val="edge"/>
          <c:x val="0.27575"/>
          <c:y val="0.895"/>
          <c:w val="0.44825"/>
          <c:h val="0.07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一般公共预算财政拨款支出决算结构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dPt>
          <c:dLbls>
            <c:dLbl>
              <c:idx val="0"/>
              <c:layout>
                <c:manualLayout>
                  <c:x val="0.0689059206954346"/>
                  <c:y val="0.0015424470705107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[2024柱状图.xls]图6!$A$1:$D$1</c:f>
              <c:strCache>
                <c:ptCount val="4"/>
                <c:pt idx="0">
                  <c:v>科学技术支出</c:v>
                </c:pt>
                <c:pt idx="1">
                  <c:v>社会保障和就业支出</c:v>
                </c:pt>
                <c:pt idx="2">
                  <c:v>卫生健康支出</c:v>
                </c:pt>
                <c:pt idx="3">
                  <c:v>住房保障支出</c:v>
                </c:pt>
              </c:strCache>
            </c:strRef>
          </c:cat>
          <c:val>
            <c:numRef>
              <c:f>[2024柱状图.xls]图6!$A$2:$D$2</c:f>
              <c:numCache>
                <c:formatCode>0.00%</c:formatCode>
                <c:ptCount val="4"/>
                <c:pt idx="0">
                  <c:v>0.6733</c:v>
                </c:pt>
                <c:pt idx="1">
                  <c:v>0.2042</c:v>
                </c:pt>
                <c:pt idx="2">
                  <c:v>0.0545</c:v>
                </c:pt>
                <c:pt idx="3">
                  <c:v>0.068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charset="-122"/>
                <a:ea typeface="宋体" charset="-122"/>
                <a:cs typeface="宋体" charset="-122"/>
              </a:rPr>
              <a:t>“三公”经费财政拨款支出结构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dPt>
          <c:dPt>
            <c:idx val="2"/>
            <c:bubble3D val="false"/>
            <c:explosion val="0"/>
          </c:dPt>
          <c:dLbls>
            <c:dLbl>
              <c:idx val="0"/>
              <c:layout>
                <c:manualLayout>
                  <c:x val="-0.133992630029203"/>
                  <c:y val="0.10302077330453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[2024柱状图.xls]图7!$A$1:$C$1</c:f>
              <c:strCache>
                <c:ptCount val="3"/>
                <c:pt idx="0">
                  <c:v>因公出国（境）费支出</c:v>
                </c:pt>
                <c:pt idx="1">
                  <c:v>公务用车购置及运行维护费</c:v>
                </c:pt>
                <c:pt idx="2">
                  <c:v>公务接待费支出</c:v>
                </c:pt>
              </c:strCache>
            </c:strRef>
          </c:cat>
          <c:val>
            <c:numRef>
              <c:f>[2024柱状图.xls]图7!$A$2:$C$2</c:f>
              <c:numCache>
                <c:formatCode>General</c:formatCode>
                <c:ptCount val="3"/>
                <c:pt idx="0">
                  <c:v>0</c:v>
                </c:pt>
                <c:pt idx="1" c:formatCode="0.00%">
                  <c:v>1</c:v>
                </c:pt>
                <c:pt idx="2" c:formatCode="0.00%">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2020-08-12T01:49:00Z</dcterms:created>
  <dc:creator>曹颖</dc:creator>
  <cp:lastModifiedBy>user</cp:lastModifiedBy>
  <cp:lastPrinted>2025-08-09T09:34:00Z</cp:lastPrinted>
  <dcterms:modified xsi:type="dcterms:W3CDTF">2025-09-09T09:10:42Z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