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四川省</w:t>
      </w:r>
      <w:bookmarkStart w:id="11" w:name="_Toc15306268"/>
      <w:r>
        <w:rPr>
          <w:rFonts w:hint="eastAsia" w:ascii="方正小标宋简体" w:hAnsi="方正小标宋简体" w:eastAsia="方正小标宋简体" w:cs="方正小标宋简体"/>
          <w:sz w:val="72"/>
          <w:szCs w:val="72"/>
        </w:rPr>
        <w:t>攀枝花市生产力促进中心单位决算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w:t>
      </w:r>
      <w:r>
        <w:rPr>
          <w:rFonts w:hint="default"/>
          <w:lang w:val="en"/>
        </w:rPr>
        <w:t>4</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rPr>
        <w:tab/>
      </w:r>
      <w:r>
        <w:rPr>
          <w:rFonts w:hint="eastAsia" w:cstheme="minorBidi"/>
          <w:sz w:val="24"/>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13</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rPr>
        <w:tab/>
      </w:r>
      <w:r>
        <w:rPr>
          <w:rFonts w:hint="eastAsia" w:cstheme="minorBidi"/>
          <w:sz w:val="24"/>
          <w:lang w:val="en-US" w:eastAsia="zh-CN"/>
        </w:rPr>
        <w:t>13</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rPr>
        <w:tab/>
      </w:r>
      <w:r>
        <w:rPr>
          <w:rFonts w:hint="eastAsia" w:cstheme="minorBidi"/>
          <w:sz w:val="24"/>
          <w:lang w:val="en-US" w:eastAsia="zh-CN"/>
        </w:rPr>
        <w:t>13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15</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17</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cstheme="minorBidi"/>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18</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pStyle w:val="4"/>
        <w:rPr>
          <w:rFonts w:ascii="黑体" w:hAnsi="黑体" w:eastAsia="黑体"/>
          <w:b w:val="0"/>
          <w:bCs w:val="0"/>
        </w:rPr>
      </w:pPr>
      <w:r>
        <w:rPr>
          <w:rStyle w:val="25"/>
          <w:rFonts w:hint="eastAsia" w:ascii="黑体" w:hAnsi="黑体" w:eastAsia="黑体"/>
          <w:b w:val="0"/>
          <w:bCs w:val="0"/>
        </w:rPr>
        <w:t xml:space="preserve">    </w:t>
      </w:r>
      <w:r>
        <w:rPr>
          <w:rFonts w:hint="eastAsia" w:ascii="仿宋_GB2312" w:eastAsia="仿宋_GB2312"/>
          <w:b w:val="0"/>
        </w:rPr>
        <w:t>攀枝花市生产力促进中心是于1999年12月经四川省科技厅、攀枝花市人民政府批准成立，是不以</w:t>
      </w:r>
      <w:r>
        <w:rPr>
          <w:rFonts w:hint="eastAsia" w:ascii="仿宋_GB2312" w:eastAsia="仿宋_GB2312"/>
          <w:b w:val="0"/>
          <w:lang w:val="en-US" w:eastAsia="zh-CN"/>
        </w:rPr>
        <w:t>营</w:t>
      </w:r>
      <w:bookmarkStart w:id="67" w:name="_GoBack"/>
      <w:bookmarkEnd w:id="67"/>
      <w:r>
        <w:rPr>
          <w:rFonts w:hint="eastAsia" w:ascii="仿宋_GB2312" w:eastAsia="仿宋_GB2312"/>
          <w:b w:val="0"/>
        </w:rPr>
        <w:t>利为目的科技服务机构，隶属于攀枝花市科学技术局。我中心主要任务是在市攀枝花市科学技术局的指导、支持下为中小企业提供科技服务，扶持中小企业技术创新、成果转化，以促进大众创业、万众创新为主线，以推进双创工作、科技型中小企业评价、高企培育、实施创新券、技术转移转化等为抓手。努力架设企业与科技界、企业与政府、企业与市场的信息桥梁，提高中小企业的科技水平、管理水平和经济效益。中心本着“背靠政府、面向社会、服务企业”的原则，为本地区中小企业提供优质服务。坚持“急企业之所急、想企业之所想、解企业之所忧”的服务宗旨，用心用智促进企业全面发展。</w:t>
      </w:r>
    </w:p>
    <w:p/>
    <w:p>
      <w:pPr>
        <w:pStyle w:val="4"/>
        <w:rPr>
          <w:rFonts w:ascii="黑体" w:hAnsi="黑体" w:eastAsia="黑体"/>
          <w:b w:val="0"/>
        </w:rPr>
      </w:pPr>
      <w:r>
        <w:rPr>
          <w:rFonts w:hint="eastAsia" w:ascii="黑体" w:hAnsi="黑体" w:eastAsia="黑体"/>
          <w:b w:val="0"/>
        </w:rPr>
        <w:t>二、机构设置</w:t>
      </w:r>
    </w:p>
    <w:bookmarkEnd w:id="14"/>
    <w:bookmarkEnd w:id="15"/>
    <w:p>
      <w:pPr>
        <w:widowControl/>
        <w:jc w:val="left"/>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(1) 人员编制及结构</w:t>
      </w:r>
    </w:p>
    <w:p>
      <w:pPr>
        <w:pStyle w:val="2"/>
        <w:spacing w:before="93"/>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核定事业编制12名，其中：管理岗位3名、专业技术岗位9名。</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（2）经费形式及经费渠道</w:t>
      </w:r>
    </w:p>
    <w:p>
      <w:pPr>
        <w:ind w:firstLine="640" w:firstLineChars="200"/>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公益二类全额拨款事业单位；在科学支出中列支。</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（3）领导职数</w:t>
      </w:r>
    </w:p>
    <w:p>
      <w:pPr>
        <w:ind w:firstLine="640" w:firstLineChars="200"/>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1正2副（正职按正科级管理）。</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（4）2022年末共有在职职工10人，比去年多1人，是因为单位新进2人，退休职工1人。2022年末共有退休职工13人。</w:t>
      </w:r>
    </w:p>
    <w:p>
      <w:pPr>
        <w:pStyle w:val="2"/>
        <w:spacing w:before="93"/>
      </w:pPr>
    </w:p>
    <w:p>
      <w:pPr>
        <w:rPr>
          <w:rFonts w:hint="eastAsia" w:ascii="黑体" w:hAnsi="黑体" w:eastAsia="黑体"/>
          <w:b w:val="0"/>
        </w:rPr>
      </w:pPr>
      <w:bookmarkStart w:id="16" w:name="_Toc15377204"/>
      <w:bookmarkStart w:id="17" w:name="_Toc15396602"/>
      <w:r>
        <w:rPr>
          <w:rFonts w:hint="eastAsia" w:ascii="黑体" w:hAnsi="黑体" w:eastAsia="黑体"/>
          <w:b w:val="0"/>
        </w:rPr>
        <w:br w:type="page"/>
      </w:r>
    </w:p>
    <w:p>
      <w:pPr>
        <w:pStyle w:val="3"/>
        <w:ind w:right="440"/>
        <w:jc w:val="center"/>
        <w:rPr>
          <w:rStyle w:val="24"/>
          <w:rFonts w:ascii="黑体" w:hAnsi="黑体" w:eastAsia="黑体"/>
          <w:b w:val="0"/>
          <w:bCs/>
        </w:rPr>
      </w:pPr>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color w:val="000000" w:themeColor="text1"/>
          <w:sz w:val="32"/>
          <w:szCs w:val="32"/>
        </w:rPr>
      </w:pPr>
      <w:r>
        <w:rPr>
          <w:rFonts w:hint="eastAsia" w:ascii="仿宋" w:hAnsi="仿宋" w:eastAsia="仿宋"/>
          <w:sz w:val="32"/>
          <w:szCs w:val="32"/>
        </w:rPr>
        <w:t>2022年度收、支总计</w:t>
      </w:r>
      <w:r>
        <w:rPr>
          <w:rFonts w:ascii="仿宋" w:hAnsi="仿宋" w:eastAsia="仿宋"/>
          <w:sz w:val="32"/>
          <w:szCs w:val="32"/>
        </w:rPr>
        <w:t>271.17</w:t>
      </w:r>
      <w:r>
        <w:rPr>
          <w:rFonts w:hint="eastAsia" w:ascii="仿宋" w:hAnsi="仿宋" w:eastAsia="仿宋"/>
          <w:sz w:val="32"/>
          <w:szCs w:val="32"/>
        </w:rPr>
        <w:t>万元。与2021年相比，收、支总计各增加33.27万元，增长13.98</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5274310" cy="271272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261.88</w:t>
      </w:r>
      <w:r>
        <w:rPr>
          <w:rFonts w:hint="eastAsia" w:ascii="仿宋" w:hAnsi="仿宋" w:eastAsia="仿宋"/>
          <w:sz w:val="32"/>
          <w:szCs w:val="32"/>
        </w:rPr>
        <w:t>万元，其中：一般公共预算财政拨款收入</w:t>
      </w:r>
      <w:r>
        <w:rPr>
          <w:rFonts w:ascii="仿宋" w:hAnsi="仿宋" w:eastAsia="仿宋"/>
          <w:sz w:val="32"/>
          <w:szCs w:val="32"/>
        </w:rPr>
        <w:t>261.88</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4572000" cy="24765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pP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268.34</w:t>
      </w:r>
      <w:r>
        <w:rPr>
          <w:rFonts w:hint="eastAsia" w:ascii="仿宋" w:hAnsi="仿宋" w:eastAsia="仿宋"/>
          <w:sz w:val="32"/>
          <w:szCs w:val="32"/>
        </w:rPr>
        <w:t>万元，其中：基本支出</w:t>
      </w:r>
      <w:r>
        <w:rPr>
          <w:rFonts w:ascii="仿宋" w:hAnsi="仿宋" w:eastAsia="仿宋"/>
          <w:sz w:val="32"/>
          <w:szCs w:val="32"/>
        </w:rPr>
        <w:t>231.57</w:t>
      </w:r>
      <w:r>
        <w:rPr>
          <w:rFonts w:hint="eastAsia" w:ascii="仿宋" w:hAnsi="仿宋" w:eastAsia="仿宋"/>
          <w:sz w:val="32"/>
          <w:szCs w:val="32"/>
        </w:rPr>
        <w:t>万元，占86.3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36.77</w:t>
      </w:r>
      <w:r>
        <w:rPr>
          <w:rFonts w:hint="eastAsia" w:ascii="仿宋" w:hAnsi="仿宋" w:eastAsia="仿宋"/>
          <w:sz w:val="32"/>
          <w:szCs w:val="32"/>
        </w:rPr>
        <w:t>万元，占13.7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3943350" cy="22860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_GB2312" w:hAnsi="仿宋" w:eastAsia="仿宋_GB2312"/>
          <w:color w:val="000000" w:themeColor="text1"/>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266.77</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21年相比，财政拨款收、支总计各增加28.87万元，增长12.14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5274310" cy="249999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266.77</w:t>
      </w:r>
      <w:r>
        <w:rPr>
          <w:rFonts w:hint="eastAsia" w:ascii="仿宋" w:hAnsi="仿宋" w:eastAsia="仿宋"/>
          <w:sz w:val="32"/>
          <w:szCs w:val="32"/>
        </w:rPr>
        <w:t>万元，占本年支出合计的98.38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21年相比，一般公共预算财政拨款支出增加28.87万元，增长12.14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4572000" cy="25050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266.77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195.29</w:t>
      </w:r>
      <w:r>
        <w:rPr>
          <w:rFonts w:hint="eastAsia" w:ascii="仿宋" w:hAnsi="仿宋" w:eastAsia="仿宋"/>
          <w:sz w:val="32"/>
          <w:szCs w:val="32"/>
        </w:rPr>
        <w:t>万元，占73.21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55.81</w:t>
      </w:r>
      <w:r>
        <w:rPr>
          <w:rFonts w:hint="eastAsia" w:ascii="仿宋" w:hAnsi="仿宋" w:eastAsia="仿宋"/>
          <w:sz w:val="32"/>
          <w:szCs w:val="32"/>
        </w:rPr>
        <w:t>万元，占20.92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15.68</w:t>
      </w:r>
      <w:r>
        <w:rPr>
          <w:rFonts w:hint="eastAsia" w:ascii="仿宋" w:hAnsi="仿宋" w:eastAsia="仿宋"/>
          <w:sz w:val="32"/>
          <w:szCs w:val="32"/>
        </w:rPr>
        <w:t>万元，占5.87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drawing>
          <wp:inline distT="0" distB="0" distL="0" distR="0">
            <wp:extent cx="3943350" cy="22860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Style w:val="14"/>
          <w:rFonts w:ascii="仿宋" w:hAnsi="仿宋" w:eastAsia="仿宋"/>
          <w:bCs/>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ascii="仿宋" w:hAnsi="仿宋" w:eastAsia="仿宋"/>
          <w:b/>
          <w:sz w:val="32"/>
          <w:szCs w:val="32"/>
        </w:rPr>
        <w:t>268.34</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_GB2312" w:hAnsi="仿宋" w:eastAsia="仿宋_GB2312"/>
          <w:b/>
          <w:sz w:val="32"/>
          <w:szCs w:val="32"/>
        </w:rPr>
      </w:pPr>
      <w:r>
        <w:rPr>
          <w:rStyle w:val="14"/>
          <w:rFonts w:hint="eastAsia" w:ascii="仿宋_GB2312" w:hAnsi="仿宋" w:eastAsia="仿宋_GB2312"/>
          <w:bCs/>
          <w:sz w:val="32"/>
          <w:szCs w:val="32"/>
        </w:rPr>
        <w:t>1.科学技术（类）科技条件与服务（款）机构运行（项）: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160.08</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科技条件与服务（款）其他科技条件与服务支出（项）: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1.57</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其他科学技术支出（款）其他科学技术支出（项）: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24.3</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spacing w:line="600" w:lineRule="exact"/>
        <w:ind w:firstLine="643" w:firstLineChars="200"/>
        <w:rPr>
          <w:rFonts w:ascii="仿宋_GB2312" w:hAnsi="仿宋" w:eastAsia="仿宋_GB2312"/>
          <w:b/>
          <w:sz w:val="32"/>
          <w:szCs w:val="32"/>
        </w:rPr>
      </w:pPr>
      <w:r>
        <w:rPr>
          <w:rStyle w:val="14"/>
          <w:rFonts w:hint="eastAsia" w:ascii="仿宋_GB2312" w:hAnsi="仿宋" w:eastAsia="仿宋_GB2312"/>
          <w:bCs/>
          <w:sz w:val="32"/>
          <w:szCs w:val="32"/>
        </w:rPr>
        <w:t>2.社会保障和就业（类）行政事业单位养老支出（款）事业单位离退休（项）：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40.26</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行政事业单位养老支出（款）机关事业单位基本养老保险缴费支出（项）: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15.55</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spacing w:line="600" w:lineRule="exact"/>
        <w:ind w:firstLine="643" w:firstLineChars="200"/>
        <w:rPr>
          <w:sz w:val="32"/>
          <w:szCs w:val="32"/>
        </w:rPr>
      </w:pPr>
      <w:r>
        <w:rPr>
          <w:rStyle w:val="14"/>
          <w:rFonts w:hint="eastAsia" w:ascii="仿宋_GB2312" w:hAnsi="仿宋" w:eastAsia="仿宋_GB2312"/>
          <w:bCs/>
          <w:sz w:val="32"/>
          <w:szCs w:val="32"/>
        </w:rPr>
        <w:t>3</w:t>
      </w:r>
      <w:r>
        <w:rPr>
          <w:rFonts w:hint="eastAsia" w:ascii="仿宋_GB2312" w:hAnsi="仿宋" w:eastAsia="仿宋_GB2312"/>
          <w:b/>
          <w:bCs/>
          <w:sz w:val="32"/>
          <w:szCs w:val="32"/>
        </w:rPr>
        <w:t>.住房保障支出（类）住房改革支出（款）住房公积金（项）：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15.68</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tabs>
          <w:tab w:val="right" w:pos="8306"/>
        </w:tabs>
        <w:spacing w:line="600" w:lineRule="exact"/>
        <w:ind w:firstLine="640"/>
        <w:outlineLvl w:val="1"/>
        <w:rPr>
          <w:rStyle w:val="25"/>
          <w:rFonts w:ascii="黑体" w:hAnsi="黑体" w:eastAsia="黑体"/>
          <w:b w:val="0"/>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2022年一般公共预算财政拨款基本支出</w:t>
      </w:r>
      <w:r>
        <w:rPr>
          <w:rFonts w:ascii="仿宋_GB2312" w:hAnsi="仿宋" w:eastAsia="仿宋_GB2312"/>
          <w:sz w:val="32"/>
          <w:szCs w:val="32"/>
        </w:rPr>
        <w:t>231.57</w:t>
      </w:r>
      <w:r>
        <w:rPr>
          <w:rFonts w:hint="eastAsia" w:ascii="仿宋_GB2312" w:hAnsi="仿宋" w:eastAsia="仿宋_GB2312"/>
          <w:sz w:val="32"/>
          <w:szCs w:val="32"/>
        </w:rPr>
        <w:t>万元，其中：</w:t>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人员经费</w:t>
      </w:r>
      <w:r>
        <w:rPr>
          <w:rFonts w:ascii="仿宋_GB2312" w:hAnsi="仿宋" w:eastAsia="仿宋_GB2312"/>
          <w:sz w:val="32"/>
          <w:szCs w:val="32"/>
        </w:rPr>
        <w:t>215.63</w:t>
      </w:r>
      <w:r>
        <w:rPr>
          <w:rFonts w:hint="eastAsia" w:ascii="仿宋_GB2312" w:hAnsi="仿宋" w:eastAsia="仿宋_GB2312"/>
          <w:sz w:val="32"/>
          <w:szCs w:val="32"/>
        </w:rPr>
        <w:t>万元，主要包括：基本工资</w:t>
      </w:r>
      <w:r>
        <w:rPr>
          <w:rFonts w:ascii="仿宋_GB2312" w:hAnsi="仿宋" w:eastAsia="仿宋_GB2312"/>
          <w:sz w:val="32"/>
          <w:szCs w:val="32"/>
        </w:rPr>
        <w:t>41.97万元</w:t>
      </w:r>
      <w:r>
        <w:rPr>
          <w:rFonts w:hint="eastAsia" w:ascii="仿宋_GB2312" w:hAnsi="仿宋" w:eastAsia="仿宋_GB2312"/>
          <w:sz w:val="32"/>
          <w:szCs w:val="32"/>
        </w:rPr>
        <w:t>、津贴补贴</w:t>
      </w:r>
      <w:r>
        <w:rPr>
          <w:rFonts w:ascii="仿宋_GB2312" w:hAnsi="仿宋" w:eastAsia="仿宋_GB2312"/>
          <w:sz w:val="32"/>
          <w:szCs w:val="32"/>
        </w:rPr>
        <w:t>7.34万元</w:t>
      </w:r>
      <w:r>
        <w:rPr>
          <w:rFonts w:hint="eastAsia" w:ascii="仿宋_GB2312" w:hAnsi="仿宋" w:eastAsia="仿宋_GB2312"/>
          <w:sz w:val="32"/>
          <w:szCs w:val="32"/>
        </w:rPr>
        <w:t>、奖金</w:t>
      </w:r>
      <w:r>
        <w:rPr>
          <w:rFonts w:ascii="仿宋_GB2312" w:hAnsi="仿宋" w:eastAsia="仿宋_GB2312"/>
          <w:sz w:val="32"/>
          <w:szCs w:val="32"/>
        </w:rPr>
        <w:t>0.3</w:t>
      </w:r>
      <w:r>
        <w:rPr>
          <w:rFonts w:hint="eastAsia" w:ascii="仿宋_GB2312" w:hAnsi="仿宋" w:eastAsia="仿宋_GB2312"/>
          <w:sz w:val="32"/>
          <w:szCs w:val="32"/>
        </w:rPr>
        <w:t>万元、伙食补助费0万元、绩效工资</w:t>
      </w:r>
      <w:r>
        <w:rPr>
          <w:rFonts w:ascii="仿宋_GB2312" w:hAnsi="仿宋" w:eastAsia="仿宋_GB2312"/>
          <w:sz w:val="32"/>
          <w:szCs w:val="32"/>
        </w:rPr>
        <w:t>74.71万元</w:t>
      </w:r>
      <w:r>
        <w:rPr>
          <w:rFonts w:hint="eastAsia" w:ascii="仿宋_GB2312" w:hAnsi="仿宋" w:eastAsia="仿宋_GB2312"/>
          <w:sz w:val="32"/>
          <w:szCs w:val="32"/>
        </w:rPr>
        <w:t>、机关事业单位基本养老保险缴费</w:t>
      </w:r>
      <w:r>
        <w:rPr>
          <w:rFonts w:ascii="仿宋_GB2312" w:hAnsi="仿宋" w:eastAsia="仿宋_GB2312"/>
          <w:sz w:val="32"/>
          <w:szCs w:val="32"/>
        </w:rPr>
        <w:t>15.55万元</w:t>
      </w:r>
      <w:r>
        <w:rPr>
          <w:rFonts w:hint="eastAsia" w:ascii="仿宋_GB2312" w:hAnsi="仿宋" w:eastAsia="仿宋_GB2312"/>
          <w:sz w:val="32"/>
          <w:szCs w:val="32"/>
        </w:rPr>
        <w:t>、职业年金缴费0万元、职工基本医疗保险缴费</w:t>
      </w:r>
      <w:r>
        <w:rPr>
          <w:rFonts w:ascii="仿宋_GB2312" w:hAnsi="仿宋" w:eastAsia="仿宋_GB2312"/>
          <w:sz w:val="32"/>
          <w:szCs w:val="32"/>
        </w:rPr>
        <w:t>9.52万元</w:t>
      </w:r>
      <w:r>
        <w:rPr>
          <w:rFonts w:hint="eastAsia" w:ascii="仿宋_GB2312" w:hAnsi="仿宋" w:eastAsia="仿宋_GB2312"/>
          <w:sz w:val="32"/>
          <w:szCs w:val="32"/>
        </w:rPr>
        <w:t>、公务员医疗补助缴费</w:t>
      </w:r>
      <w:r>
        <w:rPr>
          <w:rFonts w:ascii="仿宋_GB2312" w:hAnsi="仿宋" w:eastAsia="仿宋_GB2312"/>
          <w:sz w:val="32"/>
          <w:szCs w:val="32"/>
        </w:rPr>
        <w:t>5.61万元</w:t>
      </w:r>
      <w:r>
        <w:rPr>
          <w:rFonts w:hint="eastAsia" w:ascii="仿宋_GB2312" w:hAnsi="仿宋" w:eastAsia="仿宋_GB2312"/>
          <w:sz w:val="32"/>
          <w:szCs w:val="32"/>
        </w:rPr>
        <w:t>、其他社会保障缴费</w:t>
      </w:r>
      <w:r>
        <w:rPr>
          <w:rFonts w:ascii="仿宋_GB2312" w:hAnsi="仿宋" w:eastAsia="仿宋_GB2312"/>
          <w:sz w:val="32"/>
          <w:szCs w:val="32"/>
        </w:rPr>
        <w:t>1.56万元</w:t>
      </w:r>
      <w:r>
        <w:rPr>
          <w:rFonts w:hint="eastAsia" w:ascii="仿宋_GB2312" w:hAnsi="仿宋" w:eastAsia="仿宋_GB2312"/>
          <w:sz w:val="32"/>
          <w:szCs w:val="32"/>
        </w:rPr>
        <w:t>、其他工资福利支出</w:t>
      </w:r>
      <w:r>
        <w:rPr>
          <w:rFonts w:ascii="仿宋_GB2312" w:hAnsi="仿宋" w:eastAsia="仿宋_GB2312"/>
          <w:sz w:val="32"/>
          <w:szCs w:val="32"/>
        </w:rPr>
        <w:t>4.46万元</w:t>
      </w:r>
      <w:r>
        <w:rPr>
          <w:rFonts w:hint="eastAsia" w:ascii="仿宋_GB2312" w:hAnsi="仿宋" w:eastAsia="仿宋_GB2312"/>
          <w:sz w:val="32"/>
          <w:szCs w:val="32"/>
        </w:rPr>
        <w:t>、离休费0万元、退休费0万元、抚恤金0万元、生活补助</w:t>
      </w:r>
      <w:r>
        <w:rPr>
          <w:rFonts w:ascii="仿宋_GB2312" w:hAnsi="仿宋" w:eastAsia="仿宋_GB2312"/>
          <w:sz w:val="32"/>
          <w:szCs w:val="32"/>
        </w:rPr>
        <w:t>37.98万元</w:t>
      </w:r>
      <w:r>
        <w:rPr>
          <w:rFonts w:hint="eastAsia" w:ascii="仿宋_GB2312" w:hAnsi="仿宋" w:eastAsia="仿宋_GB2312"/>
          <w:sz w:val="32"/>
          <w:szCs w:val="32"/>
        </w:rPr>
        <w:t>、医疗费补助</w:t>
      </w:r>
      <w:r>
        <w:rPr>
          <w:rFonts w:ascii="仿宋_GB2312" w:hAnsi="仿宋" w:eastAsia="仿宋_GB2312"/>
          <w:sz w:val="32"/>
          <w:szCs w:val="32"/>
        </w:rPr>
        <w:t>0.96万元</w:t>
      </w:r>
      <w:r>
        <w:rPr>
          <w:rFonts w:hint="eastAsia" w:ascii="仿宋_GB2312" w:hAnsi="仿宋" w:eastAsia="仿宋_GB2312"/>
          <w:sz w:val="32"/>
          <w:szCs w:val="32"/>
        </w:rPr>
        <w:t>、奖励金0万元、住房公积金</w:t>
      </w:r>
      <w:r>
        <w:rPr>
          <w:rFonts w:ascii="仿宋_GB2312" w:hAnsi="仿宋" w:eastAsia="仿宋_GB2312"/>
          <w:sz w:val="32"/>
          <w:szCs w:val="32"/>
        </w:rPr>
        <w:t>15.68万元</w:t>
      </w:r>
      <w:r>
        <w:rPr>
          <w:rFonts w:hint="eastAsia" w:ascii="仿宋_GB2312" w:hAnsi="仿宋" w:eastAsia="仿宋_GB2312"/>
          <w:sz w:val="32"/>
          <w:szCs w:val="32"/>
        </w:rPr>
        <w:t>、其他对个人和家庭的补助支出0</w:t>
      </w:r>
      <w:r>
        <w:rPr>
          <w:rFonts w:ascii="仿宋_GB2312" w:hAnsi="仿宋" w:eastAsia="仿宋_GB2312"/>
          <w:sz w:val="32"/>
          <w:szCs w:val="32"/>
        </w:rPr>
        <w:t>万元</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公用经费</w:t>
      </w:r>
      <w:r>
        <w:rPr>
          <w:rFonts w:ascii="仿宋_GB2312" w:hAnsi="仿宋" w:eastAsia="仿宋_GB2312"/>
          <w:sz w:val="32"/>
          <w:szCs w:val="32"/>
        </w:rPr>
        <w:t>15.94</w:t>
      </w:r>
      <w:r>
        <w:rPr>
          <w:rFonts w:hint="eastAsia" w:ascii="仿宋_GB2312" w:hAnsi="仿宋" w:eastAsia="仿宋_GB2312"/>
          <w:sz w:val="32"/>
          <w:szCs w:val="32"/>
        </w:rPr>
        <w:t>万元，主要包括：办公费</w:t>
      </w:r>
      <w:r>
        <w:rPr>
          <w:rFonts w:ascii="仿宋_GB2312" w:hAnsi="仿宋" w:eastAsia="仿宋_GB2312"/>
          <w:sz w:val="32"/>
          <w:szCs w:val="32"/>
        </w:rPr>
        <w:t>0.3万元</w:t>
      </w:r>
      <w:r>
        <w:rPr>
          <w:rFonts w:hint="eastAsia" w:ascii="仿宋_GB2312" w:hAnsi="仿宋" w:eastAsia="仿宋_GB2312"/>
          <w:sz w:val="32"/>
          <w:szCs w:val="32"/>
        </w:rPr>
        <w:t>、印刷费0万元、咨询费0万元、手续费0万元、水费</w:t>
      </w:r>
      <w:r>
        <w:rPr>
          <w:rFonts w:ascii="仿宋_GB2312" w:hAnsi="仿宋" w:eastAsia="仿宋_GB2312"/>
          <w:sz w:val="32"/>
          <w:szCs w:val="32"/>
        </w:rPr>
        <w:t>0.15万元</w:t>
      </w:r>
      <w:r>
        <w:rPr>
          <w:rFonts w:hint="eastAsia" w:ascii="仿宋_GB2312" w:hAnsi="仿宋" w:eastAsia="仿宋_GB2312"/>
          <w:sz w:val="32"/>
          <w:szCs w:val="32"/>
        </w:rPr>
        <w:t>、电费</w:t>
      </w:r>
      <w:r>
        <w:rPr>
          <w:rFonts w:ascii="仿宋_GB2312" w:hAnsi="仿宋" w:eastAsia="仿宋_GB2312"/>
          <w:sz w:val="32"/>
          <w:szCs w:val="32"/>
        </w:rPr>
        <w:t>0.47万元</w:t>
      </w:r>
      <w:r>
        <w:rPr>
          <w:rFonts w:hint="eastAsia" w:ascii="仿宋_GB2312" w:hAnsi="仿宋" w:eastAsia="仿宋_GB2312"/>
          <w:sz w:val="32"/>
          <w:szCs w:val="32"/>
        </w:rPr>
        <w:t>、邮电费</w:t>
      </w:r>
      <w:r>
        <w:rPr>
          <w:rFonts w:ascii="仿宋_GB2312" w:hAnsi="仿宋" w:eastAsia="仿宋_GB2312"/>
          <w:sz w:val="32"/>
          <w:szCs w:val="32"/>
        </w:rPr>
        <w:t>0.56万元</w:t>
      </w:r>
      <w:r>
        <w:rPr>
          <w:rFonts w:hint="eastAsia" w:ascii="仿宋_GB2312" w:hAnsi="仿宋" w:eastAsia="仿宋_GB2312"/>
          <w:sz w:val="32"/>
          <w:szCs w:val="32"/>
        </w:rPr>
        <w:t>、取暖费0万元、物业管理费</w:t>
      </w:r>
      <w:r>
        <w:rPr>
          <w:rFonts w:ascii="仿宋_GB2312" w:hAnsi="仿宋" w:eastAsia="仿宋_GB2312"/>
          <w:sz w:val="32"/>
          <w:szCs w:val="32"/>
        </w:rPr>
        <w:t>0.33</w:t>
      </w:r>
      <w:r>
        <w:rPr>
          <w:rFonts w:hint="eastAsia" w:ascii="仿宋_GB2312" w:hAnsi="仿宋" w:eastAsia="仿宋_GB2312"/>
          <w:sz w:val="32"/>
          <w:szCs w:val="32"/>
        </w:rPr>
        <w:t>万元、差旅费</w:t>
      </w:r>
      <w:r>
        <w:rPr>
          <w:rFonts w:ascii="仿宋_GB2312" w:hAnsi="仿宋" w:eastAsia="仿宋_GB2312"/>
          <w:sz w:val="32"/>
          <w:szCs w:val="32"/>
        </w:rPr>
        <w:t>1.47万元</w:t>
      </w:r>
      <w:r>
        <w:rPr>
          <w:rFonts w:hint="eastAsia" w:ascii="仿宋_GB2312" w:hAnsi="仿宋" w:eastAsia="仿宋_GB2312"/>
          <w:sz w:val="32"/>
          <w:szCs w:val="32"/>
        </w:rPr>
        <w:t>、因公出国（境）费用0万元、维修（护）费0万元、租赁费0万元、会议费</w:t>
      </w:r>
      <w:r>
        <w:rPr>
          <w:rFonts w:ascii="仿宋_GB2312" w:hAnsi="仿宋" w:eastAsia="仿宋_GB2312"/>
          <w:sz w:val="32"/>
          <w:szCs w:val="32"/>
        </w:rPr>
        <w:t>1.2</w:t>
      </w:r>
      <w:r>
        <w:rPr>
          <w:rFonts w:hint="eastAsia" w:ascii="仿宋_GB2312" w:hAnsi="仿宋" w:eastAsia="仿宋_GB2312"/>
          <w:sz w:val="32"/>
          <w:szCs w:val="32"/>
        </w:rPr>
        <w:t>万元、培训费0万元、公务接待费</w:t>
      </w:r>
      <w:r>
        <w:rPr>
          <w:rFonts w:ascii="仿宋_GB2312" w:hAnsi="仿宋" w:eastAsia="仿宋_GB2312"/>
          <w:sz w:val="32"/>
          <w:szCs w:val="32"/>
        </w:rPr>
        <w:t>0.12万元</w:t>
      </w:r>
      <w:r>
        <w:rPr>
          <w:rFonts w:hint="eastAsia" w:ascii="仿宋_GB2312" w:hAnsi="仿宋" w:eastAsia="仿宋_GB2312"/>
          <w:sz w:val="32"/>
          <w:szCs w:val="32"/>
        </w:rPr>
        <w:t>、劳务费</w:t>
      </w:r>
      <w:r>
        <w:rPr>
          <w:rFonts w:ascii="仿宋_GB2312" w:hAnsi="仿宋" w:eastAsia="仿宋_GB2312"/>
          <w:sz w:val="32"/>
          <w:szCs w:val="32"/>
        </w:rPr>
        <w:t>4.14万元</w:t>
      </w:r>
      <w:r>
        <w:rPr>
          <w:rFonts w:hint="eastAsia" w:ascii="仿宋_GB2312" w:hAnsi="仿宋" w:eastAsia="仿宋_GB2312"/>
          <w:sz w:val="32"/>
          <w:szCs w:val="32"/>
        </w:rPr>
        <w:t>、委托业务费0万元、工会经费</w:t>
      </w:r>
      <w:r>
        <w:rPr>
          <w:rFonts w:ascii="仿宋_GB2312" w:hAnsi="仿宋" w:eastAsia="仿宋_GB2312"/>
          <w:sz w:val="32"/>
          <w:szCs w:val="32"/>
        </w:rPr>
        <w:t>2.22万元</w:t>
      </w:r>
      <w:r>
        <w:rPr>
          <w:rFonts w:hint="eastAsia" w:ascii="仿宋_GB2312" w:hAnsi="仿宋" w:eastAsia="仿宋_GB2312"/>
          <w:sz w:val="32"/>
          <w:szCs w:val="32"/>
        </w:rPr>
        <w:t>、福利费</w:t>
      </w:r>
      <w:r>
        <w:rPr>
          <w:rFonts w:ascii="仿宋_GB2312" w:hAnsi="仿宋" w:eastAsia="仿宋_GB2312"/>
          <w:sz w:val="32"/>
          <w:szCs w:val="32"/>
        </w:rPr>
        <w:t>1.35万元</w:t>
      </w:r>
      <w:r>
        <w:rPr>
          <w:rFonts w:hint="eastAsia" w:ascii="仿宋_GB2312" w:hAnsi="仿宋" w:eastAsia="仿宋_GB2312"/>
          <w:sz w:val="32"/>
          <w:szCs w:val="32"/>
        </w:rPr>
        <w:t>、公务用车运行维护费</w:t>
      </w:r>
      <w:r>
        <w:rPr>
          <w:rFonts w:ascii="仿宋_GB2312" w:hAnsi="仿宋" w:eastAsia="仿宋_GB2312"/>
          <w:sz w:val="32"/>
          <w:szCs w:val="32"/>
        </w:rPr>
        <w:t>0.97万元</w:t>
      </w:r>
      <w:r>
        <w:rPr>
          <w:rFonts w:hint="eastAsia" w:ascii="仿宋_GB2312" w:hAnsi="仿宋" w:eastAsia="仿宋_GB2312"/>
          <w:sz w:val="32"/>
          <w:szCs w:val="32"/>
        </w:rPr>
        <w:t>、其他交通费</w:t>
      </w:r>
      <w:r>
        <w:rPr>
          <w:rFonts w:ascii="仿宋_GB2312" w:hAnsi="仿宋" w:eastAsia="仿宋_GB2312"/>
          <w:sz w:val="32"/>
          <w:szCs w:val="32"/>
        </w:rPr>
        <w:t>0.65</w:t>
      </w:r>
      <w:r>
        <w:rPr>
          <w:rFonts w:hint="eastAsia" w:ascii="仿宋_GB2312" w:hAnsi="仿宋" w:eastAsia="仿宋_GB2312"/>
          <w:sz w:val="32"/>
          <w:szCs w:val="32"/>
        </w:rPr>
        <w:t>万元、税金及附加费用0万元、其他商品和服务支出</w:t>
      </w:r>
      <w:r>
        <w:rPr>
          <w:rFonts w:ascii="仿宋_GB2312" w:hAnsi="仿宋" w:eastAsia="仿宋_GB2312"/>
          <w:sz w:val="32"/>
          <w:szCs w:val="32"/>
        </w:rPr>
        <w:t>1.12万元</w:t>
      </w:r>
      <w:r>
        <w:rPr>
          <w:rFonts w:hint="eastAsia" w:ascii="仿宋_GB2312" w:hAnsi="仿宋" w:eastAsia="仿宋_GB2312"/>
          <w:sz w:val="32"/>
          <w:szCs w:val="32"/>
        </w:rPr>
        <w:t>、办公设备购置</w:t>
      </w:r>
      <w:r>
        <w:rPr>
          <w:rFonts w:ascii="仿宋_GB2312" w:hAnsi="仿宋" w:eastAsia="仿宋_GB2312"/>
          <w:sz w:val="32"/>
          <w:szCs w:val="32"/>
        </w:rPr>
        <w:t>0.88</w:t>
      </w:r>
      <w:r>
        <w:rPr>
          <w:rFonts w:hint="eastAsia" w:ascii="仿宋_GB2312" w:hAnsi="仿宋" w:eastAsia="仿宋_GB2312"/>
          <w:sz w:val="32"/>
          <w:szCs w:val="32"/>
        </w:rPr>
        <w:t>万元、专用设备购置0万元、信息网络及软件购置更新0万元、其他资本性支出0万元。</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1.09</w:t>
      </w:r>
      <w:r>
        <w:rPr>
          <w:rFonts w:hint="eastAsia" w:ascii="仿宋" w:hAnsi="仿宋" w:eastAsia="仿宋"/>
          <w:sz w:val="32"/>
          <w:szCs w:val="32"/>
        </w:rPr>
        <w:t>万元，完成预算69.87</w:t>
      </w:r>
      <w:r>
        <w:rPr>
          <w:rFonts w:ascii="仿宋" w:hAnsi="仿宋" w:eastAsia="仿宋"/>
          <w:sz w:val="32"/>
          <w:szCs w:val="32"/>
        </w:rPr>
        <w:t>%</w:t>
      </w:r>
      <w:r>
        <w:rPr>
          <w:rFonts w:hint="eastAsia" w:ascii="仿宋" w:hAnsi="仿宋" w:eastAsia="仿宋"/>
          <w:sz w:val="32"/>
          <w:szCs w:val="32"/>
        </w:rPr>
        <w:t>，较上年减少0.53万元，下降32.72%。决算数小于预算数的主要原因是严控三公经费支出。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sz w:val="32"/>
          <w:szCs w:val="32"/>
        </w:rPr>
        <w:t>0.97</w:t>
      </w:r>
      <w:r>
        <w:rPr>
          <w:rFonts w:hint="eastAsia" w:ascii="仿宋" w:hAnsi="仿宋" w:eastAsia="仿宋"/>
          <w:sz w:val="32"/>
          <w:szCs w:val="32"/>
        </w:rPr>
        <w:t>万元，占89</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0.12</w:t>
      </w:r>
      <w:r>
        <w:rPr>
          <w:rFonts w:hint="eastAsia" w:ascii="仿宋" w:hAnsi="仿宋" w:eastAsia="仿宋"/>
          <w:sz w:val="32"/>
          <w:szCs w:val="32"/>
        </w:rPr>
        <w:t>万元，占11</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3943350" cy="2295525"/>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全年安排因公出国（境）团组0次，出国（境）0人。因公出国（境）支出决算与2021年持平。主要原因是2021年和2022年都未产生因公出国经费。</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0.97</w:t>
      </w:r>
      <w:r>
        <w:rPr>
          <w:rFonts w:hint="eastAsia" w:ascii="仿宋_GB2312" w:eastAsia="仿宋_GB2312"/>
          <w:sz w:val="32"/>
          <w:szCs w:val="32"/>
        </w:rPr>
        <w:t>万元,</w:t>
      </w:r>
      <w:r>
        <w:rPr>
          <w:rStyle w:val="14"/>
          <w:rFonts w:hint="eastAsia" w:ascii="仿宋" w:hAnsi="仿宋" w:eastAsia="仿宋"/>
          <w:b w:val="0"/>
          <w:bCs/>
          <w:sz w:val="32"/>
          <w:szCs w:val="32"/>
        </w:rPr>
        <w:t>完成预算62.18</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21年增减少0.42万元，下降30.22</w:t>
      </w:r>
      <w:r>
        <w:rPr>
          <w:rFonts w:ascii="仿宋_GB2312" w:eastAsia="仿宋_GB2312"/>
          <w:sz w:val="32"/>
          <w:szCs w:val="32"/>
        </w:rPr>
        <w:t>%</w:t>
      </w:r>
      <w:r>
        <w:rPr>
          <w:rFonts w:hint="eastAsia" w:ascii="仿宋_GB2312" w:eastAsia="仿宋_GB2312"/>
          <w:sz w:val="32"/>
          <w:szCs w:val="32"/>
        </w:rPr>
        <w:t>。主要原因是疫情期间，严格控制车辆外出。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0.97万元。主要用于</w:t>
      </w:r>
      <w:r>
        <w:rPr>
          <w:rFonts w:hint="eastAsia" w:ascii="仿宋_GB2312" w:eastAsia="仿宋_GB2312"/>
          <w:color w:val="000000"/>
          <w:sz w:val="32"/>
          <w:szCs w:val="32"/>
        </w:rPr>
        <w:t>科技调研等所需的公务用车燃料费、维修费、过路过桥费、保险费等支出。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0.12万元，</w:t>
      </w:r>
      <w:r>
        <w:rPr>
          <w:rStyle w:val="14"/>
          <w:rFonts w:hint="eastAsia" w:ascii="仿宋" w:hAnsi="仿宋" w:eastAsia="仿宋"/>
          <w:b w:val="0"/>
          <w:bCs/>
          <w:sz w:val="32"/>
          <w:szCs w:val="32"/>
        </w:rPr>
        <w:t>完成预算40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21年减少0.11万元，下降47.83</w:t>
      </w:r>
      <w:r>
        <w:rPr>
          <w:rFonts w:ascii="仿宋_GB2312" w:eastAsia="仿宋_GB2312"/>
          <w:sz w:val="32"/>
          <w:szCs w:val="32"/>
        </w:rPr>
        <w:t>%</w:t>
      </w:r>
      <w:r>
        <w:rPr>
          <w:rFonts w:hint="eastAsia" w:ascii="仿宋_GB2312" w:eastAsia="仿宋_GB2312"/>
          <w:sz w:val="32"/>
          <w:szCs w:val="32"/>
        </w:rPr>
        <w:t>。主要原因是接待次数与人数较上年少。其中：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0.12</w:t>
      </w:r>
      <w:r>
        <w:rPr>
          <w:rFonts w:hint="eastAsia" w:ascii="仿宋_GB2312" w:eastAsia="仿宋_GB2312"/>
          <w:sz w:val="32"/>
          <w:szCs w:val="32"/>
        </w:rPr>
        <w:t>万元，主要用于省科技厅来攀检查开支的用餐费。国内公务接待1批次，5人次（不包括陪同人员），共计支出0.12万元，具体内容包括：省科技厅来攀检查接待餐费0.12万元。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22年，攀枝花市生产力促进中心机关运行经费支出0万元，与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生产力促进中心政府采购支出总额0.88万元，其中：政府采购货物支出0.88万元、政府采购工程支出0万元、政府采购服务支出0万元。主要用于购买办公用计算机一台和打印机一台。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日，攀枝花市生产力促进中心共有车辆1辆，其中：主要领导干部用车0辆、机要通信用车0辆、应急保障用车0辆、其他用车1辆，其他用车主要是用于</w:t>
      </w:r>
      <w:r>
        <w:rPr>
          <w:rFonts w:hint="eastAsia" w:ascii="仿宋_GB2312" w:eastAsia="仿宋_GB2312"/>
          <w:color w:val="000000"/>
          <w:sz w:val="32"/>
          <w:szCs w:val="32"/>
        </w:rPr>
        <w:t>科技调研等所需的公务用车燃料费、维修费、过路过桥费、保险费等支出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市级科技创新券补贴》项目等18个项目开展了预算事前绩效评估，对18个项目编制了绩效目标，预算执行过程中，选取1个项目开展绩效监控，组织对18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bookmarkStart w:id="5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.科学技术支出（类）技术研究与开发（款）科技成果转化与扩散（项）：</w:t>
      </w:r>
      <w:r>
        <w:rPr>
          <w:rFonts w:hint="eastAsia" w:eastAsia="仿宋_GB2312"/>
          <w:color w:val="000000"/>
          <w:kern w:val="0"/>
          <w:sz w:val="32"/>
          <w:szCs w:val="32"/>
          <w:lang w:eastAsia="zh-CN"/>
        </w:rPr>
        <w:t>指兑付2021年度科技创新券。</w:t>
      </w:r>
    </w:p>
    <w:p>
      <w:pPr>
        <w:spacing w:line="60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4.科学技术支出（类）科技条件与服务（款） 机构运行（项）：指用于保障单位正常运行、开展日常工作等基本支出。</w:t>
      </w:r>
    </w:p>
    <w:p>
      <w:pPr>
        <w:spacing w:line="600" w:lineRule="exact"/>
        <w:ind w:firstLine="640" w:firstLineChars="200"/>
        <w:rPr>
          <w:rFonts w:hint="default" w:ascii="Times New Roman" w:hAnsi="Times New Roman" w:eastAsia="仿宋_GB2312" w:cs="Times New Roman"/>
          <w:color w:val="000000"/>
          <w:kern w:val="0"/>
          <w:sz w:val="32"/>
          <w:szCs w:val="32"/>
          <w:lang w:val="en" w:eastAsia="zh-CN"/>
        </w:rPr>
      </w:pPr>
      <w:r>
        <w:rPr>
          <w:rFonts w:hint="default" w:ascii="Times New Roman" w:hAnsi="Times New Roman" w:eastAsia="仿宋_GB2312" w:cs="Times New Roman"/>
          <w:color w:val="000000"/>
          <w:kern w:val="0"/>
          <w:sz w:val="32"/>
          <w:szCs w:val="32"/>
          <w:lang w:val="en" w:eastAsia="zh-CN"/>
        </w:rPr>
        <w:t>5.</w:t>
      </w:r>
      <w:r>
        <w:rPr>
          <w:rFonts w:hint="eastAsia" w:ascii="Times New Roman" w:hAnsi="Times New Roman" w:eastAsia="仿宋_GB2312" w:cs="Times New Roman"/>
          <w:color w:val="000000"/>
          <w:kern w:val="0"/>
          <w:sz w:val="32"/>
          <w:szCs w:val="32"/>
          <w:lang w:val="en-US" w:eastAsia="zh-CN"/>
        </w:rPr>
        <w:t>科学技术支出（类）其他科学技术支出（款）其他科学技术支出（项）：指用于市级科技创新券补贴，向符合条件的企业发放创新券。</w:t>
      </w:r>
    </w:p>
    <w:p>
      <w:pPr>
        <w:spacing w:line="600" w:lineRule="exact"/>
        <w:ind w:firstLine="640" w:firstLineChars="200"/>
        <w:rPr>
          <w:rFonts w:hint="eastAsia" w:eastAsia="仿宋_GB2312"/>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6.社会保障和就</w:t>
      </w:r>
      <w:r>
        <w:rPr>
          <w:rFonts w:hint="eastAsia" w:eastAsia="仿宋_GB2312"/>
          <w:color w:val="000000"/>
          <w:kern w:val="0"/>
          <w:sz w:val="32"/>
          <w:szCs w:val="32"/>
        </w:rPr>
        <w:t>业（类）行政事业单位养老支出（款） 事业单位离退休（项）: 指</w:t>
      </w:r>
      <w:r>
        <w:rPr>
          <w:rFonts w:hint="eastAsia" w:eastAsia="仿宋_GB2312"/>
          <w:color w:val="000000"/>
          <w:kern w:val="0"/>
          <w:sz w:val="32"/>
          <w:szCs w:val="32"/>
          <w:lang w:val="en-US" w:eastAsia="zh-CN"/>
        </w:rPr>
        <w:t>财政统一供养的事业单位退休人员的支出。</w:t>
      </w:r>
    </w:p>
    <w:p>
      <w:pPr>
        <w:spacing w:line="600" w:lineRule="exact"/>
        <w:ind w:firstLine="640" w:firstLineChars="200"/>
      </w:pPr>
      <w:r>
        <w:rPr>
          <w:rFonts w:hint="eastAsia" w:eastAsia="仿宋_GB2312"/>
          <w:color w:val="000000"/>
          <w:kern w:val="0"/>
          <w:sz w:val="32"/>
          <w:szCs w:val="32"/>
          <w:lang w:val="en-US" w:eastAsia="zh-CN"/>
        </w:rPr>
        <w:t>7.</w:t>
      </w:r>
      <w:r>
        <w:rPr>
          <w:rFonts w:hint="eastAsia" w:eastAsia="仿宋_GB2312"/>
          <w:color w:val="000000"/>
          <w:kern w:val="0"/>
          <w:sz w:val="32"/>
          <w:szCs w:val="32"/>
        </w:rPr>
        <w:t>社会保障和就业（类）行政事业单位养老支出（款）机关事业单位基本养老保险缴费支出（项）：</w:t>
      </w:r>
      <w:r>
        <w:rPr>
          <w:rFonts w:ascii="仿宋_gb2312" w:hAnsi="仿宋_gb2312" w:eastAsia="仿宋_gb2312" w:cs="仿宋_gb2312"/>
          <w:kern w:val="0"/>
          <w:sz w:val="33"/>
          <w:szCs w:val="33"/>
          <w:lang w:val="en-US" w:eastAsia="zh-CN" w:bidi="ar"/>
        </w:rPr>
        <w:t>指机关事业单位实施养老保险制度由单位缴纳的基本养老保险费支出。</w:t>
      </w:r>
    </w:p>
    <w:p>
      <w:pPr>
        <w:pStyle w:val="22"/>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eastAsia="仿宋_GB2312"/>
          <w:color w:val="000000"/>
          <w:kern w:val="0"/>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val="en-US" w:eastAsia="zh-CN"/>
        </w:rPr>
        <w:t>1。</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yOGI0MGY0OGM0NjQwMzZiYWZjODMxOGZjZmM2NmYifQ=="/>
  </w:docVars>
  <w:rsids>
    <w:rsidRoot w:val="00F1361C"/>
    <w:rsid w:val="000222C6"/>
    <w:rsid w:val="0002549F"/>
    <w:rsid w:val="0002704C"/>
    <w:rsid w:val="000468DB"/>
    <w:rsid w:val="00046E3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37E5"/>
    <w:rsid w:val="001654D1"/>
    <w:rsid w:val="00166E95"/>
    <w:rsid w:val="00174518"/>
    <w:rsid w:val="0018106D"/>
    <w:rsid w:val="001877A7"/>
    <w:rsid w:val="00191536"/>
    <w:rsid w:val="00196687"/>
    <w:rsid w:val="001B7B9C"/>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66032"/>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9FD"/>
    <w:rsid w:val="003E6F55"/>
    <w:rsid w:val="00406254"/>
    <w:rsid w:val="00407ED7"/>
    <w:rsid w:val="004223DE"/>
    <w:rsid w:val="00434489"/>
    <w:rsid w:val="00437085"/>
    <w:rsid w:val="00443880"/>
    <w:rsid w:val="004464F4"/>
    <w:rsid w:val="00464B39"/>
    <w:rsid w:val="00471401"/>
    <w:rsid w:val="00473F31"/>
    <w:rsid w:val="0048263A"/>
    <w:rsid w:val="00485945"/>
    <w:rsid w:val="00487E5D"/>
    <w:rsid w:val="004A711F"/>
    <w:rsid w:val="004B0FBC"/>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4C41"/>
    <w:rsid w:val="005B5C64"/>
    <w:rsid w:val="005C5337"/>
    <w:rsid w:val="005C6BD0"/>
    <w:rsid w:val="005D1C8B"/>
    <w:rsid w:val="005D468D"/>
    <w:rsid w:val="005D5CED"/>
    <w:rsid w:val="005D7CA0"/>
    <w:rsid w:val="005E23F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4103"/>
    <w:rsid w:val="0066343B"/>
    <w:rsid w:val="00664777"/>
    <w:rsid w:val="006748A4"/>
    <w:rsid w:val="00681A31"/>
    <w:rsid w:val="00683E73"/>
    <w:rsid w:val="006A3141"/>
    <w:rsid w:val="006A5E34"/>
    <w:rsid w:val="006B2422"/>
    <w:rsid w:val="006B2B9A"/>
    <w:rsid w:val="006C1937"/>
    <w:rsid w:val="006E1913"/>
    <w:rsid w:val="006F020C"/>
    <w:rsid w:val="00702D2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A604D"/>
    <w:rsid w:val="009B2C43"/>
    <w:rsid w:val="009B4EAE"/>
    <w:rsid w:val="009B7573"/>
    <w:rsid w:val="009C22F4"/>
    <w:rsid w:val="009C2A4B"/>
    <w:rsid w:val="009C2E98"/>
    <w:rsid w:val="009D3447"/>
    <w:rsid w:val="009D4711"/>
    <w:rsid w:val="009F1185"/>
    <w:rsid w:val="009F18CD"/>
    <w:rsid w:val="009F2A13"/>
    <w:rsid w:val="009F60A0"/>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315A"/>
    <w:rsid w:val="00A67AB5"/>
    <w:rsid w:val="00A733B2"/>
    <w:rsid w:val="00A741C2"/>
    <w:rsid w:val="00A81F5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902"/>
    <w:rsid w:val="00B57DAF"/>
    <w:rsid w:val="00B67AC8"/>
    <w:rsid w:val="00B67DC6"/>
    <w:rsid w:val="00B77EA6"/>
    <w:rsid w:val="00B81598"/>
    <w:rsid w:val="00B841F1"/>
    <w:rsid w:val="00B944D6"/>
    <w:rsid w:val="00BB4DF0"/>
    <w:rsid w:val="00BC289F"/>
    <w:rsid w:val="00BC2D50"/>
    <w:rsid w:val="00BC5361"/>
    <w:rsid w:val="00BC5460"/>
    <w:rsid w:val="00BC6002"/>
    <w:rsid w:val="00BC6B50"/>
    <w:rsid w:val="00BD0E25"/>
    <w:rsid w:val="00BF5BD6"/>
    <w:rsid w:val="00C03E31"/>
    <w:rsid w:val="00C3176A"/>
    <w:rsid w:val="00C33E72"/>
    <w:rsid w:val="00C354B2"/>
    <w:rsid w:val="00C35554"/>
    <w:rsid w:val="00C42709"/>
    <w:rsid w:val="00C533CC"/>
    <w:rsid w:val="00C5751C"/>
    <w:rsid w:val="00C61BFC"/>
    <w:rsid w:val="00C62B85"/>
    <w:rsid w:val="00C65438"/>
    <w:rsid w:val="00C7524A"/>
    <w:rsid w:val="00C87FD8"/>
    <w:rsid w:val="00C91381"/>
    <w:rsid w:val="00C91CBB"/>
    <w:rsid w:val="00CA182D"/>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68F1"/>
    <w:rsid w:val="00D7035F"/>
    <w:rsid w:val="00D84BE6"/>
    <w:rsid w:val="00DA634F"/>
    <w:rsid w:val="00DA65AC"/>
    <w:rsid w:val="00DB1913"/>
    <w:rsid w:val="00DC410D"/>
    <w:rsid w:val="00DC4FE8"/>
    <w:rsid w:val="00DC5A81"/>
    <w:rsid w:val="00DC68CA"/>
    <w:rsid w:val="00DC7CBA"/>
    <w:rsid w:val="00DD73B7"/>
    <w:rsid w:val="00DE6510"/>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357"/>
    <w:rsid w:val="00F754A1"/>
    <w:rsid w:val="00F81FD9"/>
    <w:rsid w:val="00F841AA"/>
    <w:rsid w:val="00F84A94"/>
    <w:rsid w:val="00F87E96"/>
    <w:rsid w:val="00FA23E8"/>
    <w:rsid w:val="00FD3CC1"/>
    <w:rsid w:val="00FF1E02"/>
    <w:rsid w:val="00FF30B4"/>
    <w:rsid w:val="053A62B5"/>
    <w:rsid w:val="0A2032A3"/>
    <w:rsid w:val="0B8A37D8"/>
    <w:rsid w:val="0BA479BF"/>
    <w:rsid w:val="10C055FF"/>
    <w:rsid w:val="118107EC"/>
    <w:rsid w:val="11DD6519"/>
    <w:rsid w:val="16BB723D"/>
    <w:rsid w:val="18015F3F"/>
    <w:rsid w:val="1BE8440E"/>
    <w:rsid w:val="1BEF391B"/>
    <w:rsid w:val="1D155CEE"/>
    <w:rsid w:val="20F57F95"/>
    <w:rsid w:val="240371BF"/>
    <w:rsid w:val="25711CC6"/>
    <w:rsid w:val="25C741E6"/>
    <w:rsid w:val="27842671"/>
    <w:rsid w:val="29FD04D3"/>
    <w:rsid w:val="2ABE7A3E"/>
    <w:rsid w:val="2CA234A8"/>
    <w:rsid w:val="2EFA178C"/>
    <w:rsid w:val="30B46D73"/>
    <w:rsid w:val="319F7F4E"/>
    <w:rsid w:val="3397519D"/>
    <w:rsid w:val="383D272C"/>
    <w:rsid w:val="39AE70AB"/>
    <w:rsid w:val="3C0C0783"/>
    <w:rsid w:val="3EEB45B0"/>
    <w:rsid w:val="3F9F3A96"/>
    <w:rsid w:val="48BF60AB"/>
    <w:rsid w:val="493C27E9"/>
    <w:rsid w:val="496F39ED"/>
    <w:rsid w:val="49FF41D3"/>
    <w:rsid w:val="4BE068DB"/>
    <w:rsid w:val="4BF6002B"/>
    <w:rsid w:val="4D7F448B"/>
    <w:rsid w:val="4ECE2238"/>
    <w:rsid w:val="51DB4B86"/>
    <w:rsid w:val="55333C3E"/>
    <w:rsid w:val="5D7F2114"/>
    <w:rsid w:val="64CA39A1"/>
    <w:rsid w:val="69630ADE"/>
    <w:rsid w:val="6C4A05C8"/>
    <w:rsid w:val="6D3B1A89"/>
    <w:rsid w:val="71BF4EC2"/>
    <w:rsid w:val="72734D90"/>
    <w:rsid w:val="7412278C"/>
    <w:rsid w:val="76721179"/>
    <w:rsid w:val="769754ED"/>
    <w:rsid w:val="77DD7190"/>
    <w:rsid w:val="79E7B28D"/>
    <w:rsid w:val="7EF5CCDD"/>
    <w:rsid w:val="7F9F20EE"/>
    <w:rsid w:val="9E3A10E2"/>
    <w:rsid w:val="A9C92A5C"/>
    <w:rsid w:val="BDEF8897"/>
    <w:rsid w:val="DFDFD1FB"/>
    <w:rsid w:val="E8FB3AEF"/>
    <w:rsid w:val="F2E1F9D4"/>
    <w:rsid w:val="F7880819"/>
    <w:rsid w:val="FB7E7506"/>
    <w:rsid w:val="FB7F10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a:p>
        </c:rich>
      </c:tx>
      <c:layout/>
      <c:overlay val="0"/>
    </c:title>
    <c:autoTitleDeleted val="0"/>
    <c:plotArea>
      <c:layout>
        <c:manualLayout>
          <c:layoutTarget val="inner"/>
          <c:xMode val="edge"/>
          <c:yMode val="edge"/>
          <c:x val="0.146711635750422"/>
          <c:y val="0.242622950819672"/>
          <c:w val="0.817875210792582"/>
          <c:h val="0.472131147540983"/>
        </c:manualLayout>
      </c:layout>
      <c:barChart>
        <c:barDir val="col"/>
        <c:grouping val="clustered"/>
        <c:varyColors val="0"/>
        <c:ser>
          <c:idx val="0"/>
          <c:order val="0"/>
          <c:tx>
            <c:strRef>
              <c:f>图1!$B$1</c:f>
              <c:strCache>
                <c:ptCount val="1"/>
                <c:pt idx="0">
                  <c:v>2021年</c:v>
                </c:pt>
              </c:strCache>
            </c:strRef>
          </c:tx>
          <c:spPr>
            <a:gradFill rotWithShape="0">
              <a:gsLst>
                <a:gs pos="0">
                  <a:srgbClr val="E30000"/>
                </a:gs>
                <a:gs pos="100000">
                  <a:srgbClr val="76030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图1!$B$2:$B$3</c:f>
              <c:numCache>
                <c:formatCode>General</c:formatCode>
                <c:ptCount val="2"/>
                <c:pt idx="0">
                  <c:v>237.9</c:v>
                </c:pt>
                <c:pt idx="1">
                  <c:v>237.9</c:v>
                </c:pt>
              </c:numCache>
            </c:numRef>
          </c:val>
        </c:ser>
        <c:ser>
          <c:idx val="1"/>
          <c:order val="1"/>
          <c:tx>
            <c:strRef>
              <c:f>图1!$C$1</c:f>
              <c:strCache>
                <c:ptCount val="1"/>
                <c:pt idx="0">
                  <c:v>2022年</c:v>
                </c:pt>
              </c:strCache>
            </c:strRef>
          </c:tx>
          <c:spPr>
            <a:gradFill rotWithShape="0">
              <a:gsLst>
                <a:gs pos="0">
                  <a:srgbClr val="007BD3"/>
                </a:gs>
                <a:gs pos="100000">
                  <a:srgbClr val="03437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图1!$C$2:$C$3</c:f>
              <c:numCache>
                <c:formatCode>General</c:formatCode>
                <c:ptCount val="2"/>
                <c:pt idx="0">
                  <c:v>271.17</c:v>
                </c:pt>
                <c:pt idx="1">
                  <c:v>271.17</c:v>
                </c:pt>
              </c:numCache>
            </c:numRef>
          </c:val>
        </c:ser>
        <c:dLbls>
          <c:showLegendKey val="0"/>
          <c:showVal val="1"/>
          <c:showCatName val="0"/>
          <c:showSerName val="0"/>
          <c:showPercent val="0"/>
          <c:showBubbleSize val="0"/>
        </c:dLbls>
        <c:gapWidth val="150"/>
        <c:axId val="135493888"/>
        <c:axId val="135573504"/>
      </c:barChart>
      <c:catAx>
        <c:axId val="13549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573504"/>
        <c:crosses val="autoZero"/>
        <c:auto val="1"/>
        <c:lblAlgn val="ctr"/>
        <c:lblOffset val="100"/>
        <c:noMultiLvlLbl val="0"/>
      </c:catAx>
      <c:valAx>
        <c:axId val="13557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493888"/>
        <c:crosses val="autoZero"/>
        <c:crossBetween val="between"/>
      </c:valAx>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图2!$A$1</c:f>
              <c:strCache>
                <c:ptCount val="1"/>
                <c:pt idx="0">
                  <c:v>一般公共预算财政拨款收入</c:v>
                </c:pt>
              </c:strCache>
            </c:strRef>
          </c:cat>
          <c:val>
            <c:numRef>
              <c:f>图2!$A$2</c:f>
              <c:numCache>
                <c:formatCode>0.00%</c:formatCode>
                <c:ptCount val="1"/>
                <c:pt idx="0">
                  <c:v>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图3!$A$1:$B$1</c:f>
              <c:strCache>
                <c:ptCount val="2"/>
                <c:pt idx="0">
                  <c:v>基本支出</c:v>
                </c:pt>
                <c:pt idx="1">
                  <c:v>项目支出</c:v>
                </c:pt>
              </c:strCache>
            </c:strRef>
          </c:cat>
          <c:val>
            <c:numRef>
              <c:f>图3!$A$2:$B$2</c:f>
              <c:numCache>
                <c:formatCode>0.00%</c:formatCode>
                <c:ptCount val="2"/>
                <c:pt idx="0">
                  <c:v>0.863000000000001</c:v>
                </c:pt>
                <c:pt idx="1">
                  <c:v>0.137</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a:p>
        </c:rich>
      </c:tx>
      <c:layout>
        <c:manualLayout>
          <c:xMode val="edge"/>
          <c:yMode val="edge"/>
          <c:x val="0.268391676416074"/>
          <c:y val="0.0286625263391371"/>
        </c:manualLayout>
      </c:layout>
      <c:overlay val="0"/>
    </c:title>
    <c:autoTitleDeleted val="0"/>
    <c:plotArea>
      <c:layout>
        <c:manualLayout>
          <c:layoutTarget val="inner"/>
          <c:xMode val="edge"/>
          <c:yMode val="edge"/>
          <c:x val="0.145242070116862"/>
          <c:y val="0.253521126760563"/>
          <c:w val="0.819699499165277"/>
          <c:h val="0.454225352112676"/>
        </c:manualLayout>
      </c:layout>
      <c:barChart>
        <c:barDir val="col"/>
        <c:grouping val="clustered"/>
        <c:varyColors val="0"/>
        <c:ser>
          <c:idx val="0"/>
          <c:order val="0"/>
          <c:tx>
            <c:strRef>
              <c:f>图4!$B$1</c:f>
              <c:strCache>
                <c:ptCount val="1"/>
                <c:pt idx="0">
                  <c:v>2021年</c:v>
                </c:pt>
              </c:strCache>
            </c:strRef>
          </c:tx>
          <c:spPr>
            <a:gradFill rotWithShape="0">
              <a:gsLst>
                <a:gs pos="0">
                  <a:srgbClr val="FECF40"/>
                </a:gs>
                <a:gs pos="100000">
                  <a:srgbClr val="846C21"/>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图4!$A$2:$A$3</c:f>
              <c:strCache>
                <c:ptCount val="2"/>
                <c:pt idx="0">
                  <c:v>财政拨款收入</c:v>
                </c:pt>
                <c:pt idx="1">
                  <c:v>财政拨款支出</c:v>
                </c:pt>
              </c:strCache>
            </c:strRef>
          </c:cat>
          <c:val>
            <c:numRef>
              <c:f>图4!$B$2:$B$3</c:f>
              <c:numCache>
                <c:formatCode>General</c:formatCode>
                <c:ptCount val="2"/>
                <c:pt idx="0">
                  <c:v>237.9</c:v>
                </c:pt>
                <c:pt idx="1">
                  <c:v>237.9</c:v>
                </c:pt>
              </c:numCache>
            </c:numRef>
          </c:val>
        </c:ser>
        <c:ser>
          <c:idx val="1"/>
          <c:order val="1"/>
          <c:tx>
            <c:strRef>
              <c:f>图4!$C$1</c:f>
              <c:strCache>
                <c:ptCount val="1"/>
                <c:pt idx="0">
                  <c:v>2022年</c:v>
                </c:pt>
              </c:strCache>
            </c:strRef>
          </c:tx>
          <c:spPr>
            <a:gradFill rotWithShape="0">
              <a:gsLst>
                <a:gs pos="0">
                  <a:srgbClr val="14CD68"/>
                </a:gs>
                <a:gs pos="100000">
                  <a:srgbClr val="035C7D"/>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图4!$A$2:$A$3</c:f>
              <c:strCache>
                <c:ptCount val="2"/>
                <c:pt idx="0">
                  <c:v>财政拨款收入</c:v>
                </c:pt>
                <c:pt idx="1">
                  <c:v>财政拨款支出</c:v>
                </c:pt>
              </c:strCache>
            </c:strRef>
          </c:cat>
          <c:val>
            <c:numRef>
              <c:f>图4!$C$2:$C$3</c:f>
              <c:numCache>
                <c:formatCode>General</c:formatCode>
                <c:ptCount val="2"/>
                <c:pt idx="0">
                  <c:v>266.77</c:v>
                </c:pt>
                <c:pt idx="1">
                  <c:v>266.77</c:v>
                </c:pt>
              </c:numCache>
            </c:numRef>
          </c:val>
        </c:ser>
        <c:dLbls>
          <c:showLegendKey val="0"/>
          <c:showVal val="1"/>
          <c:showCatName val="0"/>
          <c:showSerName val="0"/>
          <c:showPercent val="0"/>
          <c:showBubbleSize val="0"/>
        </c:dLbls>
        <c:gapWidth val="150"/>
        <c:axId val="135765376"/>
        <c:axId val="135611520"/>
      </c:barChart>
      <c:catAx>
        <c:axId val="135765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611520"/>
        <c:crosses val="autoZero"/>
        <c:auto val="1"/>
        <c:lblAlgn val="ctr"/>
        <c:lblOffset val="100"/>
        <c:noMultiLvlLbl val="0"/>
      </c:catAx>
      <c:valAx>
        <c:axId val="135611520"/>
        <c:scaling>
          <c:orientation val="minMax"/>
          <c:max val="4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765376"/>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overlay val="0"/>
    </c:title>
    <c:autoTitleDeleted val="0"/>
    <c:plotArea>
      <c:layout/>
      <c:barChart>
        <c:barDir val="col"/>
        <c:grouping val="stacked"/>
        <c:varyColors val="0"/>
        <c:ser>
          <c:idx val="0"/>
          <c:order val="0"/>
          <c:tx>
            <c:strRef>
              <c:f>图5!#REF!</c:f>
              <c:strCache>
                <c:ptCount val="1"/>
                <c:pt idx="0">
                  <c:v/>
                </c:pt>
              </c:strCache>
            </c:strRef>
          </c:tx>
          <c:spPr>
            <a:solidFill>
              <a:srgbClr val="4F81BD"/>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2021年</c:v>
                </c:pt>
                <c:pt idx="1">
                  <c:v>2022年</c:v>
                </c:pt>
              </c:strCache>
            </c:strRef>
          </c:cat>
          <c:val>
            <c:numRef>
              <c:f>图5!#REF!</c:f>
              <c:numCache>
                <c:formatCode>General</c:formatCode>
                <c:ptCount val="1"/>
                <c:pt idx="0">
                  <c:v>0</c:v>
                </c:pt>
              </c:numCache>
            </c:numRef>
          </c:val>
        </c:ser>
        <c:ser>
          <c:idx val="1"/>
          <c:order val="1"/>
          <c:tx>
            <c:strRef>
              <c:f>图5!$A$2</c:f>
              <c:strCache>
                <c:ptCount val="1"/>
                <c:pt idx="0">
                  <c:v>一般公共预算财政拨款支出</c:v>
                </c:pt>
              </c:strCache>
            </c:strRef>
          </c:tx>
          <c:spPr>
            <a:gradFill rotWithShape="0">
              <a:gsLst>
                <a:gs pos="0">
                  <a:srgbClr val="FECF40"/>
                </a:gs>
                <a:gs pos="100000">
                  <a:srgbClr val="846C21"/>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2021年</c:v>
                </c:pt>
                <c:pt idx="1">
                  <c:v>2022年</c:v>
                </c:pt>
              </c:strCache>
            </c:strRef>
          </c:cat>
          <c:val>
            <c:numRef>
              <c:f>图5!$B$2:$C$2</c:f>
              <c:numCache>
                <c:formatCode>General</c:formatCode>
                <c:ptCount val="2"/>
                <c:pt idx="0">
                  <c:v>210.19</c:v>
                </c:pt>
                <c:pt idx="1">
                  <c:v>266.77</c:v>
                </c:pt>
              </c:numCache>
            </c:numRef>
          </c:val>
        </c:ser>
        <c:dLbls>
          <c:showLegendKey val="0"/>
          <c:showVal val="1"/>
          <c:showCatName val="0"/>
          <c:showSerName val="0"/>
          <c:showPercent val="0"/>
          <c:showBubbleSize val="0"/>
        </c:dLbls>
        <c:gapWidth val="150"/>
        <c:overlap val="100"/>
        <c:axId val="135944448"/>
        <c:axId val="135954432"/>
      </c:barChart>
      <c:catAx>
        <c:axId val="13594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954432"/>
        <c:crosses val="autoZero"/>
        <c:auto val="1"/>
        <c:lblAlgn val="ctr"/>
        <c:lblOffset val="100"/>
        <c:noMultiLvlLbl val="0"/>
      </c:catAx>
      <c:valAx>
        <c:axId val="135954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944448"/>
        <c:crosses val="autoZero"/>
        <c:crossBetween val="between"/>
      </c:valAx>
      <c:spPr>
        <a:noFill/>
        <a:ln w="25400">
          <a:noFill/>
        </a:ln>
      </c:spPr>
    </c:plotArea>
    <c:legend>
      <c:legendPos val="b"/>
      <c:legendEntry>
        <c:idx val="1"/>
        <c:delete val="1"/>
      </c:legendEntry>
      <c:layout>
        <c:manualLayout>
          <c:xMode val="edge"/>
          <c:yMode val="edge"/>
          <c:x val="0.27575"/>
          <c:y val="0.894999950101295"/>
          <c:w val="0.44825"/>
          <c:h val="0.0770000898176703"/>
        </c:manualLayout>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689059206954346"/>
                  <c:y val="0.001542447070510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图6!$A$1:$C$1</c:f>
              <c:strCache>
                <c:ptCount val="3"/>
                <c:pt idx="0">
                  <c:v>科学技术支出</c:v>
                </c:pt>
                <c:pt idx="1">
                  <c:v>社会保障和就业支出</c:v>
                </c:pt>
                <c:pt idx="2">
                  <c:v>住房保障支出</c:v>
                </c:pt>
              </c:strCache>
            </c:strRef>
          </c:cat>
          <c:val>
            <c:numRef>
              <c:f>图6!$A$2:$C$2</c:f>
              <c:numCache>
                <c:formatCode>0.00%</c:formatCode>
                <c:ptCount val="3"/>
                <c:pt idx="0">
                  <c:v>0.732100000000001</c:v>
                </c:pt>
                <c:pt idx="1">
                  <c:v>0.2092</c:v>
                </c:pt>
                <c:pt idx="2">
                  <c:v>0.0587</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“三公”经费财政拨款支出结构</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dPt>
          <c:dLbls>
            <c:dLbl>
              <c:idx val="0"/>
              <c:layout>
                <c:manualLayout>
                  <c:x val="-0.133992630029203"/>
                  <c:y val="0.1030207733045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图7!$A$1:$B$1</c:f>
              <c:strCache>
                <c:ptCount val="2"/>
                <c:pt idx="0">
                  <c:v>公务用车购置及运行维护费</c:v>
                </c:pt>
                <c:pt idx="1">
                  <c:v>公务接待费</c:v>
                </c:pt>
              </c:strCache>
            </c:strRef>
          </c:cat>
          <c:val>
            <c:numRef>
              <c:f>图7!$A$2:$B$2</c:f>
              <c:numCache>
                <c:formatCode>0.00%</c:formatCode>
                <c:ptCount val="2"/>
                <c:pt idx="0">
                  <c:v>0.89</c:v>
                </c:pt>
                <c:pt idx="1">
                  <c:v>0.11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4849</Words>
  <Characters>5360</Characters>
  <Lines>44</Lines>
  <Paragraphs>12</Paragraphs>
  <TotalTime>1</TotalTime>
  <ScaleCrop>false</ScaleCrop>
  <LinksUpToDate>false</LinksUpToDate>
  <CharactersWithSpaces>5412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2023-08-18T09:24:00Z</dcterms:created>
  <dc:creator>曹颖</dc:creator>
  <cp:lastModifiedBy>Administrator</cp:lastModifiedBy>
  <cp:lastPrinted>2023-08-31T09:06:00Z</cp:lastPrinted>
  <dcterms:modified xsi:type="dcterms:W3CDTF">2025-07-08T01:51:11Z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6560504A96DA4FCEB798C93494335788_12</vt:lpwstr>
  </property>
</Properties>
</file>