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78441"/>
      <w:bookmarkStart w:id="4" w:name="_Toc15396597"/>
      <w:bookmarkStart w:id="5" w:name="_Toc15377193"/>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476"/>
      <w:bookmarkStart w:id="8" w:name="_Toc15378442"/>
      <w:bookmarkStart w:id="9" w:name="_Toc15377194"/>
      <w:bookmarkStart w:id="10" w:name="_Toc15396598"/>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攀枝花市科技发展战略研究所单位决算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公开时间：2022年9月14日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单位概况.................................................4</w:t>
      </w:r>
    </w:p>
    <w:p>
      <w:pPr>
        <w:pStyle w:val="12"/>
        <w:adjustRightInd w:val="0"/>
        <w:snapToGrid w:val="0"/>
        <w:spacing w:line="440" w:lineRule="exact"/>
        <w:jc w:val="left"/>
        <w:rPr>
          <w:rFonts w:hint="eastAsia"/>
          <w:sz w:val="24"/>
        </w:rPr>
      </w:pPr>
      <w:r>
        <w:rPr>
          <w:rFonts w:hint="eastAsia"/>
          <w:sz w:val="24"/>
        </w:rPr>
        <w:t>一、职能简介......................................................................................................4</w:t>
      </w:r>
      <w:r>
        <w:rPr>
          <w:rFonts w:hint="eastAsia" w:asciiTheme="minorEastAsia" w:hAnsiTheme="minorEastAsia" w:eastAsiaTheme="minorEastAsia" w:cstheme="minorEastAsia"/>
          <w:sz w:val="24"/>
        </w:rPr>
        <w:t>二、2021年重点工作完成情况</w:t>
      </w:r>
      <w:r>
        <w:rPr>
          <w:rFonts w:hint="eastAsia"/>
          <w:sz w:val="24"/>
        </w:rPr>
        <w:t>.........................................................................4</w:t>
      </w:r>
    </w:p>
    <w:p>
      <w:r>
        <w:rPr>
          <w:rFonts w:hint="eastAsia"/>
        </w:rPr>
        <w:t xml:space="preserve">    </w:t>
      </w:r>
      <w:r>
        <w:t>三</w:t>
      </w:r>
      <w:r>
        <w:rPr>
          <w:rFonts w:hint="eastAsia"/>
        </w:rPr>
        <w:t>、</w:t>
      </w:r>
      <w:r>
        <w:t>机构设置</w:t>
      </w:r>
      <w:r>
        <w:rPr>
          <w:rFonts w:hint="eastAsia"/>
          <w:sz w:val="24"/>
        </w:rPr>
        <w:t>........................................................................................................8</w:t>
      </w:r>
    </w:p>
    <w:p>
      <w:pPr>
        <w:pStyle w:val="12"/>
        <w:adjustRightInd w:val="0"/>
        <w:snapToGrid w:val="0"/>
        <w:spacing w:line="440" w:lineRule="exact"/>
        <w:ind w:left="0" w:leftChars="0"/>
        <w:jc w:val="left"/>
        <w:rPr>
          <w:sz w:val="24"/>
        </w:rPr>
      </w:pPr>
      <w:r>
        <w:rPr>
          <w:rFonts w:hint="eastAsia"/>
          <w:sz w:val="24"/>
        </w:rPr>
        <w:t>第二部分 2021年度单位决算情况说明..................................................................9</w:t>
      </w:r>
    </w:p>
    <w:p>
      <w:pPr>
        <w:pStyle w:val="12"/>
        <w:adjustRightInd w:val="0"/>
        <w:snapToGrid w:val="0"/>
        <w:spacing w:line="440" w:lineRule="exact"/>
        <w:jc w:val="left"/>
        <w:rPr>
          <w:rFonts w:ascii="仿宋" w:hAnsi="仿宋" w:cstheme="minorBidi"/>
          <w:sz w:val="24"/>
        </w:rPr>
      </w:pPr>
      <w:r>
        <w:rPr>
          <w:rFonts w:hint="eastAsia"/>
          <w:sz w:val="24"/>
        </w:rPr>
        <w:t>一、收入支出决算总体情况说明......................................................................9</w:t>
      </w:r>
    </w:p>
    <w:p>
      <w:pPr>
        <w:pStyle w:val="12"/>
        <w:adjustRightInd w:val="0"/>
        <w:snapToGrid w:val="0"/>
        <w:spacing w:line="440" w:lineRule="exact"/>
        <w:jc w:val="left"/>
        <w:rPr>
          <w:rFonts w:ascii="仿宋" w:hAnsi="仿宋" w:cstheme="minorBidi"/>
          <w:sz w:val="24"/>
        </w:rPr>
      </w:pPr>
      <w:r>
        <w:rPr>
          <w:rFonts w:hint="eastAsia"/>
          <w:sz w:val="24"/>
        </w:rPr>
        <w:t>二、收入决算情况说明......................................................................................9</w:t>
      </w:r>
    </w:p>
    <w:p>
      <w:pPr>
        <w:pStyle w:val="12"/>
        <w:adjustRightInd w:val="0"/>
        <w:snapToGrid w:val="0"/>
        <w:spacing w:line="440" w:lineRule="exact"/>
        <w:jc w:val="left"/>
        <w:rPr>
          <w:rFonts w:ascii="仿宋" w:hAnsi="仿宋" w:cstheme="minorBidi"/>
          <w:sz w:val="24"/>
        </w:rPr>
      </w:pPr>
      <w:r>
        <w:rPr>
          <w:rFonts w:hint="eastAsia"/>
          <w:sz w:val="24"/>
        </w:rPr>
        <w:t>三、支出决算情况说明....................................................................................10</w:t>
      </w:r>
    </w:p>
    <w:p>
      <w:pPr>
        <w:pStyle w:val="12"/>
        <w:adjustRightInd w:val="0"/>
        <w:snapToGrid w:val="0"/>
        <w:spacing w:line="440" w:lineRule="exact"/>
        <w:jc w:val="left"/>
        <w:rPr>
          <w:rFonts w:ascii="仿宋" w:hAnsi="仿宋" w:cstheme="minorBidi"/>
          <w:sz w:val="24"/>
        </w:rPr>
      </w:pPr>
      <w:r>
        <w:rPr>
          <w:rFonts w:hint="eastAsia"/>
          <w:sz w:val="24"/>
        </w:rPr>
        <w:t>四、财政拨款收入支出决算总体情况说明.....................................................11</w:t>
      </w:r>
    </w:p>
    <w:p>
      <w:pPr>
        <w:pStyle w:val="12"/>
        <w:adjustRightInd w:val="0"/>
        <w:snapToGrid w:val="0"/>
        <w:spacing w:line="440" w:lineRule="exact"/>
        <w:jc w:val="left"/>
        <w:rPr>
          <w:rFonts w:ascii="仿宋" w:hAnsi="仿宋" w:cstheme="minorBidi"/>
          <w:sz w:val="24"/>
        </w:rPr>
      </w:pPr>
      <w:r>
        <w:rPr>
          <w:rFonts w:hint="eastAsia"/>
          <w:sz w:val="24"/>
        </w:rPr>
        <w:t>五、一般公共预算财政拨款支出决算情况说明.............................................11</w:t>
      </w:r>
    </w:p>
    <w:p>
      <w:pPr>
        <w:pStyle w:val="12"/>
        <w:adjustRightInd w:val="0"/>
        <w:snapToGrid w:val="0"/>
        <w:spacing w:line="440" w:lineRule="exact"/>
        <w:jc w:val="left"/>
        <w:rPr>
          <w:rFonts w:ascii="仿宋" w:hAnsi="仿宋" w:cstheme="minorBidi"/>
          <w:sz w:val="24"/>
        </w:rPr>
      </w:pPr>
      <w:r>
        <w:rPr>
          <w:rFonts w:hint="eastAsia"/>
          <w:sz w:val="24"/>
        </w:rPr>
        <w:t>六、一般公共预算财政拨款基本支出决算情况说明.....................................14</w:t>
      </w:r>
    </w:p>
    <w:p>
      <w:pPr>
        <w:pStyle w:val="12"/>
        <w:adjustRightInd w:val="0"/>
        <w:snapToGrid w:val="0"/>
        <w:spacing w:line="440" w:lineRule="exact"/>
        <w:jc w:val="left"/>
        <w:rPr>
          <w:rFonts w:ascii="仿宋" w:hAnsi="仿宋" w:cstheme="minorBidi"/>
          <w:sz w:val="24"/>
        </w:rPr>
      </w:pPr>
      <w:r>
        <w:rPr>
          <w:rFonts w:hint="eastAsia"/>
          <w:sz w:val="24"/>
        </w:rPr>
        <w:t>七、“三公”经费财政拨款支出决算情况说明..............................................15</w:t>
      </w:r>
    </w:p>
    <w:p>
      <w:pPr>
        <w:pStyle w:val="12"/>
        <w:adjustRightInd w:val="0"/>
        <w:snapToGrid w:val="0"/>
        <w:spacing w:line="440" w:lineRule="exact"/>
        <w:jc w:val="left"/>
        <w:rPr>
          <w:rFonts w:ascii="仿宋" w:hAnsi="仿宋" w:cstheme="minorBidi"/>
          <w:sz w:val="24"/>
          <w:lang w:val="en"/>
        </w:rPr>
      </w:pPr>
      <w:r>
        <w:rPr>
          <w:rFonts w:hint="eastAsia"/>
          <w:sz w:val="24"/>
        </w:rPr>
        <w:t>八、政府性基金预算支出决算情况说明.........................................................1</w:t>
      </w:r>
      <w:r>
        <w:rPr>
          <w:sz w:val="24"/>
          <w:lang w:val="en"/>
        </w:rPr>
        <w:t>6</w:t>
      </w:r>
    </w:p>
    <w:p>
      <w:pPr>
        <w:pStyle w:val="12"/>
        <w:adjustRightInd w:val="0"/>
        <w:snapToGrid w:val="0"/>
        <w:spacing w:line="440" w:lineRule="exact"/>
        <w:jc w:val="left"/>
        <w:rPr>
          <w:sz w:val="24"/>
          <w:lang w:val="en"/>
        </w:rPr>
      </w:pPr>
      <w:r>
        <w:rPr>
          <w:rFonts w:hint="eastAsia"/>
          <w:sz w:val="24"/>
        </w:rPr>
        <w:t>九、国有资本经营预算支出决算情况说明.....................................................1</w:t>
      </w:r>
      <w:r>
        <w:rPr>
          <w:sz w:val="24"/>
          <w:lang w:val="en"/>
        </w:rPr>
        <w:t>6</w:t>
      </w:r>
    </w:p>
    <w:p>
      <w:pPr>
        <w:pStyle w:val="12"/>
        <w:adjustRightInd w:val="0"/>
        <w:snapToGrid w:val="0"/>
        <w:spacing w:line="440" w:lineRule="exact"/>
        <w:jc w:val="left"/>
        <w:rPr>
          <w:sz w:val="24"/>
        </w:rPr>
      </w:pPr>
      <w:r>
        <w:rPr>
          <w:rFonts w:hint="eastAsia"/>
          <w:sz w:val="24"/>
        </w:rPr>
        <w:t>十、其他重要事项的情况说明.........................................................................16</w:t>
      </w:r>
    </w:p>
    <w:p>
      <w:pPr>
        <w:pStyle w:val="11"/>
        <w:adjustRightInd w:val="0"/>
        <w:snapToGrid w:val="0"/>
        <w:spacing w:before="0" w:line="440" w:lineRule="exact"/>
        <w:jc w:val="left"/>
        <w:rPr>
          <w:sz w:val="24"/>
        </w:rPr>
      </w:pPr>
      <w:r>
        <w:rPr>
          <w:rFonts w:hint="eastAsia"/>
          <w:sz w:val="24"/>
        </w:rPr>
        <w:t>第三部分</w:t>
      </w:r>
      <w:r>
        <w:rPr>
          <w:sz w:val="24"/>
        </w:rPr>
        <w:t xml:space="preserve"> </w:t>
      </w:r>
      <w:r>
        <w:rPr>
          <w:rFonts w:hint="eastAsia"/>
          <w:sz w:val="24"/>
        </w:rPr>
        <w:t>名词解释.................................................</w:t>
      </w:r>
      <w:r>
        <w:rPr>
          <w:sz w:val="24"/>
        </w:rPr>
        <w:t>19</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sz w:val="24"/>
        </w:rPr>
        <w:t>21</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sz w:val="24"/>
        </w:rPr>
        <w:t>25</w:t>
      </w:r>
    </w:p>
    <w:p>
      <w:pPr>
        <w:pStyle w:val="12"/>
        <w:adjustRightInd w:val="0"/>
        <w:snapToGrid w:val="0"/>
        <w:spacing w:line="440" w:lineRule="exact"/>
        <w:jc w:val="left"/>
        <w:rPr>
          <w:sz w:val="24"/>
        </w:rPr>
      </w:pPr>
      <w:r>
        <w:rPr>
          <w:rFonts w:hint="eastAsia"/>
          <w:sz w:val="24"/>
        </w:rPr>
        <w:t>一、收入支出决算总表.....................................................................................</w:t>
      </w:r>
      <w:r>
        <w:rPr>
          <w:sz w:val="24"/>
        </w:rPr>
        <w:t>25</w:t>
      </w:r>
    </w:p>
    <w:p>
      <w:pPr>
        <w:pStyle w:val="12"/>
        <w:adjustRightInd w:val="0"/>
        <w:snapToGrid w:val="0"/>
        <w:spacing w:line="440" w:lineRule="exact"/>
        <w:jc w:val="left"/>
        <w:rPr>
          <w:sz w:val="24"/>
        </w:rPr>
      </w:pPr>
      <w:r>
        <w:rPr>
          <w:rFonts w:hint="eastAsia"/>
          <w:sz w:val="24"/>
        </w:rPr>
        <w:t>二、收入决算表.................................................................................................</w:t>
      </w:r>
      <w:r>
        <w:rPr>
          <w:sz w:val="24"/>
        </w:rPr>
        <w:t>25</w:t>
      </w:r>
    </w:p>
    <w:p>
      <w:pPr>
        <w:pStyle w:val="12"/>
        <w:adjustRightInd w:val="0"/>
        <w:snapToGrid w:val="0"/>
        <w:spacing w:line="440" w:lineRule="exact"/>
        <w:jc w:val="left"/>
        <w:rPr>
          <w:sz w:val="24"/>
        </w:rPr>
      </w:pPr>
      <w:r>
        <w:rPr>
          <w:rFonts w:hint="eastAsia"/>
          <w:sz w:val="24"/>
        </w:rPr>
        <w:t>三、支出决算表..................................................................................................</w:t>
      </w:r>
      <w:r>
        <w:rPr>
          <w:sz w:val="24"/>
        </w:rPr>
        <w:t>25</w:t>
      </w:r>
    </w:p>
    <w:p>
      <w:pPr>
        <w:pStyle w:val="12"/>
        <w:adjustRightInd w:val="0"/>
        <w:snapToGrid w:val="0"/>
        <w:spacing w:line="440" w:lineRule="exact"/>
        <w:jc w:val="left"/>
        <w:rPr>
          <w:sz w:val="24"/>
        </w:rPr>
      </w:pPr>
      <w:r>
        <w:rPr>
          <w:rFonts w:hint="eastAsia"/>
          <w:sz w:val="24"/>
        </w:rPr>
        <w:t>四、财政拨款收入支出决算总表......................................................................</w:t>
      </w:r>
      <w:r>
        <w:rPr>
          <w:sz w:val="24"/>
        </w:rPr>
        <w:t>25</w:t>
      </w:r>
    </w:p>
    <w:p>
      <w:pPr>
        <w:pStyle w:val="12"/>
        <w:adjustRightInd w:val="0"/>
        <w:snapToGrid w:val="0"/>
        <w:spacing w:line="440" w:lineRule="exact"/>
        <w:jc w:val="left"/>
        <w:rPr>
          <w:sz w:val="24"/>
        </w:rPr>
      </w:pPr>
      <w:r>
        <w:rPr>
          <w:rFonts w:hint="eastAsia"/>
          <w:sz w:val="24"/>
        </w:rPr>
        <w:t>五、财政拨款支出决算明细表..........................................................................</w:t>
      </w:r>
      <w:r>
        <w:rPr>
          <w:sz w:val="24"/>
        </w:rPr>
        <w:t>25</w:t>
      </w:r>
    </w:p>
    <w:p>
      <w:pPr>
        <w:pStyle w:val="12"/>
        <w:adjustRightInd w:val="0"/>
        <w:snapToGrid w:val="0"/>
        <w:spacing w:line="440" w:lineRule="exact"/>
        <w:jc w:val="left"/>
        <w:rPr>
          <w:sz w:val="24"/>
        </w:rPr>
      </w:pPr>
      <w:r>
        <w:rPr>
          <w:rFonts w:hint="eastAsia"/>
          <w:sz w:val="24"/>
        </w:rPr>
        <w:t>六、一般公共预算财政拨款支出决算表..........................................................</w:t>
      </w:r>
      <w:r>
        <w:rPr>
          <w:sz w:val="24"/>
        </w:rPr>
        <w:t>25</w:t>
      </w:r>
    </w:p>
    <w:p>
      <w:pPr>
        <w:pStyle w:val="12"/>
        <w:adjustRightInd w:val="0"/>
        <w:snapToGrid w:val="0"/>
        <w:spacing w:line="440" w:lineRule="exact"/>
        <w:jc w:val="left"/>
        <w:rPr>
          <w:sz w:val="24"/>
        </w:rPr>
      </w:pPr>
      <w:r>
        <w:rPr>
          <w:rFonts w:hint="eastAsia"/>
          <w:sz w:val="24"/>
        </w:rPr>
        <w:t>七、一般公共预算财政拨款支出决算明细表..................................................</w:t>
      </w:r>
      <w:r>
        <w:rPr>
          <w:sz w:val="24"/>
        </w:rPr>
        <w:t>25</w:t>
      </w:r>
    </w:p>
    <w:p>
      <w:pPr>
        <w:pStyle w:val="12"/>
        <w:adjustRightInd w:val="0"/>
        <w:snapToGrid w:val="0"/>
        <w:spacing w:line="440" w:lineRule="exact"/>
        <w:jc w:val="left"/>
        <w:rPr>
          <w:sz w:val="24"/>
        </w:rPr>
      </w:pPr>
      <w:r>
        <w:rPr>
          <w:rFonts w:hint="eastAsia"/>
          <w:sz w:val="24"/>
        </w:rPr>
        <w:t>八、一般公共预算财政拨款基本支出决算表..................................................2</w:t>
      </w:r>
      <w:r>
        <w:rPr>
          <w:sz w:val="24"/>
        </w:rPr>
        <w:t>5</w:t>
      </w:r>
    </w:p>
    <w:p>
      <w:pPr>
        <w:pStyle w:val="12"/>
        <w:adjustRightInd w:val="0"/>
        <w:snapToGrid w:val="0"/>
        <w:spacing w:line="440" w:lineRule="exact"/>
        <w:jc w:val="left"/>
        <w:rPr>
          <w:sz w:val="24"/>
        </w:rPr>
      </w:pPr>
      <w:r>
        <w:rPr>
          <w:rFonts w:hint="eastAsia"/>
          <w:sz w:val="24"/>
        </w:rPr>
        <w:t>九、一般公共预算财政拨款项目支出决算表..................................................2</w:t>
      </w:r>
      <w:r>
        <w:rPr>
          <w:sz w:val="24"/>
        </w:rPr>
        <w:t>5</w:t>
      </w:r>
    </w:p>
    <w:p>
      <w:pPr>
        <w:pStyle w:val="12"/>
        <w:adjustRightInd w:val="0"/>
        <w:snapToGrid w:val="0"/>
        <w:spacing w:line="440" w:lineRule="exact"/>
        <w:jc w:val="left"/>
        <w:rPr>
          <w:sz w:val="24"/>
        </w:rPr>
      </w:pPr>
      <w:r>
        <w:rPr>
          <w:rFonts w:hint="eastAsia"/>
          <w:sz w:val="24"/>
        </w:rPr>
        <w:t>十、一般公共预算财政拨款“三公”经费支出决算表.................................2</w:t>
      </w:r>
      <w:r>
        <w:rPr>
          <w:sz w:val="24"/>
        </w:rPr>
        <w:t>5</w:t>
      </w:r>
    </w:p>
    <w:p>
      <w:pPr>
        <w:pStyle w:val="12"/>
        <w:adjustRightInd w:val="0"/>
        <w:snapToGrid w:val="0"/>
        <w:spacing w:line="440" w:lineRule="exact"/>
        <w:jc w:val="left"/>
        <w:rPr>
          <w:sz w:val="24"/>
        </w:rPr>
      </w:pPr>
      <w:r>
        <w:rPr>
          <w:rFonts w:hint="eastAsia"/>
          <w:sz w:val="24"/>
        </w:rPr>
        <w:t>十一、政府性基金预算财政拨款收入支出决算表.........................................2</w:t>
      </w:r>
      <w:r>
        <w:rPr>
          <w:sz w:val="24"/>
        </w:rPr>
        <w:t>5</w:t>
      </w:r>
    </w:p>
    <w:p>
      <w:pPr>
        <w:pStyle w:val="12"/>
        <w:adjustRightInd w:val="0"/>
        <w:snapToGrid w:val="0"/>
        <w:spacing w:line="440" w:lineRule="exact"/>
        <w:jc w:val="left"/>
        <w:rPr>
          <w:sz w:val="24"/>
        </w:rPr>
      </w:pPr>
      <w:r>
        <w:rPr>
          <w:rFonts w:hint="eastAsia"/>
          <w:sz w:val="24"/>
        </w:rPr>
        <w:t>十二、政府性基金预算财政拨款“三公”经费支出决算表.........................2</w:t>
      </w:r>
      <w:r>
        <w:rPr>
          <w:sz w:val="24"/>
        </w:rPr>
        <w:t>5</w:t>
      </w:r>
    </w:p>
    <w:p>
      <w:pPr>
        <w:pStyle w:val="12"/>
        <w:adjustRightInd w:val="0"/>
        <w:snapToGrid w:val="0"/>
        <w:spacing w:line="440" w:lineRule="exact"/>
        <w:jc w:val="left"/>
        <w:rPr>
          <w:sz w:val="24"/>
        </w:rPr>
      </w:pPr>
      <w:r>
        <w:rPr>
          <w:rFonts w:hint="eastAsia"/>
          <w:sz w:val="24"/>
        </w:rPr>
        <w:t>十三、国有资本经营预算财政拨款收入支出决算表.....................................2</w:t>
      </w:r>
      <w:r>
        <w:rPr>
          <w:sz w:val="24"/>
        </w:rPr>
        <w:t>5</w:t>
      </w:r>
    </w:p>
    <w:p>
      <w:pPr>
        <w:pStyle w:val="12"/>
        <w:adjustRightInd w:val="0"/>
        <w:snapToGrid w:val="0"/>
        <w:spacing w:line="440" w:lineRule="exact"/>
        <w:jc w:val="left"/>
        <w:rPr>
          <w:sz w:val="24"/>
        </w:rPr>
      </w:pPr>
      <w:r>
        <w:rPr>
          <w:rFonts w:hint="eastAsia"/>
          <w:sz w:val="24"/>
        </w:rPr>
        <w:t>十四、国有资本经营预算财政拨款支出决算表............................................ 2</w:t>
      </w:r>
      <w:r>
        <w:rPr>
          <w:sz w:val="24"/>
        </w:rPr>
        <w:t>5</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6"/>
          <w:rFonts w:ascii="黑体" w:hAnsi="黑体" w:eastAsia="黑体"/>
          <w:b/>
          <w:bCs w:val="0"/>
        </w:rPr>
      </w:pPr>
      <w:r>
        <w:rPr>
          <w:rFonts w:hint="eastAsia" w:ascii="黑体" w:hAnsi="黑体" w:eastAsia="黑体"/>
          <w:b w:val="0"/>
        </w:rPr>
        <w:t>第一部分 单位</w:t>
      </w:r>
      <w:r>
        <w:rPr>
          <w:rStyle w:val="26"/>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rPr>
          <w:rStyle w:val="27"/>
          <w:rFonts w:ascii="黑体" w:hAnsi="黑体" w:eastAsia="黑体"/>
          <w:b w:val="0"/>
          <w:bCs w:val="0"/>
        </w:rPr>
      </w:pPr>
      <w:bookmarkStart w:id="14" w:name="_Toc15377197"/>
      <w:bookmarkStart w:id="15" w:name="_Toc15396600"/>
      <w:r>
        <w:rPr>
          <w:rStyle w:val="27"/>
          <w:rFonts w:hint="eastAsia" w:ascii="黑体" w:hAnsi="黑体" w:eastAsia="黑体"/>
          <w:b w:val="0"/>
          <w:bCs w:val="0"/>
        </w:rPr>
        <w:t>一、职能简介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1.国内外科技发展动态研究；全市科技发展战略研究；产业发展关键技术预见研究；全市科技体制和科技发展政策研究；科技创新体系研究。</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2.科技专项调研；公共科技信息开发利用；市科技进步动态监测；负责重大科技项目的评价；科技刊物编辑出版。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3.协助编制全市科技发展规划；协助市科技计划项目的招投标；协助完成各项科技统计，并编写科技统计汇编。</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4.承担上级部门交办的其他任务。</w:t>
      </w:r>
    </w:p>
    <w:p>
      <w:pPr>
        <w:pStyle w:val="4"/>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（一）健全组织架构，优化内部管理</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搭建班子，优结构</w:t>
      </w:r>
      <w:r>
        <w:rPr>
          <w:rFonts w:hint="eastAsia" w:ascii="仿宋" w:hAnsi="仿宋" w:eastAsia="仿宋"/>
          <w:sz w:val="32"/>
          <w:szCs w:val="32"/>
        </w:rPr>
        <w:t>　在局党组统筹下，提拔所长和副所长各1名健全了领导班子，提拔1名副科级干部，组织开展中层干部轮岗，组织完成3名同志高级专业技术岗位晋升，新招考入职2名职工，先后外派5名同志顶岗锻炼，优化组织架构和职级结构。</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建章立制，优管理</w:t>
      </w:r>
      <w:r>
        <w:rPr>
          <w:rFonts w:hint="eastAsia" w:ascii="仿宋" w:hAnsi="仿宋" w:eastAsia="仿宋"/>
          <w:sz w:val="32"/>
          <w:szCs w:val="32"/>
        </w:rPr>
        <w:t>　逐步完善各项规章制度，规范了财务报销、请销假等制度，新出台职工慰问等规定，内控制度的优化带动了管理科学化。</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（2）发挥职能作用，强化工作业绩</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立足本职抓好战略研究工作</w:t>
      </w:r>
      <w:r>
        <w:rPr>
          <w:rFonts w:hint="eastAsia" w:ascii="仿宋" w:hAnsi="仿宋" w:eastAsia="仿宋"/>
          <w:sz w:val="32"/>
          <w:szCs w:val="32"/>
        </w:rPr>
        <w:t>　采取抓项目、建团队、夯基础、强合作等系列创新举措，战略研究工作取得新突破。一是项目来源有效拓展。成功获批2项市社科联项目，其中1项被列为重点项目；成功申报1项四川钒钛产业发展研究中心2021年度开放项目，打破了以往只有科技计划项目的局面。二是对外交流新机制显成效。与省社科院进行对接，成功引入该院一位博士到我所挂职交流，开启了后续合作的良好开端。与攀研院技术发展研究中心达成合作意向，在项目研究、刊物编辑出版、人才培养等方面开展合作。与攀枝花学院合作研发项目，形成了长期稳定的合作关系。三是研究基础进一步夯实。充分利用各种信息数据库，在产业发展、宏观政策、科技发展、金融信贷等方面提供全方位的信息收集及专项分析服务。四是战略研究成效明显。全年共实施战略研究项目9项，围绕全市科技发展战略部署，编制完成市“十四五”和中长期科技发展规划;围绕区域创新体系建设和经济发展，开展7项战略研究，其中，省级项目2项，市级项目5项。通过实战研究，一批中青年人才研究能力得到提升，研究团队效应初显。</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探索战略研究成果的拓展运用</w:t>
      </w:r>
      <w:r>
        <w:rPr>
          <w:rFonts w:hint="eastAsia" w:ascii="仿宋" w:hAnsi="仿宋" w:eastAsia="仿宋"/>
          <w:sz w:val="32"/>
          <w:szCs w:val="32"/>
        </w:rPr>
        <w:t>　探索将战略研究成果逐步转变成决策要参，尝试编辑《攻关》，聚焦当前产业发展的焦点、难点，每期设定一个主题，围绕主题进行深入分析，汇集业界主要观点，全球行业概况、本市攻关情况和行业专家建议，为市领导提供决策参考。目前已编辑2期，第3期正在编辑中。与此同时，组织专人开展乡村振兴、钒钛及康养产业、科技创新等领域专题调研，形成了4篇政务调研报告。</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稳步推进常规工作</w:t>
      </w:r>
      <w:r>
        <w:rPr>
          <w:rFonts w:hint="eastAsia" w:ascii="仿宋" w:hAnsi="仿宋" w:eastAsia="仿宋"/>
          <w:sz w:val="32"/>
          <w:szCs w:val="32"/>
        </w:rPr>
        <w:t>　一是项目管理。加强对市级科技计划项目的管理，全市纳入验收管理的1224项项目，累计已结题验收1107项，验收率达90.4%，加强已验收项目上档案清理，累计存档700余份。完成2021年度市科技计划项目和指导性项目的申报。加强省市科研项目的中期管理，对钢城企业公司的在研项目进行了中期检查和现场指导。二是科技期刊编辑。报送7期《钒钛科技动态》，完成全年4期《攀枝花科技与信息》编辑、出版、发行，全年在封二版面宣传四期重大科技活动，彰显刊物公益特征，助力全市科技扩大影响力。三是科技统计。开展国家科技统计数据调查并定期在线上报。开展省科技统计要求的规下高企、科技服务业、科技成果等相关数据统计，并完成季报和年报。按市年鉴要求，统计相关科技数据并报市政府。按市统计国民经济快报要求，开展全市科技综合统计并定期报送。编制《2020年度科技发展报告》。</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积极承接局重点工作</w:t>
      </w:r>
      <w:r>
        <w:rPr>
          <w:rFonts w:hint="eastAsia" w:ascii="仿宋" w:hAnsi="仿宋" w:eastAsia="仿宋"/>
          <w:sz w:val="32"/>
          <w:szCs w:val="32"/>
        </w:rPr>
        <w:t>　一是参与重大会议筹备。主要负责会议领导讲话代拟稿和会议重要战略部署性文件的起草，全年共计起草代拟稿7篇、战略部署性文件2篇。分别是：钒钛资源综合利用院士专题对接会、攀西战略资源创新开发试验区第五次部省联席会议的省市级领导讲话稿，市委十届十三次全会、市委十一届二次全会“决定”中科技创新内容起草。二是参与重大专项工作。梳理全市五十余年的科技攻关情况，编写了《攀枝花市科技攻关史》，全面涵盖工业、农业和社会领域。参与历史文化名城创建工作。参与氢能产业发展专项工作，梳理攀枝花市氢能产业未来技术发展方向、技术需求以及在研项目，参与3项相关汇报材料起草。三是编写其他材料。先后完成2020年度高质量发展分析材料、“十三五”规划纲要总结评估报告、政府约稿“关于国家科技创新的政策诉求”、攀枝花市2049科技创新总体设想、局2021年工作总结及2022年工作安排等。每周按时上报工作简报，2</w:t>
      </w:r>
      <w:r>
        <w:rPr>
          <w:rFonts w:ascii="仿宋" w:hAnsi="仿宋" w:eastAsia="仿宋"/>
          <w:sz w:val="32"/>
          <w:szCs w:val="32"/>
        </w:rPr>
        <w:t>021</w:t>
      </w:r>
      <w:r>
        <w:rPr>
          <w:rFonts w:hint="eastAsia" w:ascii="仿宋" w:hAnsi="仿宋" w:eastAsia="仿宋"/>
          <w:sz w:val="32"/>
          <w:szCs w:val="32"/>
        </w:rPr>
        <w:t>年共上报18期，9期被推送至局官网。</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加强党建工作，强化“一岗双责”及党风廉政建设</w:t>
      </w:r>
      <w:r>
        <w:rPr>
          <w:rFonts w:hint="eastAsia" w:ascii="仿宋" w:hAnsi="仿宋" w:eastAsia="仿宋"/>
          <w:sz w:val="32"/>
          <w:szCs w:val="32"/>
        </w:rPr>
        <w:t>　一是常态化开展党史学习教育</w:t>
      </w:r>
      <w:bookmarkStart w:id="67" w:name="_GoBack"/>
      <w:bookmarkEnd w:id="67"/>
      <w:r>
        <w:rPr>
          <w:rFonts w:hint="eastAsia" w:ascii="仿宋" w:hAnsi="仿宋" w:eastAsia="仿宋"/>
          <w:sz w:val="32"/>
          <w:szCs w:val="32"/>
        </w:rPr>
        <w:t>。积极参与局系统“观影学党史”主题党日活动、党史知识竞赛、观看红色影视等“五个一”学习活动；积极参加局党组中心组学习，充分利用“学习强国”等平台，增加职工自我学习意识。二是责任层层落实，层层监管。严格执行“三重一大”集体决策和民主集中，实行内部事务公开制，认真落实“领导干部有关事项报告制度”；结合科室职责，就加强自身修养、廉洁自律并起好带头表率作用与中层干部定期或不定期进行交流谈心，及时了解职工工作、生活和廉政自律情况，听取职工对单位、所在科室廉政建设和发展的意见建议，严格职工党风廉政的警示，以及履行工作职责的明确要求，做到预防在先、警示在先；坚持经常性检查与重点督查相结合，从源头上推进反腐倡廉各项工作的落实。三是深入开展“当公仆、办实事”和“送温暖解忧难、办实事”活动，密切党群关系。配合市局安排专人驻村帮扶温泉乡肖家坪村。四是开展财务专项整改。针对2011～2020年度财务收支情况，根据审计查出的13类38个问题1235项条目逐条整改，并在请销假、职工慰问、财务报销等三个方面进行了进一步规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下一步，我们将在制度完善、人才团队培养等方面下功夫，不断优环境、化管理，保障各项工作更上新台阶。</w:t>
      </w:r>
    </w:p>
    <w:p>
      <w:pPr>
        <w:spacing w:line="600" w:lineRule="exact"/>
        <w:ind w:firstLine="640" w:firstLineChars="200"/>
        <w:rPr>
          <w:rFonts w:hint="eastAsia" w:ascii="黑体" w:hAnsi="黑体" w:eastAsia="黑体" w:cstheme="majorBidi"/>
          <w:bCs/>
          <w:sz w:val="32"/>
          <w:szCs w:val="32"/>
        </w:rPr>
      </w:pPr>
      <w:r>
        <w:rPr>
          <w:rFonts w:hint="eastAsia" w:ascii="黑体" w:hAnsi="黑体" w:eastAsia="黑体" w:cstheme="majorBidi"/>
          <w:bCs/>
          <w:sz w:val="32"/>
          <w:szCs w:val="32"/>
        </w:rPr>
        <w:t>三、机构设置</w:t>
      </w:r>
    </w:p>
    <w:p>
      <w:pPr>
        <w:pStyle w:val="6"/>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攀枝花市科技发展战略研究所属攀枝花市科学技术局部门下属的二级预算单位，下设独立编制机构1个，其中行政机构0个，参照公务员法管理的事业机构0个，其他事业机构1个。</w:t>
      </w:r>
    </w:p>
    <w:p>
      <w:pPr>
        <w:pStyle w:val="6"/>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纳入2021年度单位决算编制范围的独立编制机构包括：攀枝花市科技发展战略研究所。</w:t>
      </w:r>
    </w:p>
    <w:p>
      <w:pPr>
        <w:pStyle w:val="2"/>
        <w:spacing w:before="93"/>
        <w:rPr>
          <w:rFonts w:ascii="Times New Roman"/>
          <w:kern w:val="2"/>
          <w:sz w:val="32"/>
          <w:szCs w:val="32"/>
        </w:rPr>
      </w:pPr>
    </w:p>
    <w:p>
      <w:pPr>
        <w:pStyle w:val="2"/>
        <w:spacing w:before="93"/>
      </w:pPr>
    </w:p>
    <w:p>
      <w:pPr>
        <w:spacing w:line="600" w:lineRule="exact"/>
        <w:ind w:firstLine="640" w:firstLineChars="200"/>
        <w:rPr>
          <w:rFonts w:ascii="仿宋" w:hAnsi="仿宋" w:eastAsia="仿宋"/>
          <w:sz w:val="32"/>
          <w:szCs w:val="32"/>
        </w:rPr>
      </w:pPr>
      <w:bookmarkStart w:id="16" w:name="_Toc15377204"/>
      <w:bookmarkStart w:id="17" w:name="_Toc15396602"/>
      <w:r>
        <w:rPr>
          <w:rFonts w:hint="eastAsia" w:ascii="仿宋" w:hAnsi="仿宋" w:eastAsia="仿宋"/>
          <w:sz w:val="32"/>
          <w:szCs w:val="32"/>
        </w:rPr>
        <w:br w:type="page"/>
      </w:r>
    </w:p>
    <w:p>
      <w:pPr>
        <w:pStyle w:val="3"/>
        <w:ind w:right="440"/>
        <w:jc w:val="center"/>
        <w:rPr>
          <w:rStyle w:val="26"/>
          <w:rFonts w:ascii="黑体" w:hAnsi="黑体" w:eastAsia="黑体"/>
          <w:b w:val="0"/>
          <w:bCs/>
        </w:rPr>
      </w:pPr>
      <w:r>
        <w:rPr>
          <w:rFonts w:hint="eastAsia" w:ascii="黑体" w:hAnsi="黑体" w:eastAsia="黑体"/>
          <w:b w:val="0"/>
        </w:rPr>
        <w:t>第二部分 2021年度</w:t>
      </w:r>
      <w:r>
        <w:rPr>
          <w:rStyle w:val="26"/>
          <w:rFonts w:hint="eastAsia" w:ascii="黑体" w:hAnsi="黑体" w:eastAsia="黑体"/>
          <w:b w:val="0"/>
          <w:bCs/>
        </w:rPr>
        <w:t>单位决算情况说明</w:t>
      </w:r>
      <w:bookmarkEnd w:id="16"/>
      <w:bookmarkEnd w:id="17"/>
    </w:p>
    <w:p/>
    <w:p>
      <w:pPr>
        <w:pStyle w:val="25"/>
        <w:numPr>
          <w:ilvl w:val="0"/>
          <w:numId w:val="1"/>
        </w:numPr>
        <w:spacing w:line="600" w:lineRule="exact"/>
        <w:ind w:firstLineChars="0"/>
        <w:outlineLvl w:val="1"/>
        <w:rPr>
          <w:rStyle w:val="27"/>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7"/>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2021年度收、支总计422.03万元。与2020年相比，收入总计各增加9.18万元，增长2.22</w:t>
      </w:r>
      <w:r>
        <w:rPr>
          <w:rFonts w:ascii="仿宋" w:hAnsi="仿宋" w:eastAsia="仿宋"/>
          <w:sz w:val="32"/>
          <w:szCs w:val="32"/>
        </w:rPr>
        <w:t>%</w:t>
      </w:r>
      <w:r>
        <w:rPr>
          <w:rFonts w:hint="eastAsia" w:ascii="仿宋" w:hAnsi="仿宋" w:eastAsia="仿宋"/>
          <w:sz w:val="32"/>
          <w:szCs w:val="32"/>
        </w:rPr>
        <w:t>；支出总计各减少2.72万元，下降0.64</w:t>
      </w:r>
      <w:r>
        <w:rPr>
          <w:rFonts w:ascii="仿宋" w:hAnsi="仿宋" w:eastAsia="仿宋"/>
          <w:sz w:val="32"/>
          <w:szCs w:val="32"/>
        </w:rPr>
        <w:t>%</w:t>
      </w:r>
      <w:r>
        <w:rPr>
          <w:rFonts w:hint="eastAsia" w:ascii="仿宋" w:hAnsi="仿宋" w:eastAsia="仿宋"/>
          <w:sz w:val="32"/>
          <w:szCs w:val="32"/>
        </w:rPr>
        <w:t>。主要变动原因是本年项目减少。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207645</wp:posOffset>
            </wp:positionV>
            <wp:extent cx="4245610" cy="2417445"/>
            <wp:effectExtent l="0" t="0" r="2540" b="1905"/>
            <wp:wrapSquare wrapText="bothSides"/>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4245610" cy="2417445"/>
                    </a:xfrm>
                    <a:prstGeom prst="rect">
                      <a:avLst/>
                    </a:prstGeom>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5"/>
        <w:numPr>
          <w:ilvl w:val="0"/>
          <w:numId w:val="1"/>
        </w:numPr>
        <w:spacing w:line="600" w:lineRule="exact"/>
        <w:ind w:firstLineChars="0"/>
        <w:outlineLvl w:val="1"/>
        <w:rPr>
          <w:rStyle w:val="27"/>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7"/>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21年本年收入合计422.03万元，其中：一般公共预算财政拨款收入407.99万元，占96.67</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；其他收入14.04万元，占3.33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497205</wp:posOffset>
            </wp:positionH>
            <wp:positionV relativeFrom="paragraph">
              <wp:posOffset>247650</wp:posOffset>
            </wp:positionV>
            <wp:extent cx="4108450" cy="2469515"/>
            <wp:effectExtent l="0" t="0" r="6350" b="6985"/>
            <wp:wrapSquare wrapText="bothSides"/>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7"/>
                    <a:stretch>
                      <a:fillRect/>
                    </a:stretch>
                  </pic:blipFill>
                  <pic:spPr>
                    <a:xfrm>
                      <a:off x="0" y="0"/>
                      <a:ext cx="4108450" cy="2469515"/>
                    </a:xfrm>
                    <a:prstGeom prst="rect">
                      <a:avLst/>
                    </a:prstGeom>
                  </pic:spPr>
                </pic:pic>
              </a:graphicData>
            </a:graphic>
          </wp:anchor>
        </w:drawing>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r>
        <w:rPr>
          <w:rFonts w:hint="eastAsia" w:ascii="仿宋" w:hAnsi="仿宋" w:eastAsia="仿宋"/>
          <w:sz w:val="32"/>
          <w:szCs w:val="32"/>
        </w:rPr>
        <w:t>图2：收入决算结构图</w:t>
      </w:r>
    </w:p>
    <w:p>
      <w:pPr>
        <w:pStyle w:val="25"/>
        <w:numPr>
          <w:ilvl w:val="0"/>
          <w:numId w:val="1"/>
        </w:numPr>
        <w:spacing w:line="600" w:lineRule="exact"/>
        <w:ind w:firstLineChars="0"/>
        <w:outlineLvl w:val="1"/>
        <w:rPr>
          <w:rStyle w:val="27"/>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7"/>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21年本年支出合计422.03万元，其中：基本支出390.05万元，占92.42</w:t>
      </w:r>
      <w:r>
        <w:rPr>
          <w:rFonts w:ascii="仿宋" w:hAnsi="仿宋" w:eastAsia="仿宋"/>
          <w:sz w:val="32"/>
          <w:szCs w:val="32"/>
        </w:rPr>
        <w:t>%</w:t>
      </w:r>
      <w:r>
        <w:rPr>
          <w:rFonts w:hint="eastAsia" w:ascii="仿宋" w:hAnsi="仿宋" w:eastAsia="仿宋"/>
          <w:sz w:val="32"/>
          <w:szCs w:val="32"/>
        </w:rPr>
        <w:t>；项目支出31.99万元，占7.58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shd w:val="pct10" w:color="auto" w:fill="FFFFFF"/>
        </w:rPr>
      </w:pPr>
      <w:r>
        <w:rPr>
          <w:rFonts w:hint="eastAsia" w:ascii="仿宋" w:hAnsi="仿宋" w:eastAsia="仿宋"/>
          <w:sz w:val="32"/>
          <w:szCs w:val="32"/>
          <w:shd w:val="pct10" w:color="auto" w:fill="FFFFFF"/>
        </w:rPr>
        <w:drawing>
          <wp:anchor distT="0" distB="0" distL="114300" distR="114300" simplePos="0" relativeHeight="251661312" behindDoc="0" locked="0" layoutInCell="1" allowOverlap="1">
            <wp:simplePos x="0" y="0"/>
            <wp:positionH relativeFrom="column">
              <wp:posOffset>984250</wp:posOffset>
            </wp:positionH>
            <wp:positionV relativeFrom="paragraph">
              <wp:posOffset>194310</wp:posOffset>
            </wp:positionV>
            <wp:extent cx="3404870" cy="2193290"/>
            <wp:effectExtent l="0" t="0" r="5080" b="16510"/>
            <wp:wrapSquare wrapText="bothSides"/>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8"/>
                    <a:stretch>
                      <a:fillRect/>
                    </a:stretch>
                  </pic:blipFill>
                  <pic:spPr>
                    <a:xfrm>
                      <a:off x="0" y="0"/>
                      <a:ext cx="3404870" cy="2193290"/>
                    </a:xfrm>
                    <a:prstGeom prst="rect">
                      <a:avLst/>
                    </a:prstGeom>
                  </pic:spPr>
                </pic:pic>
              </a:graphicData>
            </a:graphic>
          </wp:anchor>
        </w:drawing>
      </w: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spacing w:line="600" w:lineRule="exact"/>
        <w:jc w:val="center"/>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outlineLvl w:val="1"/>
        <w:rPr>
          <w:rFonts w:ascii="黑体" w:hAnsi="黑体" w:eastAsia="黑体"/>
          <w:sz w:val="32"/>
          <w:szCs w:val="32"/>
        </w:rPr>
      </w:pPr>
      <w:bookmarkStart w:id="24" w:name="_Toc15377208"/>
      <w:bookmarkStart w:id="25" w:name="_Toc15396606"/>
    </w:p>
    <w:p>
      <w:pPr>
        <w:spacing w:line="600" w:lineRule="exact"/>
        <w:ind w:firstLine="640" w:firstLineChars="200"/>
        <w:outlineLvl w:val="1"/>
        <w:rPr>
          <w:rStyle w:val="27"/>
          <w:rFonts w:ascii="黑体" w:hAnsi="黑体" w:eastAsia="黑体"/>
          <w:b w:val="0"/>
        </w:rPr>
      </w:pPr>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21年财政拨款收、支总计407.99万元。与</w:t>
      </w:r>
      <w:r>
        <w:rPr>
          <w:rFonts w:ascii="仿宋" w:hAnsi="仿宋" w:eastAsia="仿宋"/>
          <w:sz w:val="32"/>
          <w:szCs w:val="32"/>
        </w:rPr>
        <w:t>20</w:t>
      </w:r>
      <w:r>
        <w:rPr>
          <w:rFonts w:hint="eastAsia" w:ascii="仿宋" w:hAnsi="仿宋" w:eastAsia="仿宋"/>
          <w:sz w:val="32"/>
          <w:szCs w:val="32"/>
        </w:rPr>
        <w:t>20年相比，财政拨款收入总计各增加0.15万元，增长0.04</w:t>
      </w:r>
      <w:r>
        <w:rPr>
          <w:rFonts w:ascii="仿宋" w:hAnsi="仿宋" w:eastAsia="仿宋"/>
          <w:sz w:val="32"/>
          <w:szCs w:val="32"/>
        </w:rPr>
        <w:t>%</w:t>
      </w:r>
      <w:r>
        <w:rPr>
          <w:rFonts w:hint="eastAsia" w:ascii="仿宋" w:hAnsi="仿宋" w:eastAsia="仿宋"/>
          <w:sz w:val="32"/>
          <w:szCs w:val="32"/>
        </w:rPr>
        <w:t>，主要变动原因是有新进人员，人员和公用经费增加；财政拨款支出总计各减少5.03万元，下降1.22</w:t>
      </w:r>
      <w:r>
        <w:rPr>
          <w:rFonts w:ascii="仿宋" w:hAnsi="仿宋" w:eastAsia="仿宋"/>
          <w:sz w:val="32"/>
          <w:szCs w:val="32"/>
        </w:rPr>
        <w:t>%</w:t>
      </w:r>
      <w:r>
        <w:rPr>
          <w:rFonts w:hint="eastAsia" w:ascii="仿宋" w:hAnsi="仿宋" w:eastAsia="仿宋"/>
          <w:sz w:val="32"/>
          <w:szCs w:val="32"/>
        </w:rPr>
        <w:t>，主要变动原因是项目减少。</w:t>
      </w:r>
    </w:p>
    <w:p>
      <w:pPr>
        <w:pStyle w:val="2"/>
        <w:spacing w:before="93"/>
      </w:pPr>
      <w:r>
        <w:rPr>
          <w:rFonts w:hint="eastAsia" w:ascii="仿宋" w:hAnsi="仿宋" w:eastAsia="仿宋"/>
          <w:sz w:val="32"/>
          <w:szCs w:val="32"/>
        </w:rPr>
        <w:drawing>
          <wp:anchor distT="0" distB="0" distL="114300" distR="114300" simplePos="0" relativeHeight="251662336" behindDoc="1" locked="0" layoutInCell="1" allowOverlap="1">
            <wp:simplePos x="0" y="0"/>
            <wp:positionH relativeFrom="column">
              <wp:posOffset>296545</wp:posOffset>
            </wp:positionH>
            <wp:positionV relativeFrom="paragraph">
              <wp:posOffset>122555</wp:posOffset>
            </wp:positionV>
            <wp:extent cx="4888230" cy="2467610"/>
            <wp:effectExtent l="0" t="0" r="7620" b="8890"/>
            <wp:wrapNone/>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9"/>
                    <a:stretch>
                      <a:fillRect/>
                    </a:stretch>
                  </pic:blipFill>
                  <pic:spPr>
                    <a:xfrm>
                      <a:off x="0" y="0"/>
                      <a:ext cx="4888230" cy="2467610"/>
                    </a:xfrm>
                    <a:prstGeom prst="rect">
                      <a:avLst/>
                    </a:prstGeom>
                  </pic:spPr>
                </pic:pic>
              </a:graphicData>
            </a:graphic>
          </wp:anchor>
        </w:drawing>
      </w:r>
    </w:p>
    <w:p>
      <w:pPr>
        <w:pStyle w:val="2"/>
        <w:spacing w:before="93"/>
      </w:pPr>
    </w:p>
    <w:p>
      <w:pPr>
        <w:pStyle w:val="2"/>
        <w:spacing w:before="93"/>
      </w:pPr>
    </w:p>
    <w:p>
      <w:pPr>
        <w:pStyle w:val="2"/>
        <w:spacing w:before="93"/>
      </w:pPr>
    </w:p>
    <w:p>
      <w:pPr>
        <w:pStyle w:val="2"/>
        <w:spacing w:before="93"/>
      </w:pPr>
    </w:p>
    <w:p>
      <w:pPr>
        <w:spacing w:line="600" w:lineRule="exact"/>
        <w:rPr>
          <w:rFonts w:ascii="仿宋" w:hAnsi="仿宋" w:eastAsia="仿宋"/>
          <w:sz w:val="32"/>
          <w:szCs w:val="32"/>
        </w:rPr>
      </w:pPr>
    </w:p>
    <w:p>
      <w:pPr>
        <w:spacing w:line="600" w:lineRule="exact"/>
        <w:jc w:val="center"/>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7"/>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21年一般公共预算财政拨款支出407.99万元，占本年支出合计的96.67</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20年相比，一般公共预算财政拨款支出增加27.97万元，增长7.36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本年项目增加，有</w:t>
      </w:r>
      <w:r>
        <w:rPr>
          <w:rFonts w:hint="eastAsia" w:ascii="仿宋" w:hAnsi="仿宋" w:eastAsia="仿宋"/>
          <w:sz w:val="32"/>
          <w:szCs w:val="32"/>
          <w:lang w:val="en-US" w:eastAsia="zh-CN"/>
        </w:rPr>
        <w:t>3名</w:t>
      </w:r>
      <w:r>
        <w:rPr>
          <w:rFonts w:hint="eastAsia" w:ascii="仿宋" w:hAnsi="仿宋" w:eastAsia="仿宋"/>
          <w:sz w:val="32"/>
          <w:szCs w:val="32"/>
          <w:lang w:eastAsia="zh-CN"/>
        </w:rPr>
        <w:t>调入人员</w:t>
      </w:r>
      <w:r>
        <w:rPr>
          <w:rFonts w:hint="eastAsia" w:ascii="仿宋" w:hAnsi="仿宋" w:eastAsia="仿宋"/>
          <w:color w:val="000000"/>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3360" behindDoc="0" locked="0" layoutInCell="1" allowOverlap="1">
            <wp:simplePos x="0" y="0"/>
            <wp:positionH relativeFrom="column">
              <wp:posOffset>688975</wp:posOffset>
            </wp:positionH>
            <wp:positionV relativeFrom="paragraph">
              <wp:posOffset>200025</wp:posOffset>
            </wp:positionV>
            <wp:extent cx="4202430" cy="2553970"/>
            <wp:effectExtent l="0" t="0" r="7620" b="17780"/>
            <wp:wrapSquare wrapText="bothSides"/>
            <wp:docPr id="5" name="图片 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5"/>
                    <pic:cNvPicPr>
                      <a:picLocks noChangeAspect="1"/>
                    </pic:cNvPicPr>
                  </pic:nvPicPr>
                  <pic:blipFill>
                    <a:blip r:embed="rId10"/>
                    <a:stretch>
                      <a:fillRect/>
                    </a:stretch>
                  </pic:blipFill>
                  <pic:spPr>
                    <a:xfrm>
                      <a:off x="0" y="0"/>
                      <a:ext cx="4202430" cy="2553970"/>
                    </a:xfrm>
                    <a:prstGeom prst="rect">
                      <a:avLst/>
                    </a:prstGeom>
                  </pic:spPr>
                </pic:pic>
              </a:graphicData>
            </a:graphic>
          </wp:anchor>
        </w:drawing>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21年一般公共预算财政拨款支出407.99万元，主要用于以下方面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支出2万元，占0.49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支出306.97万元，占75.24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支出71.87万元，占17.62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；住房保障支出27.16万元，占6.65</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sz w:val="32"/>
          <w:szCs w:val="32"/>
        </w:rPr>
        <w:drawing>
          <wp:anchor distT="0" distB="0" distL="114300" distR="114300" simplePos="0" relativeHeight="251664384" behindDoc="0" locked="0" layoutInCell="1" allowOverlap="1">
            <wp:simplePos x="0" y="0"/>
            <wp:positionH relativeFrom="column">
              <wp:posOffset>861060</wp:posOffset>
            </wp:positionH>
            <wp:positionV relativeFrom="paragraph">
              <wp:posOffset>124460</wp:posOffset>
            </wp:positionV>
            <wp:extent cx="3755390" cy="2418715"/>
            <wp:effectExtent l="0" t="0" r="16510" b="635"/>
            <wp:wrapSquare wrapText="bothSides"/>
            <wp:docPr id="6" name="图片 6"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6"/>
                    <pic:cNvPicPr>
                      <a:picLocks noChangeAspect="1"/>
                    </pic:cNvPicPr>
                  </pic:nvPicPr>
                  <pic:blipFill>
                    <a:blip r:embed="rId11"/>
                    <a:stretch>
                      <a:fillRect/>
                    </a:stretch>
                  </pic:blipFill>
                  <pic:spPr>
                    <a:xfrm>
                      <a:off x="0" y="0"/>
                      <a:ext cx="3755390" cy="2418715"/>
                    </a:xfrm>
                    <a:prstGeom prst="rect">
                      <a:avLst/>
                    </a:prstGeom>
                  </pic:spPr>
                </pic:pic>
              </a:graphicData>
            </a:graphic>
          </wp:anchor>
        </w:drawing>
      </w:r>
    </w:p>
    <w:p>
      <w:pPr>
        <w:pStyle w:val="2"/>
        <w:spacing w:before="93"/>
      </w:pPr>
    </w:p>
    <w:p>
      <w:pPr>
        <w:spacing w:line="600" w:lineRule="exact"/>
        <w:ind w:firstLine="640"/>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jc w:val="center"/>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2021年一般公共预算支出决算数为407.99万元</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一般公共服务（类）组织事务（款）其他组织事务支出（项）</w:t>
      </w:r>
      <w:r>
        <w:rPr>
          <w:rStyle w:val="16"/>
          <w:rFonts w:ascii="仿宋" w:hAnsi="仿宋" w:eastAsia="仿宋"/>
          <w:bCs/>
          <w:sz w:val="32"/>
          <w:szCs w:val="32"/>
        </w:rPr>
        <w:t>:</w:t>
      </w:r>
      <w:r>
        <w:rPr>
          <w:rStyle w:val="16"/>
          <w:rFonts w:hint="eastAsia" w:ascii="仿宋" w:hAnsi="仿宋" w:eastAsia="仿宋"/>
          <w:b w:val="0"/>
          <w:bCs/>
          <w:sz w:val="32"/>
          <w:szCs w:val="32"/>
        </w:rPr>
        <w:t>支出决算为2万元，完成预算100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p>
    <w:p>
      <w:pPr>
        <w:spacing w:line="600" w:lineRule="exact"/>
        <w:ind w:firstLine="643" w:firstLineChars="200"/>
        <w:rPr>
          <w:rStyle w:val="16"/>
          <w:rFonts w:ascii="仿宋" w:hAnsi="仿宋" w:eastAsia="仿宋" w:cstheme="minorBidi"/>
          <w:b w:val="0"/>
          <w:bCs/>
          <w:sz w:val="32"/>
          <w:szCs w:val="32"/>
        </w:rPr>
      </w:pPr>
      <w:r>
        <w:rPr>
          <w:rStyle w:val="16"/>
          <w:rFonts w:hint="eastAsia" w:ascii="仿宋" w:hAnsi="仿宋" w:eastAsia="仿宋"/>
          <w:bCs/>
          <w:sz w:val="32"/>
          <w:szCs w:val="32"/>
        </w:rPr>
        <w:t>2</w:t>
      </w:r>
      <w:r>
        <w:rPr>
          <w:rStyle w:val="16"/>
          <w:rFonts w:ascii="仿宋" w:hAnsi="仿宋" w:eastAsia="仿宋"/>
          <w:bCs/>
          <w:sz w:val="32"/>
          <w:szCs w:val="32"/>
        </w:rPr>
        <w:t>.</w:t>
      </w:r>
      <w:r>
        <w:rPr>
          <w:rStyle w:val="16"/>
          <w:rFonts w:hint="eastAsia" w:ascii="仿宋" w:hAnsi="仿宋" w:eastAsia="仿宋"/>
          <w:bCs/>
          <w:sz w:val="32"/>
          <w:szCs w:val="32"/>
        </w:rPr>
        <w:t>科学技术（类）科技条件与服务（款）机构运行（项）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支出决算为284.79万元，完成预算100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r>
        <w:rPr>
          <w:rStyle w:val="16"/>
          <w:rFonts w:hint="eastAsia" w:ascii="仿宋" w:hAnsi="仿宋" w:eastAsia="仿宋"/>
          <w:bCs/>
          <w:sz w:val="32"/>
          <w:szCs w:val="32"/>
        </w:rPr>
        <w:t>科技条件与服务（款）其他科技条件与服务支出（项）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支出决算为4.19万元，完成预算100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，决算数与预算数持平</w:t>
      </w:r>
      <w:r>
        <w:rPr>
          <w:rStyle w:val="16"/>
          <w:rFonts w:hint="eastAsia" w:ascii="仿宋" w:hAnsi="仿宋" w:eastAsia="仿宋" w:cstheme="minorBidi"/>
          <w:b w:val="0"/>
          <w:bCs/>
          <w:sz w:val="32"/>
          <w:szCs w:val="32"/>
        </w:rPr>
        <w:t>；其他科学技术支出（款）其他科学技术支出（项）:支出决算为17.99万元，完成预算100%，决算数与预算数持平。</w:t>
      </w:r>
    </w:p>
    <w:p>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rPr>
        <w:t>3</w:t>
      </w:r>
      <w:r>
        <w:rPr>
          <w:rStyle w:val="16"/>
          <w:rFonts w:ascii="仿宋" w:hAnsi="仿宋" w:eastAsia="仿宋"/>
          <w:bCs/>
          <w:sz w:val="32"/>
          <w:szCs w:val="32"/>
        </w:rPr>
        <w:t>.</w:t>
      </w:r>
      <w:r>
        <w:rPr>
          <w:rStyle w:val="16"/>
          <w:rFonts w:hint="eastAsia" w:ascii="仿宋" w:hAnsi="仿宋" w:eastAsia="仿宋"/>
          <w:bCs/>
          <w:sz w:val="32"/>
          <w:szCs w:val="32"/>
        </w:rPr>
        <w:t>社会保障和就业（类）人力资源和社会保障管理事务（款）其他人力资源和社会保障管理事务支出（项）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支出决算为7.2万元，</w:t>
      </w:r>
      <w:r>
        <w:rPr>
          <w:rStyle w:val="16"/>
          <w:rFonts w:hint="eastAsia" w:ascii="仿宋" w:hAnsi="仿宋" w:eastAsia="仿宋" w:cstheme="minorBidi"/>
          <w:b w:val="0"/>
          <w:bCs/>
          <w:sz w:val="32"/>
          <w:szCs w:val="32"/>
        </w:rPr>
        <w:t>完成预算100%，决算数与预算数持平</w:t>
      </w:r>
      <w:r>
        <w:rPr>
          <w:rStyle w:val="16"/>
          <w:rFonts w:hint="eastAsia" w:ascii="仿宋" w:hAnsi="仿宋" w:eastAsia="仿宋"/>
          <w:b w:val="0"/>
          <w:bCs/>
          <w:sz w:val="32"/>
          <w:szCs w:val="32"/>
        </w:rPr>
        <w:t>；</w:t>
      </w:r>
      <w:r>
        <w:rPr>
          <w:rStyle w:val="16"/>
          <w:rFonts w:hint="eastAsia" w:ascii="仿宋" w:hAnsi="仿宋" w:eastAsia="仿宋"/>
          <w:bCs/>
          <w:sz w:val="32"/>
          <w:szCs w:val="32"/>
        </w:rPr>
        <w:t>行政事业单位养老支出（款）事业单位离退休（项）</w:t>
      </w:r>
      <w:r>
        <w:rPr>
          <w:rStyle w:val="16"/>
          <w:rFonts w:hint="eastAsia" w:ascii="仿宋" w:hAnsi="仿宋" w:eastAsia="仿宋"/>
          <w:b w:val="0"/>
          <w:bCs/>
          <w:sz w:val="32"/>
          <w:szCs w:val="32"/>
        </w:rPr>
        <w:t>支出决算为40.07万元，</w:t>
      </w:r>
      <w:r>
        <w:rPr>
          <w:rStyle w:val="16"/>
          <w:rFonts w:hint="eastAsia" w:ascii="仿宋" w:hAnsi="仿宋" w:eastAsia="仿宋" w:cstheme="minorBidi"/>
          <w:b w:val="0"/>
          <w:bCs/>
          <w:sz w:val="32"/>
          <w:szCs w:val="32"/>
        </w:rPr>
        <w:t>完成预算100%，决算数与预算数持平；</w:t>
      </w:r>
      <w:r>
        <w:rPr>
          <w:rStyle w:val="16"/>
          <w:rFonts w:hint="eastAsia" w:ascii="仿宋" w:hAnsi="仿宋" w:eastAsia="仿宋"/>
          <w:bCs/>
          <w:sz w:val="32"/>
          <w:szCs w:val="32"/>
        </w:rPr>
        <w:t>行政事业单位养老支出（款）机关事业单位基本养老保险缴费支出（项）</w:t>
      </w:r>
      <w:r>
        <w:rPr>
          <w:rStyle w:val="16"/>
          <w:rFonts w:hint="eastAsia" w:ascii="仿宋" w:hAnsi="仿宋" w:eastAsia="仿宋"/>
          <w:b w:val="0"/>
          <w:bCs/>
          <w:sz w:val="32"/>
          <w:szCs w:val="32"/>
        </w:rPr>
        <w:t>支出决算为24.6万元，</w:t>
      </w:r>
      <w:r>
        <w:rPr>
          <w:rStyle w:val="16"/>
          <w:rFonts w:hint="eastAsia" w:ascii="仿宋" w:hAnsi="仿宋" w:eastAsia="仿宋" w:cstheme="minorBidi"/>
          <w:b w:val="0"/>
          <w:bCs/>
          <w:sz w:val="32"/>
          <w:szCs w:val="32"/>
        </w:rPr>
        <w:t>完成预算100%，决算数与预算数持平。</w:t>
      </w:r>
    </w:p>
    <w:p>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sz w:val="32"/>
          <w:szCs w:val="32"/>
        </w:rPr>
        <w:t>4</w:t>
      </w:r>
      <w:r>
        <w:rPr>
          <w:rStyle w:val="16"/>
          <w:rFonts w:ascii="仿宋" w:hAnsi="仿宋" w:eastAsia="仿宋" w:cstheme="minorBidi"/>
          <w:bCs/>
          <w:sz w:val="32"/>
          <w:szCs w:val="32"/>
        </w:rPr>
        <w:t>.住</w:t>
      </w:r>
      <w:r>
        <w:rPr>
          <w:rFonts w:eastAsia="仿宋"/>
          <w:b/>
          <w:bCs/>
          <w:color w:val="000000"/>
          <w:sz w:val="32"/>
          <w:szCs w:val="32"/>
        </w:rPr>
        <w:t>房保障支出</w:t>
      </w:r>
      <w:r>
        <w:rPr>
          <w:rStyle w:val="16"/>
          <w:rFonts w:eastAsia="仿宋"/>
          <w:bCs/>
          <w:color w:val="000000"/>
          <w:sz w:val="32"/>
          <w:szCs w:val="32"/>
        </w:rPr>
        <w:t>（类）住房改革支出（款）住房公积金（项）:</w:t>
      </w:r>
      <w:r>
        <w:rPr>
          <w:rStyle w:val="16"/>
          <w:rFonts w:ascii="仿宋" w:hAnsi="仿宋" w:eastAsia="仿宋"/>
          <w:b w:val="0"/>
          <w:bCs/>
          <w:color w:val="000000"/>
          <w:sz w:val="32"/>
          <w:szCs w:val="32"/>
        </w:rPr>
        <w:t>支出决算为</w:t>
      </w:r>
      <w:r>
        <w:rPr>
          <w:rStyle w:val="16"/>
          <w:rFonts w:hint="eastAsia" w:ascii="仿宋" w:hAnsi="仿宋" w:eastAsia="仿宋"/>
          <w:b w:val="0"/>
          <w:bCs/>
          <w:color w:val="000000"/>
          <w:sz w:val="32"/>
          <w:szCs w:val="32"/>
        </w:rPr>
        <w:t>27.16</w:t>
      </w:r>
      <w:r>
        <w:rPr>
          <w:rStyle w:val="16"/>
          <w:rFonts w:ascii="仿宋" w:hAnsi="仿宋" w:eastAsia="仿宋"/>
          <w:b w:val="0"/>
          <w:bCs/>
          <w:color w:val="000000"/>
          <w:sz w:val="32"/>
          <w:szCs w:val="32"/>
        </w:rPr>
        <w:t>万元，完成预算100%，</w:t>
      </w:r>
      <w:r>
        <w:rPr>
          <w:rStyle w:val="16"/>
          <w:rFonts w:hint="eastAsia" w:ascii="仿宋" w:hAnsi="仿宋" w:eastAsia="仿宋" w:cstheme="minorBidi"/>
          <w:b w:val="0"/>
          <w:bCs/>
          <w:sz w:val="32"/>
          <w:szCs w:val="32"/>
        </w:rPr>
        <w:t>决算数与预算数持平</w:t>
      </w:r>
      <w:r>
        <w:rPr>
          <w:rStyle w:val="16"/>
          <w:rFonts w:ascii="仿宋" w:hAnsi="仿宋" w:eastAsia="仿宋"/>
          <w:b w:val="0"/>
          <w:bCs/>
          <w:color w:val="000000"/>
          <w:sz w:val="32"/>
          <w:szCs w:val="32"/>
        </w:rPr>
        <w:t>。</w:t>
      </w:r>
    </w:p>
    <w:p>
      <w:pPr>
        <w:tabs>
          <w:tab w:val="right" w:pos="8306"/>
        </w:tabs>
        <w:spacing w:line="600" w:lineRule="exact"/>
        <w:ind w:firstLine="640"/>
        <w:outlineLvl w:val="1"/>
        <w:rPr>
          <w:rStyle w:val="27"/>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34"/>
      <w:bookmarkEnd w:id="35"/>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21年一般公共预算财政拨款基本支出390.01万元，其中：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358.85万元，主要包括：基本工资80.15万元、津贴补贴25.08万元、奖金0万元、伙食补助费0万元、绩效工资128.15万元、机关事业单位基本养老保险缴费24.6万元、职业年金缴费0万元、职工基本医疗保险缴费15.09万元、公务员医疗补助缴费1.44万元、其他社会保障缴费2.74万元、其他工资福利支出9.36万元、离休费0万元、退休费0万元、抚恤金0万元、生活补助34.2万元、医疗费补助1.68万元、奖励金0万元、住房公积金27.16万元、其他对个人和家庭的补助支出9.2万元。</w:t>
      </w:r>
    </w:p>
    <w:p>
      <w:pPr>
        <w:spacing w:line="600" w:lineRule="exact"/>
        <w:ind w:firstLine="645"/>
        <w:rPr>
          <w:rFonts w:ascii="仿宋" w:hAnsi="仿宋" w:eastAsia="仿宋"/>
          <w:sz w:val="32"/>
          <w:szCs w:val="32"/>
        </w:rPr>
      </w:pPr>
      <w:r>
        <w:rPr>
          <w:rFonts w:hint="eastAsia" w:ascii="仿宋" w:hAnsi="仿宋" w:eastAsia="仿宋"/>
          <w:sz w:val="32"/>
          <w:szCs w:val="32"/>
        </w:rPr>
        <w:t>公用经费31.16万元，主要包括：办公费2.55万元、印刷费3.38万元、咨询费0万元、手续费0万元、水费0.55万元、电费1.28万元、邮电费1.18万元、取暖费0万元、物业管理费0万元、差旅费9.32万元、因公出国（境）费用0万元、维修（护）费0万元、租赁费0万元、会议费0万元、培训费0万元、公务接待费0万元、劳务费0万元、委托业务费0万元、工会经费3.87万元、福利费1.25万元、公务用车运行维护费15万元、其他交通费1.92万元、税金及附加费用0万元、其他商品和服务支出5万元、办公设备购置0万元、专用设备购置0万元、信息网络及软件购置更新0万元、其他资本性支出0万元。</w:t>
      </w:r>
    </w:p>
    <w:p>
      <w:pPr>
        <w:spacing w:line="600" w:lineRule="exact"/>
        <w:ind w:firstLine="640"/>
        <w:outlineLvl w:val="1"/>
        <w:rPr>
          <w:rStyle w:val="27"/>
          <w:rFonts w:ascii="黑体" w:hAnsi="黑体" w:eastAsia="黑体"/>
          <w:b w:val="0"/>
        </w:rPr>
      </w:pPr>
      <w:bookmarkStart w:id="36" w:name="_Toc15396609"/>
      <w:bookmarkStart w:id="37" w:name="_Toc15377215"/>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21年“三公”经费财政拨款支出决算为1万元，完成预算45.05%，决算数小于预算数的主要原因是严控三公经费支出。</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；公务用车购置及运行维护费支出决算1万元，占100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5408" behindDoc="0" locked="0" layoutInCell="1" allowOverlap="1">
            <wp:simplePos x="0" y="0"/>
            <wp:positionH relativeFrom="column">
              <wp:posOffset>924560</wp:posOffset>
            </wp:positionH>
            <wp:positionV relativeFrom="paragraph">
              <wp:posOffset>287655</wp:posOffset>
            </wp:positionV>
            <wp:extent cx="3437890" cy="2214245"/>
            <wp:effectExtent l="0" t="0" r="10160" b="14605"/>
            <wp:wrapSquare wrapText="bothSides"/>
            <wp:docPr id="7" name="图片 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4"/>
                    <pic:cNvPicPr>
                      <a:picLocks noChangeAspect="1"/>
                    </pic:cNvPicPr>
                  </pic:nvPicPr>
                  <pic:blipFill>
                    <a:blip r:embed="rId12"/>
                    <a:stretch>
                      <a:fillRect/>
                    </a:stretch>
                  </pic:blipFill>
                  <pic:spPr>
                    <a:xfrm>
                      <a:off x="0" y="0"/>
                      <a:ext cx="3437890" cy="2214245"/>
                    </a:xfrm>
                    <a:prstGeom prst="rect">
                      <a:avLst/>
                    </a:prstGeom>
                  </pic:spPr>
                </pic:pic>
              </a:graphicData>
            </a:graphic>
          </wp:anchor>
        </w:drawing>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20年持平。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1万元,</w:t>
      </w:r>
      <w:r>
        <w:rPr>
          <w:rStyle w:val="16"/>
          <w:rFonts w:hint="eastAsia" w:ascii="仿宋" w:hAnsi="仿宋" w:eastAsia="仿宋"/>
          <w:b w:val="0"/>
          <w:bCs/>
          <w:sz w:val="32"/>
          <w:szCs w:val="32"/>
        </w:rPr>
        <w:t>完成预算61.73</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20年增加0.1万元，增长11.1</w:t>
      </w:r>
      <w:r>
        <w:rPr>
          <w:rFonts w:ascii="仿宋_GB2312" w:eastAsia="仿宋_GB2312"/>
          <w:sz w:val="32"/>
          <w:szCs w:val="32"/>
        </w:rPr>
        <w:t>%</w:t>
      </w:r>
      <w:r>
        <w:rPr>
          <w:rFonts w:hint="eastAsia" w:ascii="仿宋_GB2312" w:eastAsia="仿宋_GB2312"/>
          <w:sz w:val="32"/>
          <w:szCs w:val="32"/>
        </w:rPr>
        <w:t>。主要原因是车辆老旧维护费增加。</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月底，单位共有公务用车1辆，其中：轿车1辆、越野车0辆、载客汽车0辆。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sz w:val="32"/>
          <w:szCs w:val="32"/>
        </w:rPr>
        <w:t>公务用车运行维护费支出1</w:t>
      </w:r>
      <w:r>
        <w:rPr>
          <w:rFonts w:hint="eastAsia" w:ascii="仿宋_GB2312" w:eastAsia="仿宋_GB2312"/>
          <w:sz w:val="32"/>
          <w:szCs w:val="32"/>
        </w:rPr>
        <w:t>万元。主要用于</w:t>
      </w:r>
      <w:r>
        <w:rPr>
          <w:rFonts w:hint="eastAsia" w:ascii="仿宋_GB2312" w:eastAsia="仿宋_GB2312"/>
          <w:color w:val="000000"/>
          <w:sz w:val="32"/>
          <w:szCs w:val="32"/>
        </w:rPr>
        <w:t>科技调研等所需的公务用车燃料费、维修费、过路过桥费、保险费等支出。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6"/>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color w:val="000000"/>
          <w:sz w:val="32"/>
          <w:szCs w:val="32"/>
        </w:rPr>
        <w:t>0.19</w:t>
      </w:r>
      <w:r>
        <w:rPr>
          <w:rFonts w:hint="eastAsia" w:ascii="仿宋_GB2312" w:eastAsia="仿宋_GB2312"/>
          <w:sz w:val="32"/>
          <w:szCs w:val="32"/>
        </w:rPr>
        <w:t>万元，下降100</w:t>
      </w:r>
      <w:r>
        <w:rPr>
          <w:rFonts w:ascii="仿宋_GB2312" w:eastAsia="仿宋_GB2312"/>
          <w:sz w:val="32"/>
          <w:szCs w:val="32"/>
        </w:rPr>
        <w:t>%</w:t>
      </w:r>
      <w:r>
        <w:rPr>
          <w:rFonts w:hint="eastAsia" w:ascii="仿宋_GB2312" w:eastAsia="仿宋_GB2312"/>
          <w:sz w:val="32"/>
          <w:szCs w:val="32"/>
        </w:rPr>
        <w:t>。主要原因是本年无接待任务。其中：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600" w:lineRule="exact"/>
        <w:ind w:firstLine="640"/>
        <w:outlineLvl w:val="1"/>
        <w:rPr>
          <w:rStyle w:val="27"/>
          <w:rFonts w:ascii="黑体" w:hAnsi="黑体" w:eastAsia="黑体"/>
        </w:rPr>
      </w:pPr>
      <w:bookmarkStart w:id="40" w:name="_Toc15377218"/>
      <w:bookmarkStart w:id="41" w:name="_Toc15396610"/>
      <w:r>
        <w:rPr>
          <w:rFonts w:hint="eastAsia" w:ascii="黑体" w:eastAsia="黑体"/>
          <w:sz w:val="32"/>
          <w:szCs w:val="32"/>
        </w:rPr>
        <w:t>八、</w:t>
      </w:r>
      <w:r>
        <w:rPr>
          <w:rStyle w:val="27"/>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spacing w:line="600" w:lineRule="exact"/>
        <w:ind w:left="640"/>
        <w:outlineLvl w:val="1"/>
        <w:rPr>
          <w:rStyle w:val="27"/>
          <w:rFonts w:ascii="黑体" w:hAnsi="黑体" w:eastAsia="黑体"/>
          <w:b w:val="0"/>
        </w:rPr>
      </w:pPr>
      <w:bookmarkStart w:id="42" w:name="_Toc15377219"/>
      <w:bookmarkStart w:id="43" w:name="_Toc15396611"/>
      <w:r>
        <w:rPr>
          <w:rStyle w:val="27"/>
          <w:rFonts w:hint="eastAsia" w:ascii="黑体" w:hAnsi="黑体" w:eastAsia="黑体"/>
          <w:b w:val="0"/>
        </w:rPr>
        <w:t>九、国有资本经营预算支出决算情况说明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600" w:lineRule="exact"/>
        <w:ind w:left="640"/>
        <w:outlineLvl w:val="1"/>
        <w:rPr>
          <w:rStyle w:val="27"/>
          <w:rFonts w:ascii="黑体" w:hAnsi="黑体" w:eastAsia="黑体"/>
          <w:b w:val="0"/>
        </w:rPr>
      </w:pPr>
      <w:bookmarkStart w:id="44" w:name="_Toc15396612"/>
      <w:bookmarkStart w:id="45" w:name="_Toc15377221"/>
      <w:r>
        <w:rPr>
          <w:rStyle w:val="27"/>
          <w:rFonts w:hint="eastAsia" w:ascii="黑体" w:hAnsi="黑体" w:eastAsia="黑体"/>
          <w:b w:val="0"/>
        </w:rPr>
        <w:t>十、其他重要事项的情况说明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21年，市科技发展战略研究所机关运行经费支出0万元，与</w:t>
      </w:r>
      <w:r>
        <w:rPr>
          <w:rFonts w:ascii="仿宋_GB2312" w:eastAsia="仿宋_GB2312"/>
          <w:sz w:val="32"/>
          <w:szCs w:val="32"/>
        </w:rPr>
        <w:t>20</w:t>
      </w:r>
      <w:r>
        <w:rPr>
          <w:rFonts w:hint="eastAsia" w:ascii="仿宋_GB2312" w:eastAsia="仿宋_GB2312"/>
          <w:sz w:val="32"/>
          <w:szCs w:val="32"/>
        </w:rPr>
        <w:t>20年持平。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21年，市科技发展战略研究所政府采购支出总额0万元，其中：政府采购货物支出0万元、政府采购工程支出0万元、政府采购服务支出0万元。授予中小企业合同金额0万元，占政府采购支出总额的0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日，市科技发展战略研究所共有车辆1辆，其中：主要领导干部用车0辆、机要通信用车0辆、应急保障用车0辆、其他用车1辆，其他用车主要是用于</w:t>
      </w:r>
      <w:r>
        <w:rPr>
          <w:rFonts w:hint="eastAsia" w:ascii="仿宋_GB2312" w:eastAsia="仿宋_GB2312"/>
          <w:color w:val="000000"/>
          <w:sz w:val="32"/>
          <w:szCs w:val="32"/>
        </w:rPr>
        <w:t>科技调研等所需的公务用车燃料费、维修费、过路过桥费、保险费等支出。</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预算绩效管理要求，本单位在2021年度预算编制阶段，组织对攀西经济区现代服务业体系建设项目、“三个圈层背景下攀枝花市钒钛产业科技创新研究”项目、攀枝花市乡村振兴发展研究项目、攀西科技城创新驱动实践研究项目等4个项目开展了预算事前绩效评估，对4个项目编制了绩效目标，预算执行过程中，选取4个项目开展绩效监控，年终执行完毕后，对4个项目开展了绩效自评，2021年特定目标类部门预算项目绩效目标自评表见附件（第四部分）。</w:t>
      </w:r>
    </w:p>
    <w:p>
      <w:pPr>
        <w:autoSpaceDE w:val="0"/>
        <w:autoSpaceDN w:val="0"/>
        <w:adjustRightInd w:val="0"/>
        <w:spacing w:line="600" w:lineRule="exact"/>
        <w:ind w:firstLine="643" w:firstLineChars="200"/>
        <w:rPr>
          <w:rFonts w:ascii="仿宋" w:hAnsi="仿宋" w:eastAsia="仿宋"/>
          <w:b/>
          <w:sz w:val="32"/>
          <w:szCs w:val="32"/>
        </w:rPr>
      </w:pP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2"/>
        </w:numPr>
        <w:spacing w:line="600" w:lineRule="exact"/>
        <w:ind w:firstLine="660" w:firstLineChars="150"/>
        <w:jc w:val="center"/>
        <w:outlineLvl w:val="0"/>
        <w:rPr>
          <w:rStyle w:val="26"/>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6"/>
          <w:rFonts w:hint="eastAsia" w:ascii="黑体" w:hAnsi="黑体" w:eastAsia="黑体"/>
          <w:b w:val="0"/>
        </w:rPr>
        <w:t>词解释</w:t>
      </w:r>
      <w:bookmarkEnd w:id="49"/>
      <w:bookmarkEnd w:id="50"/>
    </w:p>
    <w:p>
      <w:pPr>
        <w:spacing w:line="600" w:lineRule="exact"/>
        <w:jc w:val="left"/>
        <w:rPr>
          <w:rFonts w:ascii="宋体"/>
          <w:b/>
          <w:sz w:val="44"/>
          <w:szCs w:val="44"/>
        </w:rPr>
      </w:pPr>
    </w:p>
    <w:p>
      <w:pPr>
        <w:pStyle w:val="2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1.财政拨款收入：指单位从同级财政部门取得的财政预算资金。</w:t>
      </w:r>
    </w:p>
    <w:p>
      <w:pPr>
        <w:pStyle w:val="2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2.其他收入：指单位取得的除上述收入以外的各项收入。 </w:t>
      </w:r>
    </w:p>
    <w:p>
      <w:pPr>
        <w:pStyle w:val="24"/>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xml:space="preserve">.年初结转和结余：指以前年度尚未完成、结转到本年按有关规定继续使用的资金。 </w:t>
      </w:r>
    </w:p>
    <w:p>
      <w:pPr>
        <w:pStyle w:val="24"/>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.结余分配：指事业单位按照会计制度规定缴纳的所得税、提取的专用结余以及转入非财政拨款结余的金额等。</w:t>
      </w:r>
    </w:p>
    <w:p>
      <w:pPr>
        <w:pStyle w:val="24"/>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年末结转和结余：指单位按有关规定结转到下年或以后年度继续使用的资金。</w:t>
      </w:r>
    </w:p>
    <w:p>
      <w:pPr>
        <w:spacing w:line="600" w:lineRule="exact"/>
        <w:ind w:firstLine="640" w:firstLineChars="200"/>
        <w:rPr>
          <w:rFonts w:eastAsia="仿宋_GB2312"/>
          <w:color w:val="000000"/>
          <w:kern w:val="0"/>
          <w:sz w:val="32"/>
          <w:szCs w:val="32"/>
        </w:rPr>
      </w:pPr>
      <w:r>
        <w:rPr>
          <w:rFonts w:hint="eastAsia" w:ascii="仿宋_GB2312" w:hAnsi="Calibri" w:eastAsia="仿宋_GB2312" w:cs="仿宋"/>
          <w:kern w:val="0"/>
          <w:sz w:val="32"/>
          <w:szCs w:val="32"/>
        </w:rPr>
        <w:t>6.一般公共服务（类）组织事务（款）其他组织事务支</w:t>
      </w:r>
      <w:r>
        <w:rPr>
          <w:rFonts w:hint="eastAsia" w:eastAsia="仿宋_GB2312"/>
          <w:color w:val="000000"/>
          <w:kern w:val="0"/>
          <w:sz w:val="32"/>
          <w:szCs w:val="32"/>
        </w:rPr>
        <w:t>出（项）：指反映其他用于中国共产党组织部门的事务支出。</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7.科学技术（类）科技条件与服务（款）机构运行（项）：指反映科技服务机构的基本支出。</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8.科学技术（类）科技条件与服务（款）其他科技条件与服务支出（项）：指反映其他用于科技条件与服务方面的支出。</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9.社会保障和就业（类）人力资源和社会保障管理事务（款）其他人力资源和社会保障管理事务支出（项）: 指反映其他用于人力资源和社会保障管理事务方面的支出。</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10.社会保障和就业（类）行政事业单位养老支出（款） 事业单位离退休（项）: 指反映实行归口管理的事业单位开支的离退休经费。</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11社会保障和就业（类）行政事业单位养老支出（款）机关事业单位基本养老保险缴费支出（项）：指反映机关事业单位实施养老保险制度由单位缴纳的基本养老保险费支出。</w:t>
      </w:r>
    </w:p>
    <w:p>
      <w:pPr>
        <w:pStyle w:val="24"/>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住房保障支出（类）住房改革支出（款）住房公积金（项）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指反映行政事业单位按</w:t>
      </w:r>
      <w:r>
        <w:rPr>
          <w:rFonts w:hint="eastAsia" w:ascii="Times New Roman" w:hAnsi="Times New Roman" w:eastAsia="仿宋_GB2312" w:cs="Times New Roman"/>
          <w:sz w:val="32"/>
          <w:szCs w:val="32"/>
        </w:rPr>
        <w:t>人力资源和社会保障部</w:t>
      </w:r>
      <w:r>
        <w:rPr>
          <w:rFonts w:ascii="Times New Roman" w:hAnsi="Times New Roman" w:eastAsia="仿宋_GB2312" w:cs="Times New Roman"/>
          <w:sz w:val="32"/>
          <w:szCs w:val="32"/>
        </w:rPr>
        <w:t>、财政部门规定的基本工资和津贴补贴以及规定比例为职工缴纳的住房公积金。</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13</w:t>
      </w:r>
      <w:r>
        <w:rPr>
          <w:rFonts w:eastAsia="仿宋_GB2312"/>
          <w:color w:val="000000"/>
          <w:kern w:val="0"/>
          <w:sz w:val="32"/>
          <w:szCs w:val="32"/>
        </w:rPr>
        <w:t>.基本支出：指为保障机构正常运转、完成日常工作任务而发生的人员支出和公用支出。</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14</w:t>
      </w:r>
      <w:r>
        <w:rPr>
          <w:rFonts w:eastAsia="仿宋_GB2312"/>
          <w:color w:val="000000"/>
          <w:kern w:val="0"/>
          <w:sz w:val="32"/>
          <w:szCs w:val="32"/>
        </w:rPr>
        <w:t xml:space="preserve">.项目支出：指在基本支出之外为完成特定行政任务和事业发展目标所发生的支出。 </w:t>
      </w:r>
    </w:p>
    <w:p>
      <w:pPr>
        <w:pStyle w:val="24"/>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6"/>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6"/>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4"/>
        <w:tblpPr w:leftFromText="180" w:rightFromText="180" w:vertAnchor="text" w:horzAnchor="page" w:tblpX="1353" w:tblpY="224"/>
        <w:tblOverlap w:val="never"/>
        <w:tblW w:w="9967" w:type="dxa"/>
        <w:tblInd w:w="0" w:type="dxa"/>
        <w:tblLayout w:type="fixed"/>
        <w:tblCellMar>
          <w:top w:w="0" w:type="dxa"/>
          <w:left w:w="108" w:type="dxa"/>
          <w:bottom w:w="0" w:type="dxa"/>
          <w:right w:w="108" w:type="dxa"/>
        </w:tblCellMar>
      </w:tblPr>
      <w:tblGrid>
        <w:gridCol w:w="1976"/>
        <w:gridCol w:w="1142"/>
        <w:gridCol w:w="1635"/>
        <w:gridCol w:w="1189"/>
        <w:gridCol w:w="1380"/>
        <w:gridCol w:w="2409"/>
        <w:gridCol w:w="236"/>
      </w:tblGrid>
      <w:tr>
        <w:tblPrEx>
          <w:tblCellMar>
            <w:top w:w="0" w:type="dxa"/>
            <w:left w:w="108" w:type="dxa"/>
            <w:bottom w:w="0" w:type="dxa"/>
            <w:right w:w="108" w:type="dxa"/>
          </w:tblCellMar>
        </w:tblPrEx>
        <w:trPr>
          <w:trHeight w:val="675" w:hRule="atLeast"/>
        </w:trPr>
        <w:tc>
          <w:tcPr>
            <w:tcW w:w="9731"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53" w:name="_Toc15396618"/>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攀枝花市科学技术局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攀枝花市科技发展战略研究所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4.26</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4.26</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6" w:type="dxa"/>
          <w:trHeight w:val="1861"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研究现代服务业体系相关理论及实践研究，系统梳理攀西经济区现代服务业体系现状，提出相关对策建议，形成研究报告1份，为政府、企业等决策提供理论依据和决策参考。</w:t>
            </w:r>
          </w:p>
        </w:tc>
        <w:tc>
          <w:tcPr>
            <w:tcW w:w="378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完成任务书规定的研究内容，形成高质量报告1份，已通过专家验收。</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一级</w:t>
            </w:r>
          </w:p>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二级</w:t>
            </w:r>
          </w:p>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三级</w:t>
            </w:r>
          </w:p>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完成</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撰写研究报告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1份</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形成高质量报告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报告具有可参考性</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为政府决策提供理论依据和决策参考</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项目时限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1年</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开展调研</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5万元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4.26万元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效益</w:t>
            </w:r>
            <w:r>
              <w:rPr>
                <w:rFonts w:hint="eastAsia" w:ascii="宋体" w:hAnsi="宋体" w:cs="宋体"/>
                <w:kern w:val="0"/>
                <w:sz w:val="24"/>
                <w:lang w:bidi="ar"/>
              </w:rPr>
              <w:br w:type="textWrapping"/>
            </w:r>
            <w:r>
              <w:rPr>
                <w:rFonts w:hint="eastAsia" w:ascii="宋体" w:hAnsi="宋体" w:cs="宋体"/>
                <w:kern w:val="0"/>
                <w:sz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助力经济发展</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助推攀西地区经济转型发展</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助推攀西地区经济转型发展</w:t>
            </w:r>
          </w:p>
        </w:tc>
      </w:tr>
      <w:tr>
        <w:tblPrEx>
          <w:tblCellMar>
            <w:top w:w="0" w:type="dxa"/>
            <w:left w:w="108" w:type="dxa"/>
            <w:bottom w:w="0" w:type="dxa"/>
            <w:right w:w="108" w:type="dxa"/>
          </w:tblCellMar>
        </w:tblPrEx>
        <w:trPr>
          <w:gridAfter w:val="1"/>
          <w:wAfter w:w="236" w:type="dxa"/>
          <w:trHeight w:val="55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满意</w:t>
            </w:r>
            <w:r>
              <w:rPr>
                <w:rFonts w:hint="eastAsia" w:ascii="宋体" w:hAnsi="宋体" w:cs="宋体"/>
                <w:kern w:val="0"/>
                <w:sz w:val="24"/>
                <w:lang w:bidi="ar"/>
              </w:rPr>
              <w:br w:type="textWrapping"/>
            </w:r>
            <w:r>
              <w:rPr>
                <w:rFonts w:hint="eastAsia" w:ascii="宋体" w:hAnsi="宋体" w:cs="宋体"/>
                <w:kern w:val="0"/>
                <w:sz w:val="24"/>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满意度</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服务对象满意度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90%以上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90%以上</w:t>
            </w:r>
          </w:p>
        </w:tc>
      </w:tr>
    </w:tbl>
    <w:p>
      <w:pPr>
        <w:spacing w:line="240" w:lineRule="atLeast"/>
        <w:jc w:val="center"/>
        <w:outlineLvl w:val="0"/>
        <w:rPr>
          <w:rFonts w:ascii="黑体" w:hAnsi="黑体" w:eastAsia="黑体"/>
          <w:sz w:val="10"/>
          <w:szCs w:val="10"/>
        </w:rPr>
      </w:pPr>
    </w:p>
    <w:p>
      <w:pPr>
        <w:widowControl/>
        <w:adjustRightInd w:val="0"/>
        <w:snapToGrid w:val="0"/>
        <w:spacing w:line="580" w:lineRule="exact"/>
        <w:contextualSpacing/>
        <w:jc w:val="left"/>
        <w:rPr>
          <w:rFonts w:ascii="仿宋_GB2312" w:hAnsi="宋体" w:eastAsia="仿宋_GB2312" w:cs="宋体"/>
          <w:color w:val="000000"/>
          <w:kern w:val="0"/>
          <w:sz w:val="24"/>
          <w:shd w:val="clear" w:color="auto" w:fill="FFFFFF"/>
        </w:rPr>
      </w:pPr>
    </w:p>
    <w:tbl>
      <w:tblPr>
        <w:tblStyle w:val="14"/>
        <w:tblpPr w:leftFromText="180" w:rightFromText="180" w:vertAnchor="text" w:horzAnchor="page" w:tblpX="1353" w:tblpY="224"/>
        <w:tblOverlap w:val="never"/>
        <w:tblW w:w="9967" w:type="dxa"/>
        <w:tblInd w:w="0" w:type="dxa"/>
        <w:tblLayout w:type="fixed"/>
        <w:tblCellMar>
          <w:top w:w="0" w:type="dxa"/>
          <w:left w:w="108" w:type="dxa"/>
          <w:bottom w:w="0" w:type="dxa"/>
          <w:right w:w="108" w:type="dxa"/>
        </w:tblCellMar>
      </w:tblPr>
      <w:tblGrid>
        <w:gridCol w:w="1976"/>
        <w:gridCol w:w="1142"/>
        <w:gridCol w:w="1635"/>
        <w:gridCol w:w="1189"/>
        <w:gridCol w:w="1380"/>
        <w:gridCol w:w="2409"/>
        <w:gridCol w:w="236"/>
      </w:tblGrid>
      <w:tr>
        <w:tblPrEx>
          <w:tblCellMar>
            <w:top w:w="0" w:type="dxa"/>
            <w:left w:w="108" w:type="dxa"/>
            <w:bottom w:w="0" w:type="dxa"/>
            <w:right w:w="108" w:type="dxa"/>
          </w:tblCellMar>
        </w:tblPrEx>
        <w:trPr>
          <w:trHeight w:val="675" w:hRule="atLeast"/>
        </w:trPr>
        <w:tc>
          <w:tcPr>
            <w:tcW w:w="9731"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攀枝花市科学技术局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攀枝花市科技发展战略研究所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6" w:type="dxa"/>
          <w:trHeight w:val="1861"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系统梳理“三个圈层”发展背景下，攀枝花市钒钛产业科技现状、问题，研究提出未来钒钛产业发展的对策建议，形成研究报告1份。</w:t>
            </w:r>
          </w:p>
        </w:tc>
        <w:tc>
          <w:tcPr>
            <w:tcW w:w="378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完成任务书规定的研究内容，形成高质量报告1份，已通过专家验收。</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一级</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二级</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三级</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完成</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形成对策建议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1篇</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围绕课题开展调研</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开展专题调研1次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根据课题研究重点方向领域开展调研1次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项目时限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1年</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开展调研</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4</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效益</w:t>
            </w:r>
            <w:r>
              <w:rPr>
                <w:rFonts w:hint="eastAsia" w:ascii="宋体" w:hAnsi="宋体" w:cs="宋体"/>
                <w:kern w:val="0"/>
                <w:sz w:val="24"/>
                <w:lang w:bidi="ar"/>
              </w:rPr>
              <w:br w:type="textWrapping"/>
            </w:r>
            <w:r>
              <w:rPr>
                <w:rFonts w:hint="eastAsia" w:ascii="宋体" w:hAnsi="宋体" w:cs="宋体"/>
                <w:kern w:val="0"/>
                <w:sz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r>
      <w:tr>
        <w:tblPrEx>
          <w:tblCellMar>
            <w:top w:w="0" w:type="dxa"/>
            <w:left w:w="108" w:type="dxa"/>
            <w:bottom w:w="0" w:type="dxa"/>
            <w:right w:w="108" w:type="dxa"/>
          </w:tblCellMar>
        </w:tblPrEx>
        <w:trPr>
          <w:gridAfter w:val="1"/>
          <w:wAfter w:w="236" w:type="dxa"/>
          <w:trHeight w:val="55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为产业发展提供决策参考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为钒钛产业发展提供决策参考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在三个圈层背景下，为攀枝花市钒钛产业科技创新发展提供决策参考</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满意</w:t>
            </w:r>
            <w:r>
              <w:rPr>
                <w:rFonts w:hint="eastAsia" w:ascii="宋体" w:hAnsi="宋体" w:cs="宋体"/>
                <w:kern w:val="0"/>
                <w:sz w:val="24"/>
                <w:lang w:bidi="ar"/>
              </w:rPr>
              <w:br w:type="textWrapping"/>
            </w:r>
            <w:r>
              <w:rPr>
                <w:rFonts w:hint="eastAsia" w:ascii="宋体" w:hAnsi="宋体" w:cs="宋体"/>
                <w:kern w:val="0"/>
                <w:sz w:val="24"/>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满意度</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服务对象满意度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90%以上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90%以上</w:t>
            </w:r>
          </w:p>
        </w:tc>
      </w:tr>
    </w:tbl>
    <w:p>
      <w:pPr>
        <w:widowControl/>
        <w:adjustRightInd w:val="0"/>
        <w:snapToGrid w:val="0"/>
        <w:spacing w:line="580" w:lineRule="exact"/>
        <w:contextualSpacing/>
        <w:jc w:val="left"/>
        <w:rPr>
          <w:rFonts w:ascii="仿宋_GB2312" w:hAnsi="宋体" w:eastAsia="仿宋_GB2312" w:cs="宋体"/>
          <w:color w:val="000000"/>
          <w:kern w:val="0"/>
          <w:sz w:val="24"/>
          <w:shd w:val="clear" w:color="auto" w:fill="FFFFFF"/>
        </w:rPr>
      </w:pPr>
    </w:p>
    <w:p>
      <w:pPr>
        <w:widowControl/>
        <w:adjustRightInd w:val="0"/>
        <w:snapToGrid w:val="0"/>
        <w:spacing w:line="580" w:lineRule="exact"/>
        <w:contextualSpacing/>
        <w:jc w:val="left"/>
        <w:rPr>
          <w:color w:val="FF0000"/>
          <w:sz w:val="24"/>
        </w:rPr>
      </w:pPr>
    </w:p>
    <w:tbl>
      <w:tblPr>
        <w:tblStyle w:val="14"/>
        <w:tblpPr w:leftFromText="180" w:rightFromText="180" w:vertAnchor="text" w:horzAnchor="page" w:tblpX="1353" w:tblpY="224"/>
        <w:tblOverlap w:val="never"/>
        <w:tblW w:w="9967" w:type="dxa"/>
        <w:tblInd w:w="0" w:type="dxa"/>
        <w:tblLayout w:type="fixed"/>
        <w:tblCellMar>
          <w:top w:w="0" w:type="dxa"/>
          <w:left w:w="108" w:type="dxa"/>
          <w:bottom w:w="0" w:type="dxa"/>
          <w:right w:w="108" w:type="dxa"/>
        </w:tblCellMar>
      </w:tblPr>
      <w:tblGrid>
        <w:gridCol w:w="1976"/>
        <w:gridCol w:w="1142"/>
        <w:gridCol w:w="1635"/>
        <w:gridCol w:w="1189"/>
        <w:gridCol w:w="1380"/>
        <w:gridCol w:w="2409"/>
        <w:gridCol w:w="236"/>
      </w:tblGrid>
      <w:tr>
        <w:tblPrEx>
          <w:tblCellMar>
            <w:top w:w="0" w:type="dxa"/>
            <w:left w:w="108" w:type="dxa"/>
            <w:bottom w:w="0" w:type="dxa"/>
            <w:right w:w="108" w:type="dxa"/>
          </w:tblCellMar>
        </w:tblPrEx>
        <w:trPr>
          <w:trHeight w:val="675" w:hRule="atLeast"/>
        </w:trPr>
        <w:tc>
          <w:tcPr>
            <w:tcW w:w="9731"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攀枝花市科学技术局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攀枝花市科技发展战略研究所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2.4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2.4</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6" w:type="dxa"/>
          <w:trHeight w:val="1861"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系统分析攀枝花市乡村振兴发展中取得的成效，发现存在的问题，结合地区实际情况，提出具有可行性、科学性的政策建议，为攀枝花市乡村振兴发展提供理论依据和政策支持。</w:t>
            </w:r>
          </w:p>
        </w:tc>
        <w:tc>
          <w:tcPr>
            <w:tcW w:w="378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完成任务书规定的研究内容，形成高质量报告1份，已通过专家验收。</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一级</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二级</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三级</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完成</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形成研究报告提纲</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1份</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撰写研究报告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ascii="宋体" w:hAnsi="宋体" w:cs="宋体"/>
                <w:kern w:val="0"/>
                <w:sz w:val="24"/>
                <w:lang w:bidi="ar"/>
              </w:rPr>
              <w:t>拟定研究报告提纲</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已完成</w:t>
            </w:r>
            <w:r>
              <w:rPr>
                <w:rFonts w:ascii="宋体" w:hAnsi="宋体" w:cs="宋体"/>
                <w:kern w:val="0"/>
                <w:sz w:val="24"/>
                <w:lang w:bidi="ar"/>
              </w:rPr>
              <w:t>研究报告提纲</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项目时限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1年</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差旅费、专家咨询费、劳务费等</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2.4</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效益</w:t>
            </w:r>
            <w:r>
              <w:rPr>
                <w:rFonts w:hint="eastAsia" w:ascii="宋体" w:hAnsi="宋体" w:cs="宋体"/>
                <w:kern w:val="0"/>
                <w:sz w:val="24"/>
                <w:lang w:bidi="ar"/>
              </w:rPr>
              <w:br w:type="textWrapping"/>
            </w:r>
            <w:r>
              <w:rPr>
                <w:rFonts w:hint="eastAsia" w:ascii="宋体" w:hAnsi="宋体" w:cs="宋体"/>
                <w:kern w:val="0"/>
                <w:sz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助力乡村振兴发展</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为乡村振兴发展提供理论依据和政策支持</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为乡村振兴发展提供理论依据和政策支持</w:t>
            </w:r>
          </w:p>
        </w:tc>
      </w:tr>
      <w:tr>
        <w:tblPrEx>
          <w:tblCellMar>
            <w:top w:w="0" w:type="dxa"/>
            <w:left w:w="108" w:type="dxa"/>
            <w:bottom w:w="0" w:type="dxa"/>
            <w:right w:w="108" w:type="dxa"/>
          </w:tblCellMar>
        </w:tblPrEx>
        <w:trPr>
          <w:gridAfter w:val="1"/>
          <w:wAfter w:w="236" w:type="dxa"/>
          <w:trHeight w:val="55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满意</w:t>
            </w:r>
            <w:r>
              <w:rPr>
                <w:rFonts w:hint="eastAsia" w:ascii="宋体" w:hAnsi="宋体" w:cs="宋体"/>
                <w:kern w:val="0"/>
                <w:sz w:val="24"/>
                <w:lang w:bidi="ar"/>
              </w:rPr>
              <w:br w:type="textWrapping"/>
            </w:r>
            <w:r>
              <w:rPr>
                <w:rFonts w:hint="eastAsia" w:ascii="宋体" w:hAnsi="宋体" w:cs="宋体"/>
                <w:kern w:val="0"/>
                <w:sz w:val="24"/>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满意度</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服务对象满意度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90%以上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90%以上</w:t>
            </w:r>
          </w:p>
        </w:tc>
      </w:tr>
    </w:tbl>
    <w:p>
      <w:pPr>
        <w:spacing w:line="600" w:lineRule="exact"/>
        <w:jc w:val="center"/>
        <w:outlineLvl w:val="0"/>
        <w:rPr>
          <w:rFonts w:ascii="黑体" w:hAnsi="黑体" w:eastAsia="黑体"/>
          <w:sz w:val="44"/>
          <w:szCs w:val="44"/>
        </w:rPr>
      </w:pPr>
    </w:p>
    <w:p>
      <w:pPr>
        <w:pStyle w:val="2"/>
        <w:spacing w:before="93"/>
      </w:pPr>
    </w:p>
    <w:tbl>
      <w:tblPr>
        <w:tblStyle w:val="14"/>
        <w:tblpPr w:leftFromText="180" w:rightFromText="180" w:vertAnchor="text" w:horzAnchor="page" w:tblpX="1353" w:tblpY="224"/>
        <w:tblOverlap w:val="never"/>
        <w:tblW w:w="9967" w:type="dxa"/>
        <w:tblInd w:w="0" w:type="dxa"/>
        <w:tblLayout w:type="fixed"/>
        <w:tblCellMar>
          <w:top w:w="0" w:type="dxa"/>
          <w:left w:w="108" w:type="dxa"/>
          <w:bottom w:w="0" w:type="dxa"/>
          <w:right w:w="108" w:type="dxa"/>
        </w:tblCellMar>
      </w:tblPr>
      <w:tblGrid>
        <w:gridCol w:w="1976"/>
        <w:gridCol w:w="1142"/>
        <w:gridCol w:w="1635"/>
        <w:gridCol w:w="1189"/>
        <w:gridCol w:w="1380"/>
        <w:gridCol w:w="2409"/>
        <w:gridCol w:w="236"/>
      </w:tblGrid>
      <w:tr>
        <w:tblPrEx>
          <w:tblCellMar>
            <w:top w:w="0" w:type="dxa"/>
            <w:left w:w="108" w:type="dxa"/>
            <w:bottom w:w="0" w:type="dxa"/>
            <w:right w:w="108" w:type="dxa"/>
          </w:tblCellMar>
        </w:tblPrEx>
        <w:trPr>
          <w:trHeight w:val="675" w:hRule="atLeast"/>
        </w:trPr>
        <w:tc>
          <w:tcPr>
            <w:tcW w:w="9731"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攀枝花市科学技术局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攀枝花市科技发展战略研究所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5.04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5.04</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6" w:type="dxa"/>
          <w:trHeight w:val="1861"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通过研究提出攀西科技城建设的思路及相关对策建议，形成研究报告1份，为攀西科技城建设提供决策参考。</w:t>
            </w:r>
          </w:p>
        </w:tc>
        <w:tc>
          <w:tcPr>
            <w:tcW w:w="378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完成任务书规定的研究内容，形成高质量报告1份，提交对策建议1篇，课题已通过专家验收。</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一级</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二级</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三级</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完成</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635"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研究报告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1篇</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对策建议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完成相关内容</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项目时限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1年</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ascii="宋体" w:hAnsi="宋体" w:cs="宋体"/>
                <w:kern w:val="0"/>
                <w:sz w:val="24"/>
                <w:lang w:bidi="ar"/>
              </w:rPr>
              <w:t>调研费</w:t>
            </w:r>
            <w:r>
              <w:rPr>
                <w:rFonts w:hint="eastAsia" w:ascii="宋体" w:hAnsi="宋体" w:cs="宋体"/>
                <w:kern w:val="0"/>
                <w:sz w:val="24"/>
                <w:lang w:bidi="ar"/>
              </w:rPr>
              <w:t>、专家咨询费等</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14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5.04</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效益</w:t>
            </w:r>
            <w:r>
              <w:rPr>
                <w:rFonts w:hint="eastAsia" w:ascii="宋体" w:hAnsi="宋体" w:cs="宋体"/>
                <w:kern w:val="0"/>
                <w:sz w:val="24"/>
                <w:lang w:bidi="ar"/>
              </w:rPr>
              <w:br w:type="textWrapping"/>
            </w:r>
            <w:r>
              <w:rPr>
                <w:rFonts w:hint="eastAsia" w:ascii="宋体" w:hAnsi="宋体" w:cs="宋体"/>
                <w:kern w:val="0"/>
                <w:sz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r>
      <w:tr>
        <w:tblPrEx>
          <w:tblCellMar>
            <w:top w:w="0" w:type="dxa"/>
            <w:left w:w="108" w:type="dxa"/>
            <w:bottom w:w="0" w:type="dxa"/>
            <w:right w:w="108" w:type="dxa"/>
          </w:tblCellMar>
        </w:tblPrEx>
        <w:trPr>
          <w:gridAfter w:val="1"/>
          <w:wAfter w:w="236" w:type="dxa"/>
          <w:trHeight w:val="55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创新思路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建立生态建设的创新思路</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建立生态建设的创新思路</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满意</w:t>
            </w:r>
            <w:r>
              <w:rPr>
                <w:rFonts w:hint="eastAsia" w:ascii="宋体" w:hAnsi="宋体" w:cs="宋体"/>
                <w:kern w:val="0"/>
                <w:sz w:val="24"/>
                <w:lang w:bidi="ar"/>
              </w:rPr>
              <w:br w:type="textWrapping"/>
            </w:r>
            <w:r>
              <w:rPr>
                <w:rFonts w:hint="eastAsia" w:ascii="宋体" w:hAnsi="宋体" w:cs="宋体"/>
                <w:kern w:val="0"/>
                <w:sz w:val="24"/>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满意度</w:t>
            </w:r>
          </w:p>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服务对象满意度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90%以上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90%以上</w:t>
            </w:r>
          </w:p>
        </w:tc>
      </w:tr>
    </w:tbl>
    <w:p>
      <w:pPr>
        <w:rPr>
          <w:rFonts w:ascii="黑体" w:hAnsi="黑体" w:eastAsia="黑体"/>
          <w:sz w:val="44"/>
          <w:szCs w:val="44"/>
        </w:rPr>
      </w:pPr>
      <w:r>
        <w:rPr>
          <w:rFonts w:hint="eastAsia" w:ascii="黑体" w:hAnsi="黑体" w:eastAsia="黑体"/>
          <w:sz w:val="44"/>
          <w:szCs w:val="44"/>
        </w:rPr>
        <w:br w:type="page"/>
      </w:r>
    </w:p>
    <w:p>
      <w:pPr>
        <w:pStyle w:val="2"/>
        <w:spacing w:before="93"/>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7"/>
          <w:rFonts w:hint="eastAsia" w:ascii="仿宋" w:hAnsi="仿宋" w:eastAsia="仿宋"/>
          <w:b w:val="0"/>
          <w:bCs w:val="0"/>
        </w:rPr>
        <w:t>入决算表</w:t>
      </w:r>
      <w:bookmarkEnd w:id="55"/>
    </w:p>
    <w:p>
      <w:pPr>
        <w:pStyle w:val="4"/>
        <w:rPr>
          <w:rFonts w:ascii="仿宋" w:hAnsi="仿宋" w:eastAsia="仿宋"/>
        </w:rPr>
      </w:pPr>
      <w:bookmarkStart w:id="56" w:name="_Toc15396621"/>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57"/>
    </w:p>
    <w:p>
      <w:pPr>
        <w:pStyle w:val="4"/>
        <w:rPr>
          <w:rStyle w:val="27"/>
          <w:rFonts w:ascii="仿宋" w:hAnsi="仿宋" w:eastAsia="仿宋"/>
          <w:b w:val="0"/>
          <w:bCs w:val="0"/>
        </w:rPr>
      </w:pPr>
      <w:bookmarkStart w:id="58" w:name="_Toc15396623"/>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63"/>
    </w:p>
    <w:p>
      <w:pPr>
        <w:pStyle w:val="4"/>
        <w:rPr>
          <w:rFonts w:ascii="仿宋" w:hAnsi="仿宋" w:eastAsia="仿宋"/>
        </w:rPr>
      </w:pPr>
      <w:bookmarkStart w:id="64" w:name="_Toc15396629"/>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64"/>
    </w:p>
    <w:p>
      <w:pPr>
        <w:pStyle w:val="4"/>
        <w:rPr>
          <w:rFonts w:ascii="仿宋" w:hAnsi="仿宋" w:eastAsia="仿宋"/>
        </w:rPr>
      </w:pPr>
      <w:bookmarkStart w:id="65" w:name="_Toc15396630"/>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65"/>
    </w:p>
    <w:p>
      <w:pPr>
        <w:pStyle w:val="4"/>
        <w:rPr>
          <w:rStyle w:val="27"/>
          <w:rFonts w:ascii="仿宋" w:hAnsi="仿宋" w:eastAsia="仿宋"/>
          <w:b w:val="0"/>
          <w:bCs w:val="0"/>
        </w:rPr>
      </w:pPr>
      <w:bookmarkStart w:id="66" w:name="_Toc15396631"/>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66"/>
    </w:p>
    <w:p>
      <w:pPr>
        <w:rPr>
          <w:rFonts w:eastAsia="仿宋"/>
        </w:rPr>
      </w:pPr>
      <w:r>
        <w:rPr>
          <w:rStyle w:val="27"/>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OGI0MGY0OGM0NjQwMzZiYWZjODMxOGZjZmM2NmYifQ=="/>
  </w:docVars>
  <w:rsids>
    <w:rsidRoot w:val="00F1361C"/>
    <w:rsid w:val="000222C6"/>
    <w:rsid w:val="0002549F"/>
    <w:rsid w:val="0004144C"/>
    <w:rsid w:val="000468DB"/>
    <w:rsid w:val="0006487A"/>
    <w:rsid w:val="00065F8F"/>
    <w:rsid w:val="00070A43"/>
    <w:rsid w:val="00071C5C"/>
    <w:rsid w:val="000768F2"/>
    <w:rsid w:val="00080BEC"/>
    <w:rsid w:val="0009184B"/>
    <w:rsid w:val="00094236"/>
    <w:rsid w:val="00094EF6"/>
    <w:rsid w:val="0009593C"/>
    <w:rsid w:val="00096A8E"/>
    <w:rsid w:val="00097322"/>
    <w:rsid w:val="000A3EC5"/>
    <w:rsid w:val="000A6A92"/>
    <w:rsid w:val="000B047F"/>
    <w:rsid w:val="000B5923"/>
    <w:rsid w:val="000B5A48"/>
    <w:rsid w:val="000B6146"/>
    <w:rsid w:val="000B6FF3"/>
    <w:rsid w:val="000C3467"/>
    <w:rsid w:val="000C3CA6"/>
    <w:rsid w:val="000D1267"/>
    <w:rsid w:val="000D1D50"/>
    <w:rsid w:val="000D5782"/>
    <w:rsid w:val="000E6613"/>
    <w:rsid w:val="000E7119"/>
    <w:rsid w:val="00110D77"/>
    <w:rsid w:val="00114E9B"/>
    <w:rsid w:val="001257AC"/>
    <w:rsid w:val="00130D90"/>
    <w:rsid w:val="00142216"/>
    <w:rsid w:val="00144D6A"/>
    <w:rsid w:val="0014729F"/>
    <w:rsid w:val="00157BAB"/>
    <w:rsid w:val="00162D6F"/>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07B59"/>
    <w:rsid w:val="0021101A"/>
    <w:rsid w:val="00220536"/>
    <w:rsid w:val="0022125D"/>
    <w:rsid w:val="00235629"/>
    <w:rsid w:val="0023778D"/>
    <w:rsid w:val="00260C38"/>
    <w:rsid w:val="002616C0"/>
    <w:rsid w:val="00265372"/>
    <w:rsid w:val="002662AA"/>
    <w:rsid w:val="00273A31"/>
    <w:rsid w:val="00280496"/>
    <w:rsid w:val="002809B5"/>
    <w:rsid w:val="00294DC9"/>
    <w:rsid w:val="00295495"/>
    <w:rsid w:val="002A31DE"/>
    <w:rsid w:val="002B2613"/>
    <w:rsid w:val="002C7263"/>
    <w:rsid w:val="002D6D05"/>
    <w:rsid w:val="002E1BA4"/>
    <w:rsid w:val="002F1818"/>
    <w:rsid w:val="002F567B"/>
    <w:rsid w:val="002F7683"/>
    <w:rsid w:val="00305FA6"/>
    <w:rsid w:val="003216A9"/>
    <w:rsid w:val="0032261D"/>
    <w:rsid w:val="00335A74"/>
    <w:rsid w:val="003648FF"/>
    <w:rsid w:val="0036561B"/>
    <w:rsid w:val="0037013F"/>
    <w:rsid w:val="00370FBF"/>
    <w:rsid w:val="00374EBD"/>
    <w:rsid w:val="00380C92"/>
    <w:rsid w:val="003A484F"/>
    <w:rsid w:val="003A4883"/>
    <w:rsid w:val="003B0BE0"/>
    <w:rsid w:val="003B0C1B"/>
    <w:rsid w:val="003B305F"/>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58B2"/>
    <w:rsid w:val="004464F4"/>
    <w:rsid w:val="00471401"/>
    <w:rsid w:val="00473F31"/>
    <w:rsid w:val="0048263A"/>
    <w:rsid w:val="00487E5D"/>
    <w:rsid w:val="004A386F"/>
    <w:rsid w:val="004A711F"/>
    <w:rsid w:val="004B199D"/>
    <w:rsid w:val="004B4690"/>
    <w:rsid w:val="004C5743"/>
    <w:rsid w:val="004E0A2D"/>
    <w:rsid w:val="004E206B"/>
    <w:rsid w:val="004E6DF7"/>
    <w:rsid w:val="004F0FBD"/>
    <w:rsid w:val="00501535"/>
    <w:rsid w:val="00505A47"/>
    <w:rsid w:val="00512FDA"/>
    <w:rsid w:val="00520DA0"/>
    <w:rsid w:val="00526CDB"/>
    <w:rsid w:val="005559C4"/>
    <w:rsid w:val="005664BB"/>
    <w:rsid w:val="00566FFA"/>
    <w:rsid w:val="0057481D"/>
    <w:rsid w:val="0058486E"/>
    <w:rsid w:val="00585B33"/>
    <w:rsid w:val="0059014D"/>
    <w:rsid w:val="005B2B0F"/>
    <w:rsid w:val="005B5C64"/>
    <w:rsid w:val="005C5337"/>
    <w:rsid w:val="005C6BD0"/>
    <w:rsid w:val="005D1C8B"/>
    <w:rsid w:val="005D468D"/>
    <w:rsid w:val="005D5CED"/>
    <w:rsid w:val="005F1A4C"/>
    <w:rsid w:val="00605688"/>
    <w:rsid w:val="006060BF"/>
    <w:rsid w:val="006070AF"/>
    <w:rsid w:val="00607E6C"/>
    <w:rsid w:val="006101B1"/>
    <w:rsid w:val="00614E44"/>
    <w:rsid w:val="0062270A"/>
    <w:rsid w:val="00622830"/>
    <w:rsid w:val="00623DA0"/>
    <w:rsid w:val="00630AEF"/>
    <w:rsid w:val="0063184E"/>
    <w:rsid w:val="006325F8"/>
    <w:rsid w:val="00633463"/>
    <w:rsid w:val="00634C9A"/>
    <w:rsid w:val="006440E4"/>
    <w:rsid w:val="0066343B"/>
    <w:rsid w:val="00664777"/>
    <w:rsid w:val="00666964"/>
    <w:rsid w:val="006748A4"/>
    <w:rsid w:val="00681A31"/>
    <w:rsid w:val="00683E73"/>
    <w:rsid w:val="006A3141"/>
    <w:rsid w:val="006A5E34"/>
    <w:rsid w:val="006B2422"/>
    <w:rsid w:val="006B2B9A"/>
    <w:rsid w:val="006B410E"/>
    <w:rsid w:val="006C1937"/>
    <w:rsid w:val="006C5F55"/>
    <w:rsid w:val="006F020C"/>
    <w:rsid w:val="007024D1"/>
    <w:rsid w:val="007127B7"/>
    <w:rsid w:val="0071798E"/>
    <w:rsid w:val="00731181"/>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04712"/>
    <w:rsid w:val="00813348"/>
    <w:rsid w:val="008161D1"/>
    <w:rsid w:val="008253BB"/>
    <w:rsid w:val="0083706E"/>
    <w:rsid w:val="008408F6"/>
    <w:rsid w:val="008423A5"/>
    <w:rsid w:val="00850625"/>
    <w:rsid w:val="00853718"/>
    <w:rsid w:val="00855221"/>
    <w:rsid w:val="00860645"/>
    <w:rsid w:val="00871F71"/>
    <w:rsid w:val="00872FD8"/>
    <w:rsid w:val="00885AF4"/>
    <w:rsid w:val="008860B1"/>
    <w:rsid w:val="008939CD"/>
    <w:rsid w:val="00893EF1"/>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18D2"/>
    <w:rsid w:val="00946945"/>
    <w:rsid w:val="00951248"/>
    <w:rsid w:val="0095152F"/>
    <w:rsid w:val="00954C49"/>
    <w:rsid w:val="00955E37"/>
    <w:rsid w:val="00964A05"/>
    <w:rsid w:val="0097099F"/>
    <w:rsid w:val="00971997"/>
    <w:rsid w:val="00971FFC"/>
    <w:rsid w:val="00972B15"/>
    <w:rsid w:val="0098660A"/>
    <w:rsid w:val="00992CA6"/>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0CF0"/>
    <w:rsid w:val="00A331C8"/>
    <w:rsid w:val="00A40A00"/>
    <w:rsid w:val="00A4142F"/>
    <w:rsid w:val="00A422EB"/>
    <w:rsid w:val="00A45BB7"/>
    <w:rsid w:val="00A56DF2"/>
    <w:rsid w:val="00A56E6E"/>
    <w:rsid w:val="00A651D5"/>
    <w:rsid w:val="00A67AB5"/>
    <w:rsid w:val="00A733B2"/>
    <w:rsid w:val="00A741C2"/>
    <w:rsid w:val="00A91760"/>
    <w:rsid w:val="00A93B00"/>
    <w:rsid w:val="00A93C21"/>
    <w:rsid w:val="00AB64C9"/>
    <w:rsid w:val="00AC3C6A"/>
    <w:rsid w:val="00AD5620"/>
    <w:rsid w:val="00AD656B"/>
    <w:rsid w:val="00AD7C1B"/>
    <w:rsid w:val="00AE16BA"/>
    <w:rsid w:val="00AE1EBE"/>
    <w:rsid w:val="00AE2481"/>
    <w:rsid w:val="00B002D7"/>
    <w:rsid w:val="00B03C9D"/>
    <w:rsid w:val="00B0591F"/>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2E15"/>
    <w:rsid w:val="00B944D6"/>
    <w:rsid w:val="00BB4DF0"/>
    <w:rsid w:val="00BC289F"/>
    <w:rsid w:val="00BC2D50"/>
    <w:rsid w:val="00BC5361"/>
    <w:rsid w:val="00BC5460"/>
    <w:rsid w:val="00BC6B50"/>
    <w:rsid w:val="00BD0E25"/>
    <w:rsid w:val="00BF5BD6"/>
    <w:rsid w:val="00C03DF2"/>
    <w:rsid w:val="00C03E31"/>
    <w:rsid w:val="00C1439D"/>
    <w:rsid w:val="00C33E72"/>
    <w:rsid w:val="00C35298"/>
    <w:rsid w:val="00C354B2"/>
    <w:rsid w:val="00C35554"/>
    <w:rsid w:val="00C42709"/>
    <w:rsid w:val="00C533CC"/>
    <w:rsid w:val="00C5751C"/>
    <w:rsid w:val="00C57B6B"/>
    <w:rsid w:val="00C617EF"/>
    <w:rsid w:val="00C61BFC"/>
    <w:rsid w:val="00C62B85"/>
    <w:rsid w:val="00C65438"/>
    <w:rsid w:val="00C87FD8"/>
    <w:rsid w:val="00C91381"/>
    <w:rsid w:val="00C91CBB"/>
    <w:rsid w:val="00CB4E70"/>
    <w:rsid w:val="00CC09B6"/>
    <w:rsid w:val="00CC666F"/>
    <w:rsid w:val="00CD1E3F"/>
    <w:rsid w:val="00CE44F6"/>
    <w:rsid w:val="00CE49DA"/>
    <w:rsid w:val="00CE7B61"/>
    <w:rsid w:val="00CF710C"/>
    <w:rsid w:val="00D00095"/>
    <w:rsid w:val="00D0530B"/>
    <w:rsid w:val="00D114F0"/>
    <w:rsid w:val="00D15CFB"/>
    <w:rsid w:val="00D20620"/>
    <w:rsid w:val="00D254F7"/>
    <w:rsid w:val="00D26091"/>
    <w:rsid w:val="00D2685C"/>
    <w:rsid w:val="00D26C11"/>
    <w:rsid w:val="00D34E7C"/>
    <w:rsid w:val="00D35489"/>
    <w:rsid w:val="00D3649A"/>
    <w:rsid w:val="00D36AFE"/>
    <w:rsid w:val="00D51276"/>
    <w:rsid w:val="00D7035F"/>
    <w:rsid w:val="00D97C88"/>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37F21"/>
    <w:rsid w:val="00E472B1"/>
    <w:rsid w:val="00E50624"/>
    <w:rsid w:val="00E568DF"/>
    <w:rsid w:val="00E64269"/>
    <w:rsid w:val="00E82267"/>
    <w:rsid w:val="00E853CE"/>
    <w:rsid w:val="00E867B6"/>
    <w:rsid w:val="00EA010F"/>
    <w:rsid w:val="00EA780A"/>
    <w:rsid w:val="00ED1B63"/>
    <w:rsid w:val="00ED3C1F"/>
    <w:rsid w:val="00ED4085"/>
    <w:rsid w:val="00ED420E"/>
    <w:rsid w:val="00ED6FBE"/>
    <w:rsid w:val="00EE2F57"/>
    <w:rsid w:val="00EF4C34"/>
    <w:rsid w:val="00EF77C6"/>
    <w:rsid w:val="00F05438"/>
    <w:rsid w:val="00F1361C"/>
    <w:rsid w:val="00F13F30"/>
    <w:rsid w:val="00F156F0"/>
    <w:rsid w:val="00F160C7"/>
    <w:rsid w:val="00F226E6"/>
    <w:rsid w:val="00F2408F"/>
    <w:rsid w:val="00F240E9"/>
    <w:rsid w:val="00F36D8F"/>
    <w:rsid w:val="00F417B1"/>
    <w:rsid w:val="00F45853"/>
    <w:rsid w:val="00F602DF"/>
    <w:rsid w:val="00F754A1"/>
    <w:rsid w:val="00F81FD9"/>
    <w:rsid w:val="00F841AA"/>
    <w:rsid w:val="00F84A94"/>
    <w:rsid w:val="00F87E96"/>
    <w:rsid w:val="00FA23E8"/>
    <w:rsid w:val="00FD3CC1"/>
    <w:rsid w:val="00FE07F3"/>
    <w:rsid w:val="00FF1E02"/>
    <w:rsid w:val="00FF30B4"/>
    <w:rsid w:val="00FF7321"/>
    <w:rsid w:val="0A2032A3"/>
    <w:rsid w:val="0B8A37D8"/>
    <w:rsid w:val="10C055FF"/>
    <w:rsid w:val="118107EC"/>
    <w:rsid w:val="11DD6519"/>
    <w:rsid w:val="12FE29F8"/>
    <w:rsid w:val="16BB723D"/>
    <w:rsid w:val="18015F3F"/>
    <w:rsid w:val="1BE8440E"/>
    <w:rsid w:val="1D155CEE"/>
    <w:rsid w:val="20F57F95"/>
    <w:rsid w:val="240371BF"/>
    <w:rsid w:val="25C741E6"/>
    <w:rsid w:val="25FC438B"/>
    <w:rsid w:val="27842671"/>
    <w:rsid w:val="27ED44ED"/>
    <w:rsid w:val="295F5041"/>
    <w:rsid w:val="29FD04D3"/>
    <w:rsid w:val="2ABE7A3E"/>
    <w:rsid w:val="2EFA178C"/>
    <w:rsid w:val="2F3BC77A"/>
    <w:rsid w:val="2F777253"/>
    <w:rsid w:val="2F8F270A"/>
    <w:rsid w:val="30B46D73"/>
    <w:rsid w:val="319F7F4E"/>
    <w:rsid w:val="31BF06D9"/>
    <w:rsid w:val="367F328A"/>
    <w:rsid w:val="37FE7944"/>
    <w:rsid w:val="39AE70AB"/>
    <w:rsid w:val="3C0C0783"/>
    <w:rsid w:val="3C6498C4"/>
    <w:rsid w:val="3CF730B3"/>
    <w:rsid w:val="3D3B0378"/>
    <w:rsid w:val="3DAF2EFF"/>
    <w:rsid w:val="3DFF8A3C"/>
    <w:rsid w:val="3EFEB48C"/>
    <w:rsid w:val="3F3F8305"/>
    <w:rsid w:val="3F7A9E53"/>
    <w:rsid w:val="3F9F3A96"/>
    <w:rsid w:val="3FB422F7"/>
    <w:rsid w:val="3FB837E2"/>
    <w:rsid w:val="3FF2C45F"/>
    <w:rsid w:val="3FFDEFDA"/>
    <w:rsid w:val="47FE3DFB"/>
    <w:rsid w:val="493C27E9"/>
    <w:rsid w:val="496F39ED"/>
    <w:rsid w:val="49FF41D3"/>
    <w:rsid w:val="4B52531B"/>
    <w:rsid w:val="4BE068DB"/>
    <w:rsid w:val="4BF6002B"/>
    <w:rsid w:val="4D65010F"/>
    <w:rsid w:val="4D7E86F2"/>
    <w:rsid w:val="4ECE2238"/>
    <w:rsid w:val="4F6740D6"/>
    <w:rsid w:val="4FBF5A2A"/>
    <w:rsid w:val="4FFFDF6C"/>
    <w:rsid w:val="51DB4B86"/>
    <w:rsid w:val="53FEB817"/>
    <w:rsid w:val="55333C3E"/>
    <w:rsid w:val="57F412BE"/>
    <w:rsid w:val="5B2E44BD"/>
    <w:rsid w:val="5BF719A3"/>
    <w:rsid w:val="5DFCF2E3"/>
    <w:rsid w:val="5F1F9177"/>
    <w:rsid w:val="5F1F9DFD"/>
    <w:rsid w:val="5F5EB916"/>
    <w:rsid w:val="620DB441"/>
    <w:rsid w:val="63BF6B98"/>
    <w:rsid w:val="64CA39A1"/>
    <w:rsid w:val="655D0272"/>
    <w:rsid w:val="669E14F8"/>
    <w:rsid w:val="67B7CF30"/>
    <w:rsid w:val="67FF53CC"/>
    <w:rsid w:val="697734FF"/>
    <w:rsid w:val="69F9AAE0"/>
    <w:rsid w:val="6B972104"/>
    <w:rsid w:val="6BFD3407"/>
    <w:rsid w:val="6C4A05C8"/>
    <w:rsid w:val="6F7910DB"/>
    <w:rsid w:val="6FEBFEBE"/>
    <w:rsid w:val="6FFA8377"/>
    <w:rsid w:val="6FFF8E0C"/>
    <w:rsid w:val="70FD6770"/>
    <w:rsid w:val="72734D90"/>
    <w:rsid w:val="76F7661B"/>
    <w:rsid w:val="77AF6E0E"/>
    <w:rsid w:val="77DF80EC"/>
    <w:rsid w:val="79E7B28D"/>
    <w:rsid w:val="7BC34E2A"/>
    <w:rsid w:val="7CBCB616"/>
    <w:rsid w:val="7D5FB73C"/>
    <w:rsid w:val="7D6B846B"/>
    <w:rsid w:val="7D7E6661"/>
    <w:rsid w:val="7DEFDD2A"/>
    <w:rsid w:val="7DFCAC9E"/>
    <w:rsid w:val="7E6CDB47"/>
    <w:rsid w:val="7F8CF29B"/>
    <w:rsid w:val="7F9F20EE"/>
    <w:rsid w:val="7FAF8983"/>
    <w:rsid w:val="7FCD5E20"/>
    <w:rsid w:val="7FDFD616"/>
    <w:rsid w:val="7FEFF21A"/>
    <w:rsid w:val="7FFF2DAC"/>
    <w:rsid w:val="7FFFD6E8"/>
    <w:rsid w:val="9573DBC5"/>
    <w:rsid w:val="97DB3819"/>
    <w:rsid w:val="9A849B78"/>
    <w:rsid w:val="9E3A10E2"/>
    <w:rsid w:val="9F7656C3"/>
    <w:rsid w:val="9FAD0424"/>
    <w:rsid w:val="B2EDB08B"/>
    <w:rsid w:val="B7F1DAE6"/>
    <w:rsid w:val="B89EF89D"/>
    <w:rsid w:val="BADFE331"/>
    <w:rsid w:val="BBFCB251"/>
    <w:rsid w:val="BCF720CA"/>
    <w:rsid w:val="BDFF4BD2"/>
    <w:rsid w:val="BE563B28"/>
    <w:rsid w:val="BEFF405A"/>
    <w:rsid w:val="BF5EE5E7"/>
    <w:rsid w:val="BF6D7D53"/>
    <w:rsid w:val="BFFE42BD"/>
    <w:rsid w:val="C7EC6A71"/>
    <w:rsid w:val="CEB9248B"/>
    <w:rsid w:val="CEF7A0F8"/>
    <w:rsid w:val="D33FFDF8"/>
    <w:rsid w:val="D6F3136E"/>
    <w:rsid w:val="D75462B2"/>
    <w:rsid w:val="D76FD576"/>
    <w:rsid w:val="D7DE9A02"/>
    <w:rsid w:val="D7DFBCFD"/>
    <w:rsid w:val="D7F51ECB"/>
    <w:rsid w:val="DABEFB91"/>
    <w:rsid w:val="DBFCBF1E"/>
    <w:rsid w:val="DC9B9ADA"/>
    <w:rsid w:val="DD1F1159"/>
    <w:rsid w:val="DEBD6913"/>
    <w:rsid w:val="DFEE1566"/>
    <w:rsid w:val="DFFFC758"/>
    <w:rsid w:val="E6AB887A"/>
    <w:rsid w:val="E6DDE143"/>
    <w:rsid w:val="E7EFB1E0"/>
    <w:rsid w:val="E7FF895B"/>
    <w:rsid w:val="ECDEB307"/>
    <w:rsid w:val="EF715328"/>
    <w:rsid w:val="EFDA8A72"/>
    <w:rsid w:val="F1DF9375"/>
    <w:rsid w:val="F2E1F9D4"/>
    <w:rsid w:val="F3BF1186"/>
    <w:rsid w:val="F5B97237"/>
    <w:rsid w:val="F6DBDEBD"/>
    <w:rsid w:val="F75F37BD"/>
    <w:rsid w:val="F77C3CA9"/>
    <w:rsid w:val="F7880819"/>
    <w:rsid w:val="F8FFF36A"/>
    <w:rsid w:val="F9EEDA81"/>
    <w:rsid w:val="FAF7263A"/>
    <w:rsid w:val="FBE57F5A"/>
    <w:rsid w:val="FBFB42A8"/>
    <w:rsid w:val="FBFFE0D8"/>
    <w:rsid w:val="FC770463"/>
    <w:rsid w:val="FC77362B"/>
    <w:rsid w:val="FC7E1494"/>
    <w:rsid w:val="FCFF2DB0"/>
    <w:rsid w:val="FD47300E"/>
    <w:rsid w:val="FDFA4AB3"/>
    <w:rsid w:val="FDFC5B9C"/>
    <w:rsid w:val="FDFE540E"/>
    <w:rsid w:val="FEFE239D"/>
    <w:rsid w:val="FEFF9B84"/>
    <w:rsid w:val="FF2E6A41"/>
    <w:rsid w:val="FF3E8CAC"/>
    <w:rsid w:val="FF47B262"/>
    <w:rsid w:val="FF51FB52"/>
    <w:rsid w:val="FF77C9AB"/>
    <w:rsid w:val="FF7E1F7A"/>
    <w:rsid w:val="FFB34478"/>
    <w:rsid w:val="FFBB053B"/>
    <w:rsid w:val="FFE7F991"/>
    <w:rsid w:val="FFEF93A0"/>
    <w:rsid w:val="FFFF2A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Normal Indent"/>
    <w:basedOn w:val="1"/>
    <w:qFormat/>
    <w:uiPriority w:val="0"/>
    <w:pPr>
      <w:suppressAutoHyphens/>
    </w:pPr>
    <w:rPr>
      <w:rFonts w:ascii="Calibri" w:hAnsi="Calibri"/>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1813</Words>
  <Characters>10340</Characters>
  <Lines>86</Lines>
  <Paragraphs>24</Paragraphs>
  <TotalTime>10</TotalTime>
  <ScaleCrop>false</ScaleCrop>
  <LinksUpToDate>false</LinksUpToDate>
  <CharactersWithSpaces>12129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2022-09-14T22:37:00Z</dcterms:created>
  <dc:creator>曹颖</dc:creator>
  <cp:lastModifiedBy>Administrator</cp:lastModifiedBy>
  <cp:lastPrinted>2022-09-14T23:14:00Z</cp:lastPrinted>
  <dcterms:modified xsi:type="dcterms:W3CDTF">2024-12-23T08:03:47Z</dcterms:modified>
  <dc:title>四川省***</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DB54931413CB4FE890EC7555F5DE14AC_12</vt:lpwstr>
  </property>
</Properties>
</file>