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7193"/>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52"/>
          <w:szCs w:val="52"/>
        </w:rPr>
      </w:pPr>
      <w:bookmarkStart w:id="6" w:name="_Toc15396598"/>
      <w:bookmarkStart w:id="7" w:name="_Toc15378442"/>
      <w:bookmarkStart w:id="8" w:name="_Toc15377194"/>
      <w:bookmarkStart w:id="9" w:name="_Toc15377426"/>
      <w:bookmarkStart w:id="10" w:name="_Toc15396476"/>
      <w:r>
        <w:rPr>
          <w:rFonts w:hint="eastAsia" w:ascii="方正小标宋简体" w:hAnsi="方正小标宋简体" w:eastAsia="方正小标宋简体" w:cs="方正小标宋简体"/>
          <w:sz w:val="52"/>
          <w:szCs w:val="52"/>
        </w:rPr>
        <w:t>四川省</w:t>
      </w:r>
      <w:bookmarkEnd w:id="0"/>
      <w:bookmarkStart w:id="11" w:name="_Toc15306268"/>
      <w:r>
        <w:rPr>
          <w:rFonts w:hint="eastAsia" w:ascii="方正小标宋简体" w:hAnsi="方正小标宋简体" w:eastAsia="方正小标宋简体" w:cs="方正小标宋简体"/>
          <w:sz w:val="52"/>
          <w:szCs w:val="52"/>
          <w:lang w:eastAsia="zh-CN"/>
        </w:rPr>
        <w:t>攀枝花市科技基础条件平台服务中心</w:t>
      </w:r>
      <w:r>
        <w:rPr>
          <w:rFonts w:hint="eastAsia" w:ascii="方正小标宋简体" w:hAnsi="方正小标宋简体" w:eastAsia="方正小标宋简体" w:cs="方正小标宋简体"/>
          <w:sz w:val="52"/>
          <w:szCs w:val="52"/>
        </w:rPr>
        <w:t>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bookmarkStart w:id="12" w:name="_Toc15396599"/>
      <w:bookmarkStart w:id="13" w:name="_Toc15377196"/>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公开时间：2023年9月</w:t>
      </w:r>
      <w:r>
        <w:rPr>
          <w:rFonts w:hint="eastAsia"/>
          <w:lang w:val="en-US" w:eastAsia="zh-CN"/>
        </w:rPr>
        <w:t>2</w:t>
      </w:r>
      <w:r>
        <w:rPr>
          <w:rFonts w:hint="default"/>
          <w:lang w:val="en"/>
        </w:rPr>
        <w:t>0</w:t>
      </w:r>
      <w:r>
        <w:rPr>
          <w:rFonts w:hint="eastAsia"/>
        </w:rPr>
        <w:t>日</w:t>
      </w:r>
    </w:p>
    <w:p/>
    <w:p>
      <w:pPr>
        <w:pStyle w:val="12"/>
        <w:adjustRightInd w:val="0"/>
        <w:snapToGrid w:val="0"/>
        <w:spacing w:before="0" w:line="440" w:lineRule="exact"/>
        <w:jc w:val="left"/>
        <w:rPr>
          <w:rFonts w:hint="default" w:cstheme="minorBidi"/>
          <w:sz w:val="24"/>
          <w:szCs w:val="24"/>
          <w:lang w:val="en"/>
        </w:rPr>
      </w:pPr>
      <w:r>
        <w:rPr>
          <w:rFonts w:hint="eastAsia"/>
          <w:sz w:val="24"/>
        </w:rPr>
        <w:t>第一部分</w:t>
      </w:r>
      <w:r>
        <w:rPr>
          <w:sz w:val="24"/>
        </w:rPr>
        <w:t xml:space="preserve"> </w:t>
      </w:r>
      <w:r>
        <w:rPr>
          <w:rFonts w:hint="eastAsia"/>
          <w:sz w:val="24"/>
        </w:rPr>
        <w:t>单位概况</w:t>
      </w:r>
      <w:r>
        <w:rPr>
          <w:rFonts w:hint="default"/>
          <w:sz w:val="24"/>
          <w:lang w:val="en"/>
        </w:rPr>
        <w:t>................................................4</w:t>
      </w:r>
    </w:p>
    <w:p>
      <w:pPr>
        <w:pStyle w:val="13"/>
        <w:adjustRightInd w:val="0"/>
        <w:snapToGrid w:val="0"/>
        <w:spacing w:line="440" w:lineRule="exact"/>
        <w:jc w:val="left"/>
        <w:rPr>
          <w:rFonts w:hint="default"/>
          <w:sz w:val="24"/>
          <w:lang w:val="en"/>
        </w:rPr>
      </w:pPr>
      <w:r>
        <w:rPr>
          <w:rFonts w:hint="eastAsia"/>
          <w:sz w:val="24"/>
        </w:rPr>
        <w:t>一、主要职责</w:t>
      </w:r>
      <w:r>
        <w:rPr>
          <w:rFonts w:hint="default"/>
          <w:sz w:val="24"/>
          <w:lang w:val="en"/>
        </w:rPr>
        <w:t>...................................................................................................4</w:t>
      </w:r>
    </w:p>
    <w:p>
      <w:pPr>
        <w:pStyle w:val="13"/>
        <w:adjustRightInd w:val="0"/>
        <w:snapToGrid w:val="0"/>
        <w:spacing w:line="440" w:lineRule="exact"/>
        <w:jc w:val="left"/>
        <w:rPr>
          <w:rFonts w:hint="default"/>
          <w:lang w:val="en"/>
        </w:rPr>
      </w:pPr>
      <w:r>
        <w:rPr>
          <w:rFonts w:hint="eastAsia"/>
          <w:sz w:val="24"/>
        </w:rPr>
        <w:t>二、机构设置</w:t>
      </w:r>
      <w:r>
        <w:rPr>
          <w:rFonts w:hint="default"/>
          <w:sz w:val="24"/>
          <w:lang w:val="en"/>
        </w:rPr>
        <w:t>...................................................................................................4</w:t>
      </w:r>
    </w:p>
    <w:p>
      <w:pPr>
        <w:pStyle w:val="12"/>
        <w:adjustRightInd w:val="0"/>
        <w:snapToGrid w:val="0"/>
        <w:spacing w:before="0" w:line="440" w:lineRule="exact"/>
        <w:jc w:val="left"/>
        <w:rPr>
          <w:rFonts w:hint="default"/>
          <w:sz w:val="24"/>
          <w:szCs w:val="24"/>
          <w:lang w:val="en"/>
        </w:rPr>
      </w:pPr>
      <w:r>
        <w:rPr>
          <w:rFonts w:hint="eastAsia"/>
          <w:sz w:val="24"/>
        </w:rPr>
        <w:t>第二部分 2023年度单位决算情况说明</w:t>
      </w:r>
      <w:r>
        <w:rPr>
          <w:rFonts w:hint="default"/>
          <w:sz w:val="24"/>
          <w:lang w:val="en"/>
        </w:rPr>
        <w:t>................................5</w:t>
      </w:r>
    </w:p>
    <w:p>
      <w:pPr>
        <w:pStyle w:val="13"/>
        <w:adjustRightInd w:val="0"/>
        <w:snapToGrid w:val="0"/>
        <w:spacing w:line="440" w:lineRule="exact"/>
        <w:jc w:val="left"/>
        <w:rPr>
          <w:rFonts w:hint="default" w:ascii="仿宋" w:hAnsi="仿宋" w:eastAsia="仿宋" w:cstheme="minorBidi"/>
          <w:sz w:val="24"/>
          <w:lang w:val="en"/>
        </w:rPr>
      </w:pPr>
      <w:r>
        <w:rPr>
          <w:rFonts w:hint="eastAsia"/>
          <w:sz w:val="24"/>
        </w:rPr>
        <w:t>一、收入支出决算总体情况说明</w:t>
      </w:r>
      <w:r>
        <w:rPr>
          <w:rFonts w:hint="default"/>
          <w:sz w:val="24"/>
          <w:lang w:val="en"/>
        </w:rPr>
        <w:t>....................................................................5</w:t>
      </w:r>
    </w:p>
    <w:p>
      <w:pPr>
        <w:pStyle w:val="13"/>
        <w:adjustRightInd w:val="0"/>
        <w:snapToGrid w:val="0"/>
        <w:spacing w:line="440" w:lineRule="exact"/>
        <w:jc w:val="left"/>
        <w:rPr>
          <w:rFonts w:hint="default" w:ascii="仿宋" w:hAnsi="仿宋" w:eastAsia="仿宋" w:cstheme="minorBidi"/>
          <w:sz w:val="24"/>
          <w:lang w:val="en"/>
        </w:rPr>
      </w:pPr>
      <w:r>
        <w:rPr>
          <w:rFonts w:hint="eastAsia"/>
          <w:sz w:val="24"/>
        </w:rPr>
        <w:t>二、收入决算情况说明</w:t>
      </w:r>
      <w:r>
        <w:rPr>
          <w:rFonts w:hint="default"/>
          <w:sz w:val="24"/>
          <w:lang w:val="en"/>
        </w:rPr>
        <w:t>....................................................................................5</w:t>
      </w:r>
    </w:p>
    <w:p>
      <w:pPr>
        <w:pStyle w:val="13"/>
        <w:adjustRightInd w:val="0"/>
        <w:snapToGrid w:val="0"/>
        <w:spacing w:line="440" w:lineRule="exact"/>
        <w:jc w:val="left"/>
        <w:rPr>
          <w:rFonts w:hint="default" w:ascii="仿宋" w:hAnsi="仿宋" w:eastAsia="仿宋" w:cstheme="minorBidi"/>
          <w:sz w:val="24"/>
          <w:lang w:val="en"/>
        </w:rPr>
      </w:pPr>
      <w:r>
        <w:rPr>
          <w:rFonts w:hint="eastAsia"/>
          <w:sz w:val="24"/>
        </w:rPr>
        <w:t>三、支出决算情况说明</w:t>
      </w:r>
      <w:r>
        <w:rPr>
          <w:rFonts w:hint="default"/>
          <w:sz w:val="24"/>
          <w:lang w:val="en"/>
        </w:rPr>
        <w:t>....................................................................................6</w:t>
      </w:r>
    </w:p>
    <w:p>
      <w:pPr>
        <w:pStyle w:val="13"/>
        <w:adjustRightInd w:val="0"/>
        <w:snapToGrid w:val="0"/>
        <w:spacing w:line="440" w:lineRule="exact"/>
        <w:jc w:val="left"/>
        <w:rPr>
          <w:rFonts w:hint="default" w:ascii="仿宋" w:hAnsi="仿宋" w:eastAsia="仿宋" w:cstheme="minorBidi"/>
          <w:sz w:val="24"/>
          <w:lang w:val="en"/>
        </w:rPr>
      </w:pPr>
      <w:r>
        <w:rPr>
          <w:rFonts w:hint="eastAsia"/>
          <w:sz w:val="24"/>
        </w:rPr>
        <w:t>四、财政拨款收入支出决算总体情况说明</w:t>
      </w:r>
      <w:r>
        <w:rPr>
          <w:rFonts w:hint="default"/>
          <w:sz w:val="24"/>
          <w:lang w:val="en"/>
        </w:rPr>
        <w:t>....................................................7</w:t>
      </w:r>
    </w:p>
    <w:p>
      <w:pPr>
        <w:pStyle w:val="13"/>
        <w:adjustRightInd w:val="0"/>
        <w:snapToGrid w:val="0"/>
        <w:spacing w:line="440" w:lineRule="exact"/>
        <w:jc w:val="left"/>
        <w:rPr>
          <w:rFonts w:hint="default" w:ascii="仿宋" w:hAnsi="仿宋" w:eastAsia="仿宋" w:cstheme="minorBidi"/>
          <w:sz w:val="24"/>
          <w:lang w:val="en"/>
        </w:rPr>
      </w:pPr>
      <w:r>
        <w:rPr>
          <w:rFonts w:hint="eastAsia"/>
          <w:sz w:val="24"/>
        </w:rPr>
        <w:t>五、一般公共预算财政拨款支出决算情况说明</w:t>
      </w:r>
      <w:r>
        <w:rPr>
          <w:rFonts w:hint="default"/>
          <w:sz w:val="24"/>
          <w:lang w:val="en"/>
        </w:rPr>
        <w:t>............................................7</w:t>
      </w:r>
    </w:p>
    <w:p>
      <w:pPr>
        <w:pStyle w:val="13"/>
        <w:adjustRightInd w:val="0"/>
        <w:snapToGrid w:val="0"/>
        <w:spacing w:line="440" w:lineRule="exact"/>
        <w:jc w:val="left"/>
        <w:rPr>
          <w:rFonts w:hint="default" w:ascii="仿宋" w:hAnsi="仿宋" w:eastAsia="仿宋" w:cstheme="minorBidi"/>
          <w:sz w:val="24"/>
          <w:lang w:val="en"/>
        </w:rPr>
      </w:pPr>
      <w:r>
        <w:rPr>
          <w:rFonts w:hint="eastAsia"/>
          <w:sz w:val="24"/>
        </w:rPr>
        <w:t>六、一般公共预算财政拨款基本支出决算情况说明</w:t>
      </w:r>
      <w:r>
        <w:rPr>
          <w:rFonts w:hint="default"/>
          <w:sz w:val="24"/>
          <w:lang w:val="en"/>
        </w:rPr>
        <w:t>....................................9</w:t>
      </w:r>
    </w:p>
    <w:p>
      <w:pPr>
        <w:pStyle w:val="13"/>
        <w:adjustRightInd w:val="0"/>
        <w:snapToGrid w:val="0"/>
        <w:spacing w:line="440" w:lineRule="exact"/>
        <w:jc w:val="left"/>
        <w:rPr>
          <w:rFonts w:hint="default" w:ascii="仿宋" w:hAnsi="仿宋" w:eastAsia="仿宋" w:cstheme="minorBidi"/>
          <w:sz w:val="24"/>
          <w:lang w:val="en"/>
        </w:rPr>
      </w:pPr>
      <w:r>
        <w:rPr>
          <w:rFonts w:hint="eastAsia"/>
          <w:sz w:val="24"/>
        </w:rPr>
        <w:t>七、财政拨款“三公”经费支出决算情况说明</w:t>
      </w:r>
      <w:r>
        <w:rPr>
          <w:rFonts w:hint="default"/>
          <w:sz w:val="24"/>
          <w:lang w:val="en"/>
        </w:rPr>
        <w:t>...........................................10</w:t>
      </w:r>
    </w:p>
    <w:p>
      <w:pPr>
        <w:pStyle w:val="13"/>
        <w:adjustRightInd w:val="0"/>
        <w:snapToGrid w:val="0"/>
        <w:spacing w:line="440" w:lineRule="exact"/>
        <w:jc w:val="left"/>
        <w:rPr>
          <w:rFonts w:hint="default" w:ascii="仿宋" w:hAnsi="仿宋" w:eastAsia="仿宋" w:cstheme="minorBidi"/>
          <w:sz w:val="24"/>
          <w:lang w:val="en"/>
        </w:rPr>
      </w:pPr>
      <w:r>
        <w:rPr>
          <w:rFonts w:hint="eastAsia"/>
          <w:sz w:val="24"/>
        </w:rPr>
        <w:t>八、政府性基金预算支出决算情况说明</w:t>
      </w:r>
      <w:r>
        <w:rPr>
          <w:rFonts w:hint="default"/>
          <w:sz w:val="24"/>
          <w:lang w:val="en"/>
        </w:rPr>
        <w:t>.......................................................12</w:t>
      </w:r>
    </w:p>
    <w:p>
      <w:pPr>
        <w:pStyle w:val="13"/>
        <w:adjustRightInd w:val="0"/>
        <w:snapToGrid w:val="0"/>
        <w:spacing w:line="440" w:lineRule="exact"/>
        <w:jc w:val="left"/>
        <w:rPr>
          <w:rFonts w:hint="default"/>
          <w:sz w:val="24"/>
          <w:lang w:val="en"/>
        </w:rPr>
      </w:pPr>
      <w:r>
        <w:rPr>
          <w:rFonts w:hint="eastAsia"/>
          <w:sz w:val="24"/>
        </w:rPr>
        <w:t>九、国有资本经营预算支出决算情况说明</w:t>
      </w:r>
      <w:r>
        <w:rPr>
          <w:rFonts w:hint="default"/>
          <w:sz w:val="24"/>
          <w:lang w:val="en"/>
        </w:rPr>
        <w:t>...................................................12</w:t>
      </w:r>
    </w:p>
    <w:p>
      <w:pPr>
        <w:pStyle w:val="13"/>
        <w:adjustRightInd w:val="0"/>
        <w:snapToGrid w:val="0"/>
        <w:spacing w:line="440" w:lineRule="exact"/>
        <w:jc w:val="left"/>
        <w:rPr>
          <w:rFonts w:hint="default"/>
          <w:sz w:val="24"/>
          <w:lang w:val="en"/>
        </w:rPr>
      </w:pPr>
      <w:r>
        <w:rPr>
          <w:rFonts w:hint="eastAsia"/>
          <w:sz w:val="24"/>
        </w:rPr>
        <w:t>十、其他重要事项的情况说明</w:t>
      </w:r>
      <w:r>
        <w:rPr>
          <w:rFonts w:hint="default"/>
          <w:sz w:val="24"/>
          <w:lang w:val="en"/>
        </w:rPr>
        <w:t>.......................................................................12</w:t>
      </w:r>
    </w:p>
    <w:p>
      <w:pPr>
        <w:pStyle w:val="12"/>
        <w:adjustRightInd w:val="0"/>
        <w:snapToGrid w:val="0"/>
        <w:spacing w:before="0" w:line="440" w:lineRule="exact"/>
        <w:jc w:val="left"/>
        <w:rPr>
          <w:rFonts w:hint="default" w:cstheme="minorBidi"/>
          <w:sz w:val="24"/>
          <w:szCs w:val="24"/>
          <w:lang w:val="en"/>
        </w:rPr>
      </w:pPr>
      <w:r>
        <w:rPr>
          <w:rFonts w:hint="eastAsia"/>
          <w:sz w:val="24"/>
        </w:rPr>
        <w:t>第三部分</w:t>
      </w:r>
      <w:r>
        <w:rPr>
          <w:sz w:val="24"/>
        </w:rPr>
        <w:t xml:space="preserve"> </w:t>
      </w:r>
      <w:r>
        <w:rPr>
          <w:rFonts w:hint="eastAsia"/>
          <w:sz w:val="24"/>
        </w:rPr>
        <w:t>名词解释</w:t>
      </w:r>
      <w:r>
        <w:rPr>
          <w:rFonts w:hint="default"/>
          <w:sz w:val="24"/>
          <w:lang w:val="en"/>
        </w:rPr>
        <w:t>................................................14</w:t>
      </w:r>
    </w:p>
    <w:p>
      <w:pPr>
        <w:pStyle w:val="12"/>
        <w:adjustRightInd w:val="0"/>
        <w:snapToGrid w:val="0"/>
        <w:spacing w:before="0" w:line="440" w:lineRule="exact"/>
        <w:jc w:val="left"/>
        <w:rPr>
          <w:rFonts w:hint="default" w:cstheme="minorBidi"/>
          <w:sz w:val="24"/>
          <w:szCs w:val="24"/>
          <w:lang w:val="en"/>
        </w:rPr>
      </w:pPr>
      <w:r>
        <w:rPr>
          <w:rFonts w:hint="eastAsia"/>
          <w:sz w:val="24"/>
        </w:rPr>
        <w:t>第四部分</w:t>
      </w:r>
      <w:r>
        <w:rPr>
          <w:sz w:val="24"/>
        </w:rPr>
        <w:t xml:space="preserve"> </w:t>
      </w:r>
      <w:r>
        <w:rPr>
          <w:rFonts w:hint="eastAsia"/>
          <w:sz w:val="24"/>
        </w:rPr>
        <w:t>附件</w:t>
      </w:r>
      <w:r>
        <w:rPr>
          <w:rFonts w:hint="default"/>
          <w:sz w:val="24"/>
          <w:lang w:val="en"/>
        </w:rPr>
        <w:t>....................................................16</w:t>
      </w:r>
    </w:p>
    <w:p>
      <w:pPr>
        <w:pStyle w:val="12"/>
        <w:adjustRightInd w:val="0"/>
        <w:snapToGrid w:val="0"/>
        <w:spacing w:before="0" w:line="440" w:lineRule="exact"/>
        <w:jc w:val="left"/>
        <w:rPr>
          <w:rFonts w:hint="default" w:cstheme="minorBidi"/>
          <w:sz w:val="24"/>
          <w:szCs w:val="24"/>
          <w:lang w:val="en"/>
        </w:rPr>
      </w:pPr>
      <w:r>
        <w:rPr>
          <w:rFonts w:hint="eastAsia"/>
          <w:sz w:val="24"/>
        </w:rPr>
        <w:t>第五部分</w:t>
      </w:r>
      <w:r>
        <w:rPr>
          <w:sz w:val="24"/>
        </w:rPr>
        <w:t xml:space="preserve"> </w:t>
      </w:r>
      <w:r>
        <w:rPr>
          <w:rFonts w:hint="eastAsia"/>
          <w:sz w:val="24"/>
        </w:rPr>
        <w:t>附表</w:t>
      </w:r>
      <w:r>
        <w:rPr>
          <w:rFonts w:hint="default"/>
          <w:sz w:val="24"/>
          <w:lang w:val="en"/>
        </w:rPr>
        <w:t>....................................................17</w:t>
      </w:r>
    </w:p>
    <w:p>
      <w:pPr>
        <w:pStyle w:val="13"/>
        <w:adjustRightInd w:val="0"/>
        <w:snapToGrid w:val="0"/>
        <w:spacing w:line="440" w:lineRule="exact"/>
        <w:jc w:val="left"/>
        <w:rPr>
          <w:rFonts w:hint="default"/>
          <w:sz w:val="24"/>
          <w:lang w:val="en"/>
        </w:rPr>
      </w:pPr>
      <w:r>
        <w:rPr>
          <w:rFonts w:hint="eastAsia"/>
          <w:sz w:val="24"/>
        </w:rPr>
        <w:t>一、收入支出决算总表</w:t>
      </w:r>
      <w:r>
        <w:rPr>
          <w:rFonts w:hint="default"/>
          <w:sz w:val="24"/>
          <w:lang w:val="en"/>
        </w:rPr>
        <w:t>...................................................................................17</w:t>
      </w:r>
    </w:p>
    <w:p>
      <w:pPr>
        <w:pStyle w:val="13"/>
        <w:adjustRightInd w:val="0"/>
        <w:snapToGrid w:val="0"/>
        <w:spacing w:line="440" w:lineRule="exact"/>
        <w:jc w:val="left"/>
        <w:rPr>
          <w:sz w:val="24"/>
        </w:rPr>
      </w:pPr>
      <w:r>
        <w:rPr>
          <w:rFonts w:hint="eastAsia"/>
          <w:sz w:val="24"/>
        </w:rPr>
        <w:t>二、收入决算表</w:t>
      </w:r>
      <w:r>
        <w:rPr>
          <w:rFonts w:hint="default"/>
          <w:sz w:val="24"/>
          <w:lang w:val="en"/>
        </w:rPr>
        <w:t>...............................................................................................17</w:t>
      </w:r>
    </w:p>
    <w:p>
      <w:pPr>
        <w:pStyle w:val="13"/>
        <w:adjustRightInd w:val="0"/>
        <w:snapToGrid w:val="0"/>
        <w:spacing w:line="440" w:lineRule="exact"/>
        <w:jc w:val="left"/>
        <w:rPr>
          <w:sz w:val="24"/>
        </w:rPr>
      </w:pPr>
      <w:r>
        <w:rPr>
          <w:rFonts w:hint="eastAsia"/>
          <w:sz w:val="24"/>
        </w:rPr>
        <w:t>三、支出决算表</w:t>
      </w:r>
      <w:r>
        <w:rPr>
          <w:rFonts w:hint="default"/>
          <w:sz w:val="24"/>
          <w:lang w:val="en"/>
        </w:rPr>
        <w:t>...............................................................................................17</w:t>
      </w:r>
    </w:p>
    <w:p>
      <w:pPr>
        <w:pStyle w:val="13"/>
        <w:adjustRightInd w:val="0"/>
        <w:snapToGrid w:val="0"/>
        <w:spacing w:line="440" w:lineRule="exact"/>
        <w:jc w:val="left"/>
        <w:rPr>
          <w:sz w:val="24"/>
        </w:rPr>
      </w:pPr>
      <w:r>
        <w:rPr>
          <w:rFonts w:hint="eastAsia"/>
          <w:sz w:val="24"/>
        </w:rPr>
        <w:t>四、财政拨款收入支出决算总表</w:t>
      </w:r>
      <w:r>
        <w:rPr>
          <w:rFonts w:hint="default"/>
          <w:sz w:val="24"/>
          <w:lang w:val="en"/>
        </w:rPr>
        <w:t>...................................................................17</w:t>
      </w:r>
    </w:p>
    <w:p>
      <w:pPr>
        <w:pStyle w:val="13"/>
        <w:adjustRightInd w:val="0"/>
        <w:snapToGrid w:val="0"/>
        <w:spacing w:line="440" w:lineRule="exact"/>
        <w:jc w:val="left"/>
        <w:rPr>
          <w:sz w:val="24"/>
        </w:rPr>
      </w:pPr>
      <w:r>
        <w:rPr>
          <w:rFonts w:hint="eastAsia"/>
          <w:sz w:val="24"/>
        </w:rPr>
        <w:t>五、财政拨款支出决算明细表</w:t>
      </w:r>
      <w:r>
        <w:rPr>
          <w:rFonts w:hint="default"/>
          <w:sz w:val="24"/>
          <w:lang w:val="en"/>
        </w:rPr>
        <w:t>.......................................................................17</w:t>
      </w:r>
    </w:p>
    <w:p>
      <w:pPr>
        <w:pStyle w:val="13"/>
        <w:adjustRightInd w:val="0"/>
        <w:snapToGrid w:val="0"/>
        <w:spacing w:line="440" w:lineRule="exact"/>
        <w:jc w:val="left"/>
        <w:rPr>
          <w:sz w:val="24"/>
        </w:rPr>
      </w:pPr>
      <w:r>
        <w:rPr>
          <w:rFonts w:hint="eastAsia"/>
          <w:sz w:val="24"/>
        </w:rPr>
        <w:t>六、一般公共预算财政拨款支出决算表</w:t>
      </w:r>
      <w:r>
        <w:rPr>
          <w:rFonts w:hint="default"/>
          <w:sz w:val="24"/>
          <w:lang w:val="en"/>
        </w:rPr>
        <w:t>.......................................................17</w:t>
      </w:r>
    </w:p>
    <w:p>
      <w:pPr>
        <w:pStyle w:val="13"/>
        <w:adjustRightInd w:val="0"/>
        <w:snapToGrid w:val="0"/>
        <w:spacing w:line="440" w:lineRule="exact"/>
        <w:jc w:val="left"/>
        <w:rPr>
          <w:sz w:val="24"/>
        </w:rPr>
      </w:pPr>
      <w:r>
        <w:rPr>
          <w:rFonts w:hint="eastAsia"/>
          <w:sz w:val="24"/>
        </w:rPr>
        <w:t>七、一般公共预算财政拨款支出决算明细表</w:t>
      </w:r>
      <w:r>
        <w:rPr>
          <w:rFonts w:hint="default"/>
          <w:sz w:val="24"/>
          <w:lang w:val="en"/>
        </w:rPr>
        <w:t>...............................................17</w:t>
      </w:r>
    </w:p>
    <w:p>
      <w:pPr>
        <w:pStyle w:val="13"/>
        <w:adjustRightInd w:val="0"/>
        <w:snapToGrid w:val="0"/>
        <w:spacing w:line="440" w:lineRule="exact"/>
        <w:jc w:val="left"/>
        <w:rPr>
          <w:sz w:val="24"/>
        </w:rPr>
      </w:pPr>
      <w:r>
        <w:rPr>
          <w:rFonts w:hint="eastAsia"/>
          <w:sz w:val="24"/>
        </w:rPr>
        <w:t>八、一般公共预算财政拨款基本支出决算明细表</w:t>
      </w:r>
      <w:r>
        <w:rPr>
          <w:rFonts w:hint="default"/>
          <w:sz w:val="24"/>
          <w:lang w:val="en"/>
        </w:rPr>
        <w:t>.......................................17</w:t>
      </w:r>
    </w:p>
    <w:p>
      <w:pPr>
        <w:pStyle w:val="13"/>
        <w:adjustRightInd w:val="0"/>
        <w:snapToGrid w:val="0"/>
        <w:spacing w:line="440" w:lineRule="exact"/>
        <w:jc w:val="left"/>
        <w:rPr>
          <w:sz w:val="24"/>
        </w:rPr>
      </w:pPr>
      <w:r>
        <w:rPr>
          <w:rFonts w:hint="eastAsia"/>
          <w:sz w:val="24"/>
        </w:rPr>
        <w:t>九、一般公共预算财政拨款项目支出决算表</w:t>
      </w:r>
      <w:r>
        <w:rPr>
          <w:rFonts w:hint="default"/>
          <w:sz w:val="24"/>
          <w:lang w:val="en"/>
        </w:rPr>
        <w:t>...............................................17</w:t>
      </w:r>
    </w:p>
    <w:p>
      <w:pPr>
        <w:pStyle w:val="13"/>
        <w:adjustRightInd w:val="0"/>
        <w:snapToGrid w:val="0"/>
        <w:spacing w:line="440" w:lineRule="exact"/>
        <w:jc w:val="left"/>
        <w:rPr>
          <w:sz w:val="24"/>
        </w:rPr>
      </w:pPr>
      <w:r>
        <w:rPr>
          <w:rFonts w:hint="eastAsia"/>
          <w:sz w:val="24"/>
        </w:rPr>
        <w:t>十、政府性基金预算财政拨款收入支出决算表</w:t>
      </w:r>
      <w:r>
        <w:rPr>
          <w:rFonts w:hint="default"/>
          <w:sz w:val="24"/>
          <w:lang w:val="en"/>
        </w:rPr>
        <w:t>...........................................17</w:t>
      </w:r>
    </w:p>
    <w:p>
      <w:pPr>
        <w:pStyle w:val="13"/>
        <w:adjustRightInd w:val="0"/>
        <w:snapToGrid w:val="0"/>
        <w:spacing w:line="440" w:lineRule="exact"/>
        <w:jc w:val="left"/>
        <w:rPr>
          <w:sz w:val="24"/>
        </w:rPr>
      </w:pPr>
      <w:r>
        <w:rPr>
          <w:rFonts w:hint="eastAsia"/>
          <w:sz w:val="24"/>
        </w:rPr>
        <w:t>十一、国有资本经营预算财政拨款收入支出决算表</w:t>
      </w:r>
      <w:r>
        <w:rPr>
          <w:rFonts w:hint="default"/>
          <w:sz w:val="24"/>
          <w:lang w:val="en"/>
        </w:rPr>
        <w:t>....................................17</w:t>
      </w:r>
    </w:p>
    <w:p>
      <w:pPr>
        <w:pStyle w:val="13"/>
        <w:adjustRightInd w:val="0"/>
        <w:snapToGrid w:val="0"/>
        <w:spacing w:line="440" w:lineRule="exact"/>
        <w:jc w:val="left"/>
        <w:rPr>
          <w:sz w:val="24"/>
        </w:rPr>
      </w:pPr>
      <w:r>
        <w:rPr>
          <w:rFonts w:hint="eastAsia"/>
          <w:sz w:val="24"/>
        </w:rPr>
        <w:t>十二、国有资本经营预算财政拨款支出决算表</w:t>
      </w:r>
      <w:r>
        <w:rPr>
          <w:rFonts w:hint="default"/>
          <w:sz w:val="24"/>
          <w:lang w:val="en"/>
        </w:rPr>
        <w:t>...........................................17</w:t>
      </w:r>
    </w:p>
    <w:p>
      <w:pPr>
        <w:pStyle w:val="13"/>
        <w:adjustRightInd w:val="0"/>
        <w:snapToGrid w:val="0"/>
        <w:spacing w:line="440" w:lineRule="exact"/>
        <w:jc w:val="left"/>
        <w:rPr>
          <w:sz w:val="24"/>
        </w:rPr>
      </w:pPr>
      <w:r>
        <w:rPr>
          <w:rFonts w:hint="eastAsia"/>
          <w:sz w:val="24"/>
        </w:rPr>
        <w:t>十三、财政拨款“三公”经费支出决算表</w:t>
      </w:r>
      <w:r>
        <w:rPr>
          <w:rFonts w:hint="default"/>
          <w:sz w:val="24"/>
          <w:lang w:val="en"/>
        </w:rPr>
        <w:t>...................................................17</w:t>
      </w:r>
    </w:p>
    <w:p>
      <w:pPr>
        <w:pStyle w:val="13"/>
        <w:adjustRightInd w:val="0"/>
        <w:snapToGrid w:val="0"/>
        <w:spacing w:line="440" w:lineRule="exact"/>
        <w:jc w:val="left"/>
        <w:rPr>
          <w:sz w:val="24"/>
        </w:rPr>
      </w:pP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0"/>
        </w:numPr>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lang w:eastAsia="zh-CN"/>
        </w:rPr>
        <w:t>一、</w:t>
      </w:r>
      <w:r>
        <w:rPr>
          <w:rStyle w:val="29"/>
          <w:rFonts w:hint="eastAsia" w:ascii="黑体" w:hAnsi="黑体" w:eastAsia="黑体"/>
          <w:b w:val="0"/>
          <w:bCs w:val="0"/>
        </w:rPr>
        <w:t>主要职责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研究实验基地和大型科学仪器设备共享平台的建设与管理，市级重点实验室的管理，自然科技资源共享平台的建设和管理，科学数据共享平台的建设与管理，科技文献共享平台的建设与管理，成果转化公共服务平台的建设与管理，网络科技环境平台的建设与管理，全市技术创新人才库的建设与管理，承担农村产业科技服务工作。</w:t>
      </w:r>
    </w:p>
    <w:p>
      <w:pPr>
        <w:pStyle w:val="4"/>
        <w:rPr>
          <w:rFonts w:hint="eastAsia" w:ascii="黑体" w:hAnsi="黑体" w:eastAsia="黑体"/>
          <w:b w:val="0"/>
        </w:rPr>
      </w:pPr>
      <w:r>
        <w:rPr>
          <w:rFonts w:hint="eastAsia" w:ascii="黑体" w:hAnsi="黑体" w:eastAsia="黑体"/>
          <w:b w:val="0"/>
        </w:rPr>
        <w:t>二、机构设置</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攀枝花市科技基础条件平台属财政拨款公益二类事业单位</w:t>
      </w:r>
      <w:r>
        <w:rPr>
          <w:rFonts w:hint="eastAsia" w:ascii="仿宋_GB2312" w:eastAsia="仿宋_GB2312"/>
          <w:sz w:val="32"/>
          <w:szCs w:val="32"/>
          <w:lang w:val="en-US" w:eastAsia="zh-CN"/>
        </w:rPr>
        <w:t>，内设机构2个（综合部、业务部），事业编制12人。2023年底，实有在职人员10人，退休人员6人。</w:t>
      </w:r>
    </w:p>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p>
      <w:pPr>
        <w:pStyle w:val="27"/>
        <w:numPr>
          <w:ilvl w:val="0"/>
          <w:numId w:val="1"/>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2023年度收、支总计</w:t>
      </w:r>
      <w:r>
        <w:rPr>
          <w:rFonts w:hint="eastAsia" w:ascii="仿宋" w:hAnsi="仿宋" w:eastAsia="仿宋"/>
          <w:sz w:val="32"/>
          <w:szCs w:val="32"/>
          <w:lang w:val="en-US" w:eastAsia="zh-CN"/>
        </w:rPr>
        <w:t>均为207.21万元</w:t>
      </w:r>
      <w:r>
        <w:rPr>
          <w:rFonts w:hint="eastAsia" w:ascii="仿宋" w:hAnsi="仿宋" w:eastAsia="仿宋"/>
          <w:sz w:val="32"/>
          <w:szCs w:val="32"/>
        </w:rPr>
        <w:t>。与2022年度相比，收、支总计各减少</w:t>
      </w:r>
      <w:r>
        <w:rPr>
          <w:rFonts w:hint="eastAsia" w:ascii="仿宋" w:hAnsi="仿宋" w:eastAsia="仿宋"/>
          <w:sz w:val="32"/>
          <w:szCs w:val="32"/>
          <w:lang w:val="en-US" w:eastAsia="zh-CN"/>
        </w:rPr>
        <w:t>17.3</w:t>
      </w:r>
      <w:r>
        <w:rPr>
          <w:rFonts w:hint="eastAsia" w:ascii="仿宋" w:hAnsi="仿宋" w:eastAsia="仿宋"/>
          <w:sz w:val="32"/>
          <w:szCs w:val="32"/>
        </w:rPr>
        <w:t>万元，下降</w:t>
      </w:r>
      <w:r>
        <w:rPr>
          <w:rFonts w:hint="eastAsia" w:ascii="仿宋" w:hAnsi="仿宋" w:eastAsia="仿宋"/>
          <w:sz w:val="32"/>
          <w:szCs w:val="32"/>
          <w:lang w:val="en-US" w:eastAsia="zh-CN"/>
        </w:rPr>
        <w:t>7.71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职工绩效和保险基数调整，人员和公用经费减少。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jc w:val="center"/>
        <w:rPr>
          <w:rFonts w:ascii="仿宋_GB2312" w:eastAsia="仿宋_GB2312"/>
          <w:sz w:val="32"/>
          <w:szCs w:val="32"/>
        </w:rPr>
      </w:pPr>
      <w:r>
        <w:rPr>
          <w:rFonts w:hint="eastAsia" w:ascii="仿宋_GB2312" w:eastAsia="仿宋_GB2312"/>
          <w:sz w:val="32"/>
          <w:szCs w:val="32"/>
          <w:lang w:eastAsia="zh-CN"/>
        </w:rPr>
        <w:drawing>
          <wp:inline distT="0" distB="0" distL="114300" distR="114300">
            <wp:extent cx="5272405" cy="3002280"/>
            <wp:effectExtent l="0" t="0" r="4445" b="7620"/>
            <wp:docPr id="3" name="图片 3" descr="图片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true"/>
                    </pic:cNvPicPr>
                  </pic:nvPicPr>
                  <pic:blipFill>
                    <a:blip r:embed="rId6"/>
                    <a:stretch>
                      <a:fillRect/>
                    </a:stretch>
                  </pic:blipFill>
                  <pic:spPr>
                    <a:xfrm>
                      <a:off x="0" y="0"/>
                      <a:ext cx="5272405" cy="3002280"/>
                    </a:xfrm>
                    <a:prstGeom prst="rect">
                      <a:avLst/>
                    </a:prstGeom>
                  </pic:spPr>
                </pic:pic>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2023年度本年收</w:t>
      </w:r>
      <w:r>
        <w:rPr>
          <w:rFonts w:hint="eastAsia" w:ascii="仿宋" w:hAnsi="仿宋" w:eastAsia="仿宋"/>
          <w:sz w:val="32"/>
          <w:szCs w:val="32"/>
          <w:lang w:val="en-US" w:eastAsia="zh-CN"/>
        </w:rPr>
        <w:t>入合计207.21万元，其中：一般公共预算财政拨款收入207.21万元，占100%；政府性基金预算财政拨款收入0万元，占0%；国有资本经营预算财政拨款收入0万元，占0%；上级补助收入0万元，占0%；事业收入0万元，占0%；经营收入0万元，占0%；附属单位上缴收入0万元，占0%；其他收入0万元，占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outlineLvl w:val="1"/>
        <w:rPr>
          <w:rFonts w:hint="eastAsia" w:ascii="仿宋" w:hAnsi="仿宋" w:eastAsia="仿宋"/>
          <w:sz w:val="32"/>
          <w:szCs w:val="32"/>
          <w:lang w:eastAsia="zh-CN"/>
        </w:rPr>
      </w:pPr>
    </w:p>
    <w:p>
      <w:pPr>
        <w:pStyle w:val="2"/>
        <w:jc w:val="cente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84065" cy="2755265"/>
            <wp:effectExtent l="0" t="0" r="6985" b="6985"/>
            <wp:docPr id="4" name="图片 4" descr="图片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true"/>
                    </pic:cNvPicPr>
                  </pic:nvPicPr>
                  <pic:blipFill>
                    <a:blip r:embed="rId7"/>
                    <a:stretch>
                      <a:fillRect/>
                    </a:stretch>
                  </pic:blipFill>
                  <pic:spPr>
                    <a:xfrm>
                      <a:off x="0" y="0"/>
                      <a:ext cx="4584065" cy="2755265"/>
                    </a:xfrm>
                    <a:prstGeom prst="rect">
                      <a:avLst/>
                    </a:prstGeom>
                  </pic:spPr>
                </pic:pic>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lang w:val="en-US" w:eastAsia="zh-CN"/>
        </w:rPr>
      </w:pPr>
      <w:r>
        <w:rPr>
          <w:rFonts w:hint="eastAsia" w:ascii="仿宋" w:hAnsi="仿宋" w:eastAsia="仿宋"/>
          <w:sz w:val="32"/>
          <w:szCs w:val="32"/>
        </w:rPr>
        <w:t>2023年度本年</w:t>
      </w:r>
      <w:r>
        <w:rPr>
          <w:rFonts w:hint="eastAsia" w:ascii="仿宋" w:hAnsi="仿宋" w:eastAsia="仿宋"/>
          <w:sz w:val="32"/>
          <w:szCs w:val="32"/>
          <w:lang w:val="en-US" w:eastAsia="zh-CN"/>
        </w:rPr>
        <w:t>支出合计207.21万元，其中：基本支出195.89万元，占94.53%；项目支出11.31万元，占5.46%；上缴上级支出0万元，占0%；经营支出0万元，占0%；对附属单位补助支出0万元，占0%。</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pStyle w:val="2"/>
        <w:jc w:val="center"/>
        <w:rPr>
          <w:rFonts w:ascii="仿宋_GB2312" w:eastAsia="仿宋_GB2312"/>
          <w:sz w:val="32"/>
          <w:szCs w:val="32"/>
        </w:rPr>
      </w:pPr>
      <w:r>
        <w:rPr>
          <w:rFonts w:hint="eastAsia" w:ascii="仿宋_GB2312" w:eastAsia="仿宋_GB2312"/>
          <w:sz w:val="32"/>
          <w:szCs w:val="32"/>
          <w:lang w:eastAsia="zh-CN"/>
        </w:rPr>
        <w:drawing>
          <wp:inline distT="0" distB="0" distL="114300" distR="114300">
            <wp:extent cx="3956050" cy="2548255"/>
            <wp:effectExtent l="0" t="0" r="6350" b="4445"/>
            <wp:docPr id="5" name="图片 5" descr="图片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true"/>
                    </pic:cNvPicPr>
                  </pic:nvPicPr>
                  <pic:blipFill>
                    <a:blip r:embed="rId8"/>
                    <a:stretch>
                      <a:fillRect/>
                    </a:stretch>
                  </pic:blipFill>
                  <pic:spPr>
                    <a:xfrm>
                      <a:off x="0" y="0"/>
                      <a:ext cx="3956050" cy="2548255"/>
                    </a:xfrm>
                    <a:prstGeom prst="rect">
                      <a:avLst/>
                    </a:prstGeom>
                  </pic:spPr>
                </pic:pic>
              </a:graphicData>
            </a:graphic>
          </wp:inline>
        </w:drawing>
      </w:r>
    </w:p>
    <w:p>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hint="eastAsia" w:ascii="仿宋" w:hAnsi="仿宋" w:eastAsia="仿宋"/>
          <w:sz w:val="32"/>
          <w:szCs w:val="32"/>
        </w:rPr>
        <w:t>2023年度财政拨款收、支总</w:t>
      </w:r>
      <w:r>
        <w:rPr>
          <w:rFonts w:hint="eastAsia" w:ascii="仿宋" w:hAnsi="仿宋" w:eastAsia="仿宋"/>
          <w:sz w:val="32"/>
          <w:szCs w:val="32"/>
          <w:lang w:val="en-US" w:eastAsia="zh-CN"/>
        </w:rPr>
        <w:t>计均为207.21万</w:t>
      </w:r>
      <w:r>
        <w:rPr>
          <w:rFonts w:hint="eastAsia" w:ascii="仿宋" w:hAnsi="仿宋" w:eastAsia="仿宋"/>
          <w:sz w:val="32"/>
          <w:szCs w:val="32"/>
        </w:rPr>
        <w:t>元。与2022年度相比，财政拨款收、支总计各减少</w:t>
      </w:r>
      <w:r>
        <w:rPr>
          <w:rFonts w:hint="eastAsia" w:ascii="仿宋" w:hAnsi="仿宋" w:eastAsia="仿宋"/>
          <w:sz w:val="32"/>
          <w:szCs w:val="32"/>
          <w:lang w:val="en-US" w:eastAsia="zh-CN"/>
        </w:rPr>
        <w:t>17.3</w:t>
      </w:r>
      <w:r>
        <w:rPr>
          <w:rFonts w:hint="eastAsia" w:ascii="仿宋" w:hAnsi="仿宋" w:eastAsia="仿宋"/>
          <w:sz w:val="32"/>
          <w:szCs w:val="32"/>
        </w:rPr>
        <w:t>万元，下降</w:t>
      </w:r>
      <w:r>
        <w:rPr>
          <w:rFonts w:hint="eastAsia" w:ascii="仿宋" w:hAnsi="仿宋" w:eastAsia="仿宋"/>
          <w:sz w:val="32"/>
          <w:szCs w:val="32"/>
          <w:lang w:val="en-US" w:eastAsia="zh-CN"/>
        </w:rPr>
        <w:t>7.71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职工绩效和保险基数调整，人员和公用经费减少。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rPr>
          <w:rFonts w:ascii="仿宋" w:hAnsi="仿宋" w:eastAsia="仿宋"/>
          <w:b/>
          <w:sz w:val="32"/>
          <w:szCs w:val="32"/>
        </w:rPr>
      </w:pPr>
      <w:r>
        <w:rPr>
          <w:rFonts w:hint="eastAsia" w:ascii="仿宋" w:hAnsi="仿宋" w:eastAsia="仿宋"/>
          <w:b/>
          <w:sz w:val="32"/>
          <w:szCs w:val="32"/>
          <w:lang w:eastAsia="zh-CN"/>
        </w:rPr>
        <w:drawing>
          <wp:inline distT="0" distB="0" distL="114300" distR="114300">
            <wp:extent cx="5272405" cy="2771140"/>
            <wp:effectExtent l="0" t="0" r="4445" b="10160"/>
            <wp:docPr id="6" name="图片 6" descr="图片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图片6"/>
                    <pic:cNvPicPr>
                      <a:picLocks noChangeAspect="true"/>
                    </pic:cNvPicPr>
                  </pic:nvPicPr>
                  <pic:blipFill>
                    <a:blip r:embed="rId9"/>
                    <a:stretch>
                      <a:fillRect/>
                    </a:stretch>
                  </pic:blipFill>
                  <pic:spPr>
                    <a:xfrm>
                      <a:off x="0" y="0"/>
                      <a:ext cx="5272405" cy="2771140"/>
                    </a:xfrm>
                    <a:prstGeom prst="rect">
                      <a:avLst/>
                    </a:prstGeom>
                  </pic:spPr>
                </pic:pic>
              </a:graphicData>
            </a:graphic>
          </wp:inline>
        </w:drawing>
      </w:r>
    </w:p>
    <w:p>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w:t>
      </w:r>
      <w:r>
        <w:rPr>
          <w:rFonts w:hint="eastAsia" w:ascii="仿宋" w:hAnsi="仿宋" w:eastAsia="仿宋"/>
          <w:sz w:val="32"/>
          <w:szCs w:val="32"/>
          <w:lang w:val="en-US" w:eastAsia="zh-CN"/>
        </w:rPr>
        <w:t>款支出207.21万元，占本年支出合计的100%。</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17.3</w:t>
      </w:r>
      <w:r>
        <w:rPr>
          <w:rFonts w:hint="eastAsia" w:ascii="仿宋" w:hAnsi="仿宋" w:eastAsia="仿宋"/>
          <w:sz w:val="32"/>
          <w:szCs w:val="32"/>
        </w:rPr>
        <w:t>万元，下降</w:t>
      </w:r>
      <w:r>
        <w:rPr>
          <w:rFonts w:hint="eastAsia" w:ascii="仿宋" w:hAnsi="仿宋" w:eastAsia="仿宋"/>
          <w:sz w:val="32"/>
          <w:szCs w:val="32"/>
          <w:lang w:val="en-US" w:eastAsia="zh-CN"/>
        </w:rPr>
        <w:t>7.71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职工绩效和保险基数调整，人员和公用经费减少。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pStyle w:val="2"/>
        <w:jc w:val="center"/>
        <w:rPr>
          <w:rFonts w:ascii="仿宋" w:hAnsi="仿宋" w:eastAsia="仿宋"/>
          <w:sz w:val="32"/>
          <w:szCs w:val="32"/>
        </w:rPr>
      </w:pPr>
      <w:r>
        <w:rPr>
          <w:rFonts w:hint="eastAsia" w:ascii="仿宋" w:hAnsi="仿宋" w:eastAsia="仿宋"/>
          <w:sz w:val="32"/>
          <w:szCs w:val="32"/>
          <w:lang w:eastAsia="zh-CN"/>
        </w:rPr>
        <w:drawing>
          <wp:inline distT="0" distB="0" distL="114300" distR="114300">
            <wp:extent cx="4584065" cy="2785745"/>
            <wp:effectExtent l="0" t="0" r="6985" b="14605"/>
            <wp:docPr id="7" name="图片 7" descr="图片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图片7"/>
                    <pic:cNvPicPr>
                      <a:picLocks noChangeAspect="true"/>
                    </pic:cNvPicPr>
                  </pic:nvPicPr>
                  <pic:blipFill>
                    <a:blip r:embed="rId10"/>
                    <a:stretch>
                      <a:fillRect/>
                    </a:stretch>
                  </pic:blipFill>
                  <pic:spPr>
                    <a:xfrm>
                      <a:off x="0" y="0"/>
                      <a:ext cx="4584065" cy="2785745"/>
                    </a:xfrm>
                    <a:prstGeom prst="rect">
                      <a:avLst/>
                    </a:prstGeom>
                  </pic:spPr>
                </pic:pic>
              </a:graphicData>
            </a:graphic>
          </wp:inline>
        </w:drawing>
      </w: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hint="eastAsia" w:ascii="仿宋" w:hAnsi="仿宋" w:eastAsia="仿宋"/>
          <w:sz w:val="32"/>
          <w:szCs w:val="32"/>
          <w:lang w:val="en-US" w:eastAsia="zh-CN"/>
        </w:rPr>
        <w:t>207.21万</w:t>
      </w:r>
      <w:r>
        <w:rPr>
          <w:rFonts w:hint="eastAsia" w:ascii="仿宋" w:hAnsi="仿宋" w:eastAsia="仿宋"/>
          <w:sz w:val="32"/>
          <w:szCs w:val="32"/>
        </w:rPr>
        <w:t>元，主要用于以下方面</w:t>
      </w:r>
      <w:r>
        <w:rPr>
          <w:rFonts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140.12万元，占</w:t>
      </w:r>
      <w:r>
        <w:rPr>
          <w:rFonts w:hint="eastAsia" w:ascii="仿宋" w:hAnsi="仿宋" w:eastAsia="仿宋"/>
          <w:sz w:val="32"/>
          <w:szCs w:val="32"/>
          <w:lang w:val="en-US" w:eastAsia="zh-CN"/>
        </w:rPr>
        <w:t>67.63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43.13</w:t>
      </w:r>
      <w:r>
        <w:rPr>
          <w:rFonts w:hint="eastAsia" w:ascii="仿宋" w:hAnsi="仿宋" w:eastAsia="仿宋"/>
          <w:sz w:val="32"/>
          <w:szCs w:val="32"/>
        </w:rPr>
        <w:t>万元，占</w:t>
      </w:r>
      <w:r>
        <w:rPr>
          <w:rFonts w:hint="eastAsia" w:ascii="仿宋" w:hAnsi="仿宋" w:eastAsia="仿宋"/>
          <w:sz w:val="32"/>
          <w:szCs w:val="32"/>
          <w:lang w:val="en-US" w:eastAsia="zh-CN"/>
        </w:rPr>
        <w:t>20.81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10.73万元，占5.18%；</w:t>
      </w:r>
      <w:r>
        <w:rPr>
          <w:rFonts w:hint="eastAsia" w:ascii="仿宋" w:hAnsi="仿宋" w:eastAsia="仿宋"/>
          <w:b/>
          <w:bCs/>
          <w:sz w:val="32"/>
          <w:szCs w:val="32"/>
        </w:rPr>
        <w:t>住房保障支出</w:t>
      </w:r>
      <w:r>
        <w:rPr>
          <w:rFonts w:hint="eastAsia" w:ascii="仿宋" w:hAnsi="仿宋" w:eastAsia="仿宋"/>
          <w:sz w:val="32"/>
          <w:szCs w:val="32"/>
          <w:lang w:val="en-US" w:eastAsia="zh-CN"/>
        </w:rPr>
        <w:t>13.23</w:t>
      </w:r>
      <w:r>
        <w:rPr>
          <w:rFonts w:hint="eastAsia" w:ascii="仿宋" w:hAnsi="仿宋" w:eastAsia="仿宋"/>
          <w:sz w:val="32"/>
          <w:szCs w:val="32"/>
        </w:rPr>
        <w:t>万元，占</w:t>
      </w:r>
      <w:r>
        <w:rPr>
          <w:rFonts w:hint="eastAsia" w:ascii="仿宋" w:hAnsi="仿宋" w:eastAsia="仿宋"/>
          <w:sz w:val="32"/>
          <w:szCs w:val="32"/>
          <w:lang w:val="en-US" w:eastAsia="zh-CN"/>
        </w:rPr>
        <w:t>6.38%</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jc w:val="center"/>
        <w:rPr>
          <w:rFonts w:ascii="仿宋" w:hAnsi="仿宋" w:eastAsia="仿宋"/>
          <w:sz w:val="32"/>
          <w:szCs w:val="32"/>
        </w:rPr>
      </w:pPr>
      <w:r>
        <w:rPr>
          <w:rFonts w:hint="eastAsia" w:ascii="仿宋" w:hAnsi="仿宋" w:eastAsia="仿宋"/>
          <w:sz w:val="32"/>
          <w:szCs w:val="32"/>
          <w:lang w:eastAsia="zh-CN"/>
        </w:rPr>
        <w:drawing>
          <wp:inline distT="0" distB="0" distL="114300" distR="114300">
            <wp:extent cx="3601720" cy="2320290"/>
            <wp:effectExtent l="0" t="0" r="17780" b="3810"/>
            <wp:docPr id="8" name="图片 8" descr="图片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图片8"/>
                    <pic:cNvPicPr>
                      <a:picLocks noChangeAspect="true"/>
                    </pic:cNvPicPr>
                  </pic:nvPicPr>
                  <pic:blipFill>
                    <a:blip r:embed="rId11"/>
                    <a:stretch>
                      <a:fillRect/>
                    </a:stretch>
                  </pic:blipFill>
                  <pic:spPr>
                    <a:xfrm>
                      <a:off x="0" y="0"/>
                      <a:ext cx="3601720" cy="2320290"/>
                    </a:xfrm>
                    <a:prstGeom prst="rect">
                      <a:avLst/>
                    </a:prstGeom>
                  </pic:spPr>
                </pic:pic>
              </a:graphicData>
            </a:graphic>
          </wp:inline>
        </w:drawing>
      </w: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2023年度一般公共预算支出决算数为</w:t>
      </w:r>
      <w:r>
        <w:rPr>
          <w:rFonts w:ascii="仿宋" w:hAnsi="仿宋" w:eastAsia="仿宋"/>
          <w:b/>
          <w:sz w:val="32"/>
          <w:szCs w:val="32"/>
        </w:rPr>
        <w:t>207.21</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pPr>
        <w:spacing w:line="600" w:lineRule="exact"/>
        <w:ind w:firstLine="642" w:firstLineChars="200"/>
        <w:rPr>
          <w:rStyle w:val="17"/>
          <w:rFonts w:hint="eastAsia" w:ascii="仿宋" w:hAnsi="仿宋" w:eastAsia="仿宋"/>
          <w:b w:val="0"/>
          <w:bCs/>
          <w:sz w:val="32"/>
          <w:szCs w:val="32"/>
          <w:lang w:eastAsia="zh-CN"/>
        </w:rPr>
      </w:pPr>
      <w:r>
        <w:rPr>
          <w:rStyle w:val="17"/>
          <w:rFonts w:ascii="仿宋" w:hAnsi="仿宋" w:eastAsia="仿宋"/>
          <w:bCs/>
          <w:sz w:val="32"/>
          <w:szCs w:val="32"/>
        </w:rPr>
        <w:t>1.</w:t>
      </w:r>
      <w:r>
        <w:rPr>
          <w:rStyle w:val="17"/>
          <w:rFonts w:hint="eastAsia" w:ascii="仿宋" w:hAnsi="仿宋" w:eastAsia="仿宋"/>
          <w:bCs/>
          <w:sz w:val="32"/>
          <w:szCs w:val="32"/>
        </w:rPr>
        <w:t>科学技术（类）技术研究与开发（款） 科技成果转化与扩散（项）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11.31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cstheme="minorBidi"/>
          <w:bCs/>
          <w:sz w:val="32"/>
          <w:szCs w:val="32"/>
          <w:lang w:eastAsia="zh-CN"/>
        </w:rPr>
        <w:t>科技条件与服务（款）机构运行（项）</w:t>
      </w:r>
      <w:r>
        <w:rPr>
          <w:rStyle w:val="17"/>
          <w:rFonts w:hint="eastAsia" w:ascii="仿宋" w:hAnsi="仿宋" w:eastAsia="仿宋"/>
          <w:b w:val="0"/>
          <w:bCs/>
          <w:sz w:val="32"/>
          <w:szCs w:val="32"/>
          <w:lang w:eastAsia="zh-CN"/>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128.81</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2" w:firstLineChars="200"/>
        <w:rPr>
          <w:rFonts w:hint="eastAsia" w:ascii="仿宋" w:hAnsi="仿宋" w:eastAsia="仿宋"/>
          <w:b/>
          <w:sz w:val="32"/>
          <w:szCs w:val="32"/>
          <w:lang w:eastAsia="zh-CN"/>
        </w:rPr>
      </w:pPr>
      <w:r>
        <w:rPr>
          <w:rStyle w:val="17"/>
          <w:rFonts w:hint="eastAsia" w:ascii="仿宋" w:hAnsi="仿宋" w:eastAsia="仿宋"/>
          <w:bCs/>
          <w:sz w:val="32"/>
          <w:szCs w:val="32"/>
          <w:lang w:val="en-US" w:eastAsia="zh-CN"/>
        </w:rPr>
        <w:t>2</w:t>
      </w:r>
      <w:r>
        <w:rPr>
          <w:rStyle w:val="17"/>
          <w:rFonts w:ascii="仿宋" w:hAnsi="仿宋" w:eastAsia="仿宋"/>
          <w:bCs/>
          <w:sz w:val="32"/>
          <w:szCs w:val="32"/>
        </w:rPr>
        <w:t>.</w:t>
      </w:r>
      <w:r>
        <w:rPr>
          <w:rStyle w:val="17"/>
          <w:rFonts w:hint="eastAsia" w:ascii="仿宋" w:hAnsi="仿宋" w:eastAsia="仿宋"/>
          <w:bCs/>
          <w:sz w:val="32"/>
          <w:szCs w:val="32"/>
        </w:rPr>
        <w:t>社会保障和就业（类）人力资源和社会保障管理事务</w:t>
      </w:r>
      <w:r>
        <w:rPr>
          <w:rStyle w:val="17"/>
          <w:rFonts w:hint="eastAsia" w:ascii="仿宋" w:hAnsi="仿宋" w:eastAsia="仿宋"/>
          <w:bCs/>
          <w:sz w:val="32"/>
          <w:szCs w:val="32"/>
          <w:lang w:eastAsia="zh-CN"/>
        </w:rPr>
        <w:t>（款）其他人力资源和社会保障管理事务支出（项）</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行政事业单位养老支出（款）事业单位离退休（项）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w:t>
      </w:r>
      <w:r>
        <w:rPr>
          <w:rStyle w:val="17"/>
          <w:rFonts w:hint="eastAsia" w:ascii="仿宋" w:hAnsi="仿宋" w:eastAsia="仿宋"/>
          <w:b w:val="0"/>
          <w:bCs/>
          <w:sz w:val="32"/>
          <w:szCs w:val="32"/>
          <w:lang w:val="en-US" w:eastAsia="zh-CN"/>
        </w:rPr>
        <w:t>9.34</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20.79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2" w:firstLineChars="200"/>
        <w:rPr>
          <w:rFonts w:ascii="仿宋" w:hAnsi="仿宋" w:eastAsia="仿宋"/>
          <w:sz w:val="32"/>
          <w:szCs w:val="32"/>
        </w:rPr>
      </w:pPr>
      <w:r>
        <w:rPr>
          <w:rStyle w:val="17"/>
          <w:rFonts w:hint="eastAsia" w:ascii="仿宋" w:hAnsi="仿宋" w:eastAsia="仿宋"/>
          <w:bCs/>
          <w:sz w:val="32"/>
          <w:szCs w:val="32"/>
          <w:lang w:val="en-US" w:eastAsia="zh-CN"/>
        </w:rPr>
        <w:t>3.</w:t>
      </w:r>
      <w:r>
        <w:rPr>
          <w:rStyle w:val="17"/>
          <w:rFonts w:hint="eastAsia" w:ascii="仿宋" w:hAnsi="仿宋" w:eastAsia="仿宋"/>
          <w:bCs/>
          <w:sz w:val="32"/>
          <w:szCs w:val="32"/>
        </w:rPr>
        <w:t>卫生健康支出（类）行政事业单位医疗（款） 事业单位医疗（项）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9.79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r>
        <w:rPr>
          <w:rStyle w:val="17"/>
          <w:rFonts w:hint="eastAsia" w:ascii="仿宋" w:hAnsi="仿宋" w:eastAsia="仿宋"/>
          <w:bCs/>
          <w:sz w:val="32"/>
          <w:szCs w:val="32"/>
        </w:rPr>
        <w:t>行政事业单位医疗（款）其他行政事业单位医疗支出（项）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0.93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spacing w:line="600" w:lineRule="exact"/>
        <w:ind w:firstLine="642" w:firstLineChars="200"/>
        <w:rPr>
          <w:rFonts w:ascii="仿宋" w:hAnsi="仿宋" w:eastAsia="仿宋"/>
          <w:sz w:val="32"/>
          <w:szCs w:val="32"/>
        </w:rPr>
      </w:pPr>
      <w:r>
        <w:rPr>
          <w:rStyle w:val="17"/>
          <w:rFonts w:hint="eastAsia" w:ascii="仿宋" w:hAnsi="仿宋" w:eastAsia="仿宋"/>
          <w:bCs/>
          <w:sz w:val="32"/>
          <w:szCs w:val="32"/>
          <w:lang w:val="en-US" w:eastAsia="zh-CN"/>
        </w:rPr>
        <w:t>4</w:t>
      </w:r>
      <w:r>
        <w:rPr>
          <w:rStyle w:val="17"/>
          <w:rFonts w:ascii="仿宋" w:hAnsi="仿宋" w:eastAsia="仿宋"/>
          <w:bCs/>
          <w:sz w:val="32"/>
          <w:szCs w:val="32"/>
        </w:rPr>
        <w:t>.</w:t>
      </w:r>
      <w:r>
        <w:rPr>
          <w:rStyle w:val="17"/>
          <w:rFonts w:hint="eastAsia" w:ascii="仿宋" w:hAnsi="仿宋" w:eastAsia="仿宋"/>
          <w:bCs/>
          <w:sz w:val="32"/>
          <w:szCs w:val="32"/>
        </w:rPr>
        <w:t>住房保障（类）住房改革支出（款） 住房公积金（项）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支出决算为1</w:t>
      </w:r>
      <w:r>
        <w:rPr>
          <w:rStyle w:val="17"/>
          <w:rFonts w:hint="eastAsia" w:ascii="仿宋" w:hAnsi="仿宋" w:eastAsia="仿宋"/>
          <w:b w:val="0"/>
          <w:bCs/>
          <w:sz w:val="32"/>
          <w:szCs w:val="32"/>
          <w:lang w:val="en-US" w:eastAsia="zh-CN"/>
        </w:rPr>
        <w:t>3.23</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lang w:eastAsia="zh-CN"/>
        </w:rPr>
        <w:t>。</w:t>
      </w:r>
    </w:p>
    <w:p>
      <w:pPr>
        <w:tabs>
          <w:tab w:val="right" w:pos="8306"/>
        </w:tabs>
        <w:spacing w:line="600" w:lineRule="exact"/>
        <w:ind w:firstLine="640"/>
        <w:outlineLvl w:val="1"/>
        <w:rPr>
          <w:rStyle w:val="29"/>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2023年度一般公共预算财政拨款基本</w:t>
      </w:r>
      <w:r>
        <w:rPr>
          <w:rFonts w:hint="eastAsia" w:ascii="仿宋" w:hAnsi="仿宋" w:eastAsia="仿宋"/>
          <w:sz w:val="32"/>
          <w:szCs w:val="32"/>
          <w:lang w:val="en-US" w:eastAsia="zh-CN"/>
        </w:rPr>
        <w:t>支出195.89万元，其中：</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val="en-US" w:eastAsia="zh-CN"/>
        </w:rPr>
        <w:t>人员经费181.25万元，主要</w:t>
      </w:r>
      <w:r>
        <w:rPr>
          <w:rFonts w:hint="eastAsia" w:ascii="仿宋" w:hAnsi="仿宋" w:eastAsia="仿宋"/>
          <w:sz w:val="32"/>
          <w:szCs w:val="32"/>
        </w:rPr>
        <w:t>包括：基本工资、津贴补贴、绩效工资、机关事业单位基本养老保险缴费、职工基本医疗保险缴费</w:t>
      </w:r>
      <w:r>
        <w:rPr>
          <w:rFonts w:hint="eastAsia" w:ascii="仿宋" w:hAnsi="仿宋" w:eastAsia="仿宋"/>
          <w:sz w:val="32"/>
          <w:szCs w:val="32"/>
          <w:lang w:eastAsia="zh-CN"/>
        </w:rPr>
        <w:t>、</w:t>
      </w:r>
      <w:r>
        <w:rPr>
          <w:rFonts w:hint="eastAsia" w:ascii="仿宋" w:hAnsi="仿宋" w:eastAsia="仿宋"/>
          <w:sz w:val="32"/>
          <w:szCs w:val="32"/>
        </w:rPr>
        <w:t>公务员医疗补助缴费</w:t>
      </w:r>
      <w:r>
        <w:rPr>
          <w:rFonts w:hint="eastAsia" w:ascii="仿宋" w:hAnsi="仿宋" w:eastAsia="仿宋"/>
          <w:sz w:val="32"/>
          <w:szCs w:val="32"/>
          <w:lang w:eastAsia="zh-CN"/>
        </w:rPr>
        <w:t>、</w:t>
      </w:r>
      <w:r>
        <w:rPr>
          <w:rFonts w:hint="eastAsia" w:ascii="仿宋" w:hAnsi="仿宋" w:eastAsia="仿宋"/>
          <w:sz w:val="32"/>
          <w:szCs w:val="32"/>
        </w:rPr>
        <w:t>其他社会保障缴费、生活补助、医疗费补助、住房公积金、其他对个人和家庭的补助支出。</w:t>
      </w:r>
      <w:r>
        <w:rPr>
          <w:rFonts w:ascii="仿宋" w:hAnsi="仿宋" w:eastAsia="仿宋"/>
          <w:sz w:val="32"/>
          <w:szCs w:val="32"/>
        </w:rPr>
        <w:br w:type="textWrapping"/>
      </w:r>
      <w:r>
        <w:rPr>
          <w:rFonts w:hint="eastAsia" w:ascii="仿宋" w:hAnsi="仿宋" w:eastAsia="仿宋"/>
          <w:sz w:val="32"/>
          <w:szCs w:val="32"/>
        </w:rPr>
        <w:t>　　公用经</w:t>
      </w:r>
      <w:r>
        <w:rPr>
          <w:rFonts w:hint="eastAsia" w:ascii="仿宋" w:hAnsi="仿宋" w:eastAsia="仿宋"/>
          <w:sz w:val="32"/>
          <w:szCs w:val="32"/>
          <w:lang w:val="en-US" w:eastAsia="zh-CN"/>
        </w:rPr>
        <w:t>费14.64万元，</w:t>
      </w:r>
      <w:r>
        <w:rPr>
          <w:rFonts w:hint="eastAsia" w:ascii="仿宋" w:hAnsi="仿宋" w:eastAsia="仿宋"/>
          <w:sz w:val="32"/>
          <w:szCs w:val="32"/>
        </w:rPr>
        <w:t>主要包括：办公费、</w:t>
      </w:r>
      <w:r>
        <w:rPr>
          <w:rFonts w:hint="eastAsia" w:ascii="仿宋" w:hAnsi="仿宋" w:eastAsia="仿宋"/>
          <w:sz w:val="32"/>
          <w:szCs w:val="32"/>
          <w:lang w:eastAsia="zh-CN"/>
        </w:rPr>
        <w:t>水费、</w:t>
      </w:r>
      <w:r>
        <w:rPr>
          <w:rFonts w:hint="eastAsia" w:ascii="仿宋" w:hAnsi="仿宋" w:eastAsia="仿宋"/>
          <w:sz w:val="32"/>
          <w:szCs w:val="32"/>
        </w:rPr>
        <w:t>电费、邮电费、物业管理费</w:t>
      </w:r>
      <w:r>
        <w:rPr>
          <w:rFonts w:hint="eastAsia" w:ascii="仿宋" w:hAnsi="仿宋" w:eastAsia="仿宋"/>
          <w:sz w:val="32"/>
          <w:szCs w:val="32"/>
          <w:lang w:eastAsia="zh-CN"/>
        </w:rPr>
        <w:t>、</w:t>
      </w:r>
      <w:r>
        <w:rPr>
          <w:rFonts w:hint="eastAsia" w:ascii="仿宋" w:hAnsi="仿宋" w:eastAsia="仿宋"/>
          <w:sz w:val="32"/>
          <w:szCs w:val="32"/>
        </w:rPr>
        <w:t>差旅费、</w:t>
      </w:r>
      <w:r>
        <w:rPr>
          <w:rFonts w:hint="eastAsia" w:ascii="仿宋" w:hAnsi="仿宋" w:eastAsia="仿宋"/>
          <w:sz w:val="32"/>
          <w:szCs w:val="32"/>
          <w:lang w:eastAsia="zh-CN"/>
        </w:rPr>
        <w:t>会议费、</w:t>
      </w:r>
      <w:r>
        <w:rPr>
          <w:rFonts w:hint="eastAsia" w:ascii="仿宋" w:hAnsi="仿宋" w:eastAsia="仿宋"/>
          <w:sz w:val="32"/>
          <w:szCs w:val="32"/>
        </w:rPr>
        <w:t>培训费、</w:t>
      </w:r>
      <w:r>
        <w:rPr>
          <w:rFonts w:hint="eastAsia" w:ascii="仿宋" w:hAnsi="仿宋" w:eastAsia="仿宋"/>
          <w:sz w:val="32"/>
          <w:szCs w:val="32"/>
          <w:lang w:eastAsia="zh-CN"/>
        </w:rPr>
        <w:t>公务接待费、劳务费、</w:t>
      </w:r>
      <w:r>
        <w:rPr>
          <w:rFonts w:hint="eastAsia" w:ascii="仿宋" w:hAnsi="仿宋" w:eastAsia="仿宋"/>
          <w:sz w:val="32"/>
          <w:szCs w:val="32"/>
        </w:rPr>
        <w:t>工会经费、福利费、公务用车运行维护费、其他商品和服务支出。</w:t>
      </w:r>
    </w:p>
    <w:p>
      <w:pPr>
        <w:spacing w:line="600" w:lineRule="exact"/>
        <w:ind w:firstLine="640"/>
        <w:outlineLvl w:val="1"/>
        <w:rPr>
          <w:rStyle w:val="29"/>
          <w:rFonts w:ascii="黑体" w:hAnsi="黑体" w:eastAsia="黑体"/>
          <w:b w:val="0"/>
        </w:rPr>
      </w:pPr>
      <w:bookmarkStart w:id="36" w:name="_Toc15396609"/>
      <w:bookmarkStart w:id="37"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w:t>
      </w:r>
      <w:r>
        <w:rPr>
          <w:rFonts w:hint="eastAsia" w:ascii="仿宋" w:hAnsi="仿宋" w:eastAsia="仿宋"/>
          <w:sz w:val="32"/>
          <w:szCs w:val="32"/>
          <w:lang w:val="en-US" w:eastAsia="zh-CN"/>
        </w:rPr>
        <w:t>决算为1.38万元，完成预算86.25%，较上年度减少</w:t>
      </w:r>
      <w:r>
        <w:rPr>
          <w:rFonts w:hint="eastAsia" w:ascii="仿宋" w:hAnsi="仿宋" w:eastAsia="仿宋"/>
          <w:sz w:val="32"/>
          <w:szCs w:val="32"/>
          <w:lang w:val="en-US" w:eastAsia="zh-CN"/>
        </w:rPr>
        <w:t>0.2万元</w:t>
      </w:r>
      <w:r>
        <w:rPr>
          <w:rFonts w:hint="eastAsia" w:ascii="仿宋" w:hAnsi="仿宋" w:eastAsia="仿宋"/>
          <w:sz w:val="32"/>
          <w:szCs w:val="32"/>
        </w:rPr>
        <w:t>，下降</w:t>
      </w:r>
      <w:r>
        <w:rPr>
          <w:rFonts w:hint="eastAsia" w:ascii="仿宋" w:hAnsi="仿宋" w:eastAsia="仿宋"/>
          <w:sz w:val="32"/>
          <w:szCs w:val="32"/>
          <w:lang w:val="en-US" w:eastAsia="zh-CN"/>
        </w:rPr>
        <w:t>12.66</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加强公车管理，减少费用支出</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val="en-US" w:eastAsia="zh-CN"/>
        </w:rPr>
        <w:t>三公”经费财政拨款支出决算中，因公出国（境）费支出决算0万元，占0%；公务用车购置及运行维护费支出决算1.16万元，占84.37%；公务接待费支出决算0.22万元，占15.62%</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（图7：“三公”经费财政拨款支出结构）（饼状图）</w:t>
      </w:r>
    </w:p>
    <w:p>
      <w:pPr>
        <w:pStyle w:val="2"/>
        <w:jc w:val="center"/>
        <w:rPr>
          <w:rFonts w:hint="eastAsia" w:ascii="仿宋" w:hAnsi="仿宋" w:eastAsia="仿宋"/>
          <w:sz w:val="32"/>
          <w:szCs w:val="32"/>
        </w:rPr>
      </w:pPr>
      <w:r>
        <w:rPr>
          <w:rFonts w:hint="eastAsia" w:ascii="仿宋" w:hAnsi="仿宋" w:eastAsia="仿宋"/>
          <w:sz w:val="32"/>
          <w:szCs w:val="32"/>
          <w:lang w:eastAsia="zh-CN"/>
        </w:rPr>
        <w:drawing>
          <wp:inline distT="0" distB="0" distL="114300" distR="114300">
            <wp:extent cx="3273425" cy="2109470"/>
            <wp:effectExtent l="0" t="0" r="3175" b="5080"/>
            <wp:docPr id="9" name="图片 9" descr="图片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图片9"/>
                    <pic:cNvPicPr>
                      <a:picLocks noChangeAspect="true"/>
                    </pic:cNvPicPr>
                  </pic:nvPicPr>
                  <pic:blipFill>
                    <a:blip r:embed="rId12"/>
                    <a:stretch>
                      <a:fillRect/>
                    </a:stretch>
                  </pic:blipFill>
                  <pic:spPr>
                    <a:xfrm>
                      <a:off x="0" y="0"/>
                      <a:ext cx="3273425" cy="2109470"/>
                    </a:xfrm>
                    <a:prstGeom prst="rect">
                      <a:avLst/>
                    </a:prstGeom>
                  </pic:spPr>
                </pic:pic>
              </a:graphicData>
            </a:graphic>
          </wp:inline>
        </w:drawing>
      </w:r>
    </w:p>
    <w:p>
      <w:pPr>
        <w:pStyle w:val="2"/>
        <w:rPr>
          <w:rFonts w:hint="eastAsia" w:ascii="仿宋" w:hAnsi="仿宋" w:eastAsia="仿宋"/>
          <w:sz w:val="32"/>
          <w:szCs w:val="32"/>
        </w:rPr>
      </w:pPr>
    </w:p>
    <w:p>
      <w:pPr>
        <w:spacing w:line="600" w:lineRule="exact"/>
        <w:ind w:firstLine="640"/>
        <w:rPr>
          <w:rFonts w:hint="eastAsia" w:ascii="仿宋_GB2312" w:eastAsia="仿宋_GB2312"/>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。主要原因是未产生因公出国</w:t>
      </w:r>
      <w:r>
        <w:rPr>
          <w:rFonts w:hint="eastAsia" w:ascii="仿宋_GB2312" w:eastAsia="仿宋_GB2312"/>
          <w:sz w:val="32"/>
          <w:szCs w:val="32"/>
          <w:lang w:eastAsia="zh-CN"/>
        </w:rPr>
        <w:t>支出</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1.16</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99.68</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0.42</w:t>
      </w:r>
      <w:r>
        <w:rPr>
          <w:rFonts w:hint="eastAsia" w:ascii="仿宋_GB2312" w:eastAsia="仿宋_GB2312"/>
          <w:sz w:val="32"/>
          <w:szCs w:val="32"/>
        </w:rPr>
        <w:t>万元，下降</w:t>
      </w:r>
      <w:r>
        <w:rPr>
          <w:rFonts w:hint="eastAsia" w:ascii="仿宋_GB2312" w:eastAsia="仿宋_GB2312"/>
          <w:sz w:val="32"/>
          <w:szCs w:val="32"/>
          <w:lang w:val="en-US" w:eastAsia="zh-CN"/>
        </w:rPr>
        <w:t>26.58</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加强公车管理，减少费用支出</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1</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1.16</w:t>
      </w:r>
      <w:r>
        <w:rPr>
          <w:rFonts w:hint="eastAsia" w:ascii="仿宋_GB2312" w:eastAsia="仿宋_GB2312"/>
          <w:sz w:val="32"/>
          <w:szCs w:val="32"/>
        </w:rPr>
        <w:t>万元。主要用于</w:t>
      </w:r>
      <w:r>
        <w:rPr>
          <w:rFonts w:hint="eastAsia" w:ascii="仿宋_GB2312" w:eastAsia="仿宋_GB2312"/>
          <w:sz w:val="32"/>
          <w:szCs w:val="32"/>
          <w:lang w:eastAsia="zh-CN"/>
        </w:rPr>
        <w:t>四川科技扶贫在线平台项目建设、回访，农村产业培训等</w:t>
      </w:r>
      <w:r>
        <w:rPr>
          <w:rFonts w:hint="eastAsia" w:ascii="仿宋_GB2312" w:eastAsia="仿宋_GB2312"/>
          <w:sz w:val="32"/>
          <w:szCs w:val="32"/>
        </w:rPr>
        <w:t>的公务用车燃料费、维修费</w:t>
      </w:r>
      <w:r>
        <w:rPr>
          <w:rFonts w:hint="eastAsia" w:ascii="仿宋_GB2312" w:eastAsia="仿宋_GB2312"/>
          <w:sz w:val="32"/>
          <w:szCs w:val="32"/>
          <w:lang w:eastAsia="zh-CN"/>
        </w:rPr>
        <w:t>，及车辆年检、</w:t>
      </w:r>
      <w:r>
        <w:rPr>
          <w:rFonts w:hint="eastAsia" w:ascii="仿宋_GB2312" w:eastAsia="仿宋_GB2312"/>
          <w:sz w:val="32"/>
          <w:szCs w:val="32"/>
        </w:rPr>
        <w:t>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0.22</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71.94%</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0.22</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2022年无公务接待任务，全年支出为0</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0.22</w:t>
      </w:r>
      <w:r>
        <w:rPr>
          <w:rFonts w:hint="eastAsia" w:ascii="仿宋_GB2312" w:eastAsia="仿宋_GB2312"/>
          <w:sz w:val="32"/>
          <w:szCs w:val="32"/>
        </w:rPr>
        <w:t>万元，主要用于</w:t>
      </w:r>
      <w:r>
        <w:rPr>
          <w:rFonts w:hint="eastAsia" w:ascii="仿宋_GB2312" w:eastAsia="仿宋_GB2312"/>
          <w:sz w:val="32"/>
          <w:szCs w:val="32"/>
          <w:lang w:eastAsia="zh-CN"/>
        </w:rPr>
        <w:t>省科技厅到攀调研指导</w:t>
      </w:r>
      <w:r>
        <w:rPr>
          <w:rFonts w:hint="eastAsia" w:ascii="仿宋_GB2312" w:eastAsia="仿宋_GB2312"/>
          <w:sz w:val="32"/>
          <w:szCs w:val="32"/>
        </w:rPr>
        <w:t>用餐费。国内公务接待</w:t>
      </w:r>
      <w:r>
        <w:rPr>
          <w:rFonts w:hint="eastAsia" w:ascii="仿宋_GB2312" w:eastAsia="仿宋_GB2312"/>
          <w:sz w:val="32"/>
          <w:szCs w:val="32"/>
          <w:lang w:val="en-US" w:eastAsia="zh-CN"/>
        </w:rPr>
        <w:t>2</w:t>
      </w:r>
      <w:r>
        <w:rPr>
          <w:rFonts w:hint="eastAsia" w:ascii="仿宋_GB2312" w:eastAsia="仿宋_GB2312"/>
          <w:sz w:val="32"/>
          <w:szCs w:val="32"/>
        </w:rPr>
        <w:t>批次，</w:t>
      </w:r>
      <w:r>
        <w:rPr>
          <w:rFonts w:hint="eastAsia" w:ascii="仿宋_GB2312" w:eastAsia="仿宋_GB2312"/>
          <w:sz w:val="32"/>
          <w:szCs w:val="32"/>
          <w:lang w:val="en-US" w:eastAsia="zh-CN"/>
        </w:rPr>
        <w:t>9</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0.22</w:t>
      </w:r>
      <w:r>
        <w:rPr>
          <w:rFonts w:hint="eastAsia" w:ascii="仿宋_GB2312" w:eastAsia="仿宋_GB2312"/>
          <w:sz w:val="32"/>
          <w:szCs w:val="32"/>
        </w:rPr>
        <w:t>万元，具体内容包括：</w:t>
      </w:r>
      <w:r>
        <w:rPr>
          <w:rFonts w:hint="eastAsia" w:ascii="仿宋_GB2312" w:eastAsia="仿宋_GB2312"/>
          <w:sz w:val="32"/>
          <w:szCs w:val="32"/>
          <w:lang w:val="en-US" w:eastAsia="zh-CN"/>
        </w:rPr>
        <w:t>1.省农村发展中心专家一行4人到攀开展“四川科技兴村在线”平台业务培训，支出接待费931元；2.甘孜州科技技术信息研究所一行5人来攀调研高分攀枝花中心建设，支出接待费1222元</w:t>
      </w:r>
      <w:r>
        <w:rPr>
          <w:rFonts w:hint="eastAsia" w:ascii="仿宋_GB2312" w:eastAsia="仿宋_GB2312"/>
          <w:sz w:val="32"/>
          <w:szCs w:val="32"/>
        </w:rPr>
        <w:t>。</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9"/>
          <w:rFonts w:ascii="黑体" w:hAnsi="黑体" w:eastAsia="黑体"/>
          <w:b w:val="0"/>
        </w:rPr>
      </w:pPr>
      <w:bookmarkStart w:id="42" w:name="_Toc15377219"/>
      <w:bookmarkStart w:id="43" w:name="_Toc15396611"/>
      <w:r>
        <w:rPr>
          <w:rStyle w:val="29"/>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四川省攀枝花市科技基础条件平台服务中心</w:t>
      </w:r>
      <w:r>
        <w:rPr>
          <w:rFonts w:hint="eastAsia" w:ascii="仿宋_GB2312" w:eastAsia="仿宋_GB2312"/>
          <w:sz w:val="32"/>
          <w:szCs w:val="32"/>
        </w:rPr>
        <w:t>机关运行经费</w:t>
      </w:r>
      <w:r>
        <w:rPr>
          <w:rFonts w:hint="eastAsia" w:ascii="仿宋" w:hAnsi="仿宋" w:eastAsia="仿宋"/>
          <w:sz w:val="32"/>
          <w:szCs w:val="32"/>
          <w:lang w:val="en-US" w:eastAsia="zh-CN"/>
        </w:rPr>
        <w:t>支出0万</w:t>
      </w:r>
      <w:r>
        <w:rPr>
          <w:rFonts w:hint="eastAsia" w:ascii="仿宋_GB2312" w:eastAsia="仿宋_GB2312"/>
          <w:sz w:val="32"/>
          <w:szCs w:val="32"/>
        </w:rPr>
        <w:t>元，比2022年度决算数持平。</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四川省攀枝花市科技基础条件平台服务中心</w:t>
      </w:r>
      <w:r>
        <w:rPr>
          <w:rFonts w:hint="eastAsia" w:ascii="仿宋_GB2312" w:eastAsia="仿宋_GB2312"/>
          <w:sz w:val="32"/>
          <w:szCs w:val="32"/>
        </w:rPr>
        <w:t>政府采购支出</w:t>
      </w:r>
      <w:r>
        <w:rPr>
          <w:rFonts w:hint="eastAsia" w:ascii="仿宋" w:hAnsi="仿宋" w:eastAsia="仿宋"/>
          <w:sz w:val="32"/>
          <w:szCs w:val="32"/>
          <w:lang w:val="en-US" w:eastAsia="zh-CN"/>
        </w:rPr>
        <w:t>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四川省攀枝花市科技基础条件平台服务中心</w:t>
      </w:r>
      <w:r>
        <w:rPr>
          <w:rFonts w:hint="eastAsia" w:ascii="仿宋_GB2312" w:eastAsia="仿宋_GB2312"/>
          <w:sz w:val="32"/>
          <w:szCs w:val="32"/>
        </w:rPr>
        <w:t>共有</w:t>
      </w:r>
      <w:r>
        <w:rPr>
          <w:rFonts w:hint="eastAsia" w:ascii="仿宋" w:hAnsi="仿宋" w:eastAsia="仿宋"/>
          <w:sz w:val="32"/>
          <w:szCs w:val="32"/>
          <w:lang w:val="en-US" w:eastAsia="zh-CN"/>
        </w:rPr>
        <w:t>车辆1辆，其中：主要领导干部用车0辆、机要通信用车0辆、应急保障用车0辆、其他用车1辆，其他用车主要是用于企业调研，科技下乡等方面。单价100万元以上设备（不含车辆）0台（</w:t>
      </w:r>
      <w:r>
        <w:rPr>
          <w:rFonts w:hint="eastAsia" w:ascii="仿宋_GB2312" w:eastAsia="仿宋_GB2312"/>
          <w:sz w:val="32"/>
          <w:szCs w:val="32"/>
        </w:rPr>
        <w:t>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default" w:ascii="仿宋_GB2312" w:eastAsia="仿宋_GB2312"/>
          <w:sz w:val="32"/>
          <w:szCs w:val="32"/>
          <w:lang w:val="en"/>
        </w:rPr>
        <w:t>攀枝花“四川科技扶贫在线”平台建设与运行维护</w:t>
      </w:r>
      <w:r>
        <w:rPr>
          <w:rFonts w:hint="eastAsia" w:ascii="仿宋_GB2312" w:eastAsia="仿宋_GB2312"/>
          <w:sz w:val="32"/>
          <w:szCs w:val="32"/>
        </w:rPr>
        <w:t>项目（项目名称）等</w:t>
      </w:r>
      <w:r>
        <w:rPr>
          <w:rFonts w:hint="default" w:ascii="仿宋_GB2312" w:eastAsia="仿宋_GB2312"/>
          <w:sz w:val="32"/>
          <w:szCs w:val="32"/>
          <w:lang w:val="en"/>
        </w:rPr>
        <w:t>3</w:t>
      </w:r>
      <w:r>
        <w:rPr>
          <w:rFonts w:hint="eastAsia" w:ascii="仿宋_GB2312" w:eastAsia="仿宋_GB2312"/>
          <w:sz w:val="32"/>
          <w:szCs w:val="32"/>
        </w:rPr>
        <w:t>个项目开展了预算事前绩效评估，对</w:t>
      </w:r>
      <w:r>
        <w:rPr>
          <w:rFonts w:hint="default" w:ascii="仿宋_GB2312" w:eastAsia="仿宋_GB2312"/>
          <w:sz w:val="32"/>
          <w:szCs w:val="32"/>
          <w:lang w:val="en"/>
        </w:rPr>
        <w:t>3</w:t>
      </w:r>
      <w:r>
        <w:rPr>
          <w:rFonts w:hint="eastAsia" w:ascii="仿宋_GB2312" w:eastAsia="仿宋_GB2312"/>
          <w:sz w:val="32"/>
          <w:szCs w:val="32"/>
        </w:rPr>
        <w:t>个项目编制了绩效目标，预算执行过程中，选取</w:t>
      </w:r>
      <w:r>
        <w:rPr>
          <w:rFonts w:hint="default" w:ascii="仿宋_GB2312" w:eastAsia="仿宋_GB2312"/>
          <w:sz w:val="32"/>
          <w:szCs w:val="32"/>
          <w:lang w:val="en"/>
        </w:rPr>
        <w:t>3</w:t>
      </w:r>
      <w:r>
        <w:rPr>
          <w:rFonts w:hint="eastAsia" w:ascii="仿宋_GB2312" w:eastAsia="仿宋_GB2312"/>
          <w:sz w:val="32"/>
          <w:szCs w:val="32"/>
        </w:rPr>
        <w:t>个项目开展绩效监控，组织对</w:t>
      </w:r>
      <w:r>
        <w:rPr>
          <w:rFonts w:hint="default" w:ascii="仿宋_GB2312" w:eastAsia="仿宋_GB2312"/>
          <w:sz w:val="32"/>
          <w:szCs w:val="32"/>
          <w:lang w:val="en"/>
        </w:rPr>
        <w:t>3</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8"/>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bookmarkStart w:id="51"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3</w:t>
      </w:r>
      <w:r>
        <w:rPr>
          <w:rFonts w:hint="eastAsia" w:eastAsia="仿宋_GB2312"/>
          <w:color w:val="000000"/>
          <w:kern w:val="0"/>
          <w:sz w:val="32"/>
          <w:szCs w:val="32"/>
        </w:rPr>
        <w:t>.科学技术支出（类）技术研究与开发（款）科技成果转化与扩散（项）：</w:t>
      </w:r>
      <w:r>
        <w:rPr>
          <w:rFonts w:hint="eastAsia" w:eastAsia="仿宋_GB2312"/>
          <w:color w:val="000000"/>
          <w:kern w:val="0"/>
          <w:sz w:val="32"/>
          <w:szCs w:val="32"/>
          <w:lang w:eastAsia="zh-CN"/>
        </w:rPr>
        <w:t>指开展四川科技扶贫在线平台建设，下乡调研、农村实用技术培训等项目支出</w:t>
      </w:r>
      <w:r>
        <w:rPr>
          <w:rFonts w:hint="eastAsia" w:eastAsia="仿宋_GB2312"/>
          <w:color w:val="000000"/>
          <w:kern w:val="0"/>
          <w:sz w:val="32"/>
          <w:szCs w:val="32"/>
        </w:rPr>
        <w:t>。</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4</w:t>
      </w:r>
      <w:r>
        <w:rPr>
          <w:rFonts w:hint="eastAsia" w:eastAsia="仿宋_GB2312"/>
          <w:color w:val="000000"/>
          <w:kern w:val="0"/>
          <w:sz w:val="32"/>
          <w:szCs w:val="32"/>
        </w:rPr>
        <w:t>.科学技术支出（类）科技条件与服务（款） 机构运行（项）：指</w:t>
      </w:r>
      <w:r>
        <w:rPr>
          <w:rFonts w:hint="eastAsia" w:eastAsia="仿宋_GB2312"/>
          <w:color w:val="000000"/>
          <w:kern w:val="0"/>
          <w:sz w:val="32"/>
          <w:szCs w:val="32"/>
          <w:lang w:val="en-US" w:eastAsia="zh-CN"/>
        </w:rPr>
        <w:t>用于职工工资及保障单位正常运行</w:t>
      </w:r>
      <w:r>
        <w:rPr>
          <w:rFonts w:hint="eastAsia" w:eastAsia="仿宋_GB2312"/>
          <w:color w:val="000000"/>
          <w:kern w:val="0"/>
          <w:sz w:val="32"/>
          <w:szCs w:val="32"/>
          <w:lang w:eastAsia="zh-CN"/>
        </w:rPr>
        <w:t>等</w:t>
      </w:r>
      <w:r>
        <w:rPr>
          <w:rFonts w:hint="eastAsia" w:eastAsia="仿宋_GB2312"/>
          <w:color w:val="000000"/>
          <w:kern w:val="0"/>
          <w:sz w:val="32"/>
          <w:szCs w:val="32"/>
        </w:rPr>
        <w:t>基本支出。</w:t>
      </w:r>
    </w:p>
    <w:p>
      <w:pPr>
        <w:spacing w:line="600" w:lineRule="exact"/>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5</w:t>
      </w:r>
      <w:r>
        <w:rPr>
          <w:rFonts w:hint="eastAsia" w:eastAsia="仿宋_GB2312"/>
          <w:color w:val="000000"/>
          <w:kern w:val="0"/>
          <w:sz w:val="32"/>
          <w:szCs w:val="32"/>
        </w:rPr>
        <w:t>.社会保障和就业（类）人力资源和社会保障管理事务（款） 其他人力资源和社会保障管理事务支出（项）: 指</w:t>
      </w:r>
      <w:r>
        <w:rPr>
          <w:rFonts w:hint="eastAsia" w:eastAsia="仿宋_GB2312"/>
          <w:color w:val="000000"/>
          <w:kern w:val="0"/>
          <w:sz w:val="32"/>
          <w:szCs w:val="32"/>
          <w:lang w:eastAsia="zh-CN"/>
        </w:rPr>
        <w:t>高层次人才经费</w:t>
      </w:r>
      <w:r>
        <w:rPr>
          <w:rFonts w:hint="eastAsia" w:eastAsia="仿宋_GB2312"/>
          <w:color w:val="000000"/>
          <w:kern w:val="0"/>
          <w:sz w:val="32"/>
          <w:szCs w:val="32"/>
          <w:lang w:val="en-US" w:eastAsia="zh-CN"/>
        </w:rPr>
        <w:t>的支出。</w:t>
      </w:r>
    </w:p>
    <w:p>
      <w:pPr>
        <w:spacing w:line="600" w:lineRule="exact"/>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6</w:t>
      </w:r>
      <w:r>
        <w:rPr>
          <w:rFonts w:hint="eastAsia" w:eastAsia="仿宋_GB2312"/>
          <w:color w:val="000000"/>
          <w:kern w:val="0"/>
          <w:sz w:val="32"/>
          <w:szCs w:val="32"/>
        </w:rPr>
        <w:t>.社会保障和就业（类）行政事业单位养老支出（款） 事业单位离退休（项）: 指</w:t>
      </w:r>
      <w:r>
        <w:rPr>
          <w:rFonts w:hint="eastAsia" w:eastAsia="仿宋_GB2312"/>
          <w:color w:val="000000"/>
          <w:kern w:val="0"/>
          <w:sz w:val="32"/>
          <w:szCs w:val="32"/>
          <w:lang w:val="en-US" w:eastAsia="zh-CN"/>
        </w:rPr>
        <w:t>财政统一供养的事业单位退休人员的生活补助、医疗费支出。</w:t>
      </w:r>
    </w:p>
    <w:p>
      <w:pPr>
        <w:spacing w:line="600" w:lineRule="exact"/>
        <w:ind w:firstLine="640" w:firstLineChars="200"/>
      </w:pPr>
      <w:r>
        <w:rPr>
          <w:rFonts w:hint="eastAsia" w:eastAsia="仿宋_GB2312"/>
          <w:color w:val="000000"/>
          <w:kern w:val="0"/>
          <w:sz w:val="32"/>
          <w:szCs w:val="32"/>
          <w:lang w:val="en-US" w:eastAsia="zh-CN"/>
        </w:rPr>
        <w:t>7.</w:t>
      </w:r>
      <w:r>
        <w:rPr>
          <w:rFonts w:hint="eastAsia" w:eastAsia="仿宋_GB2312"/>
          <w:color w:val="000000"/>
          <w:kern w:val="0"/>
          <w:sz w:val="32"/>
          <w:szCs w:val="32"/>
        </w:rPr>
        <w:t>社会保障和就业（类）行政事业单位养老支出（款）机关事业单位基本养老保险缴费支出（项）：</w:t>
      </w:r>
      <w:r>
        <w:rPr>
          <w:rFonts w:ascii="仿宋_gb2312" w:hAnsi="仿宋_gb2312" w:eastAsia="仿宋_gb2312" w:cs="仿宋_gb2312"/>
          <w:kern w:val="0"/>
          <w:sz w:val="33"/>
          <w:szCs w:val="33"/>
          <w:lang w:val="en-US" w:eastAsia="zh-CN" w:bidi="ar"/>
        </w:rPr>
        <w:t>指机关事业单位实施养老保险制度由单位缴纳的基本养老保险费支出。</w:t>
      </w:r>
    </w:p>
    <w:p>
      <w:pPr>
        <w:spacing w:line="600" w:lineRule="exact"/>
        <w:ind w:firstLine="640" w:firstLineChars="200"/>
        <w:rPr>
          <w:rFonts w:ascii="仿宋_gb2312" w:hAnsi="仿宋_gb2312" w:eastAsia="仿宋_gb2312" w:cs="仿宋_gb2312"/>
          <w:kern w:val="0"/>
          <w:sz w:val="33"/>
          <w:szCs w:val="33"/>
          <w:lang w:val="en-US" w:eastAsia="zh-CN" w:bidi="ar"/>
        </w:rPr>
      </w:pPr>
      <w:r>
        <w:rPr>
          <w:rFonts w:hint="eastAsia" w:ascii="Times New Roman" w:hAnsi="Times New Roman" w:eastAsia="仿宋_GB2312" w:cs="Times New Roman"/>
          <w:color w:val="000000"/>
          <w:kern w:val="0"/>
          <w:sz w:val="32"/>
          <w:szCs w:val="32"/>
          <w:lang w:val="en-US" w:eastAsia="zh-CN" w:bidi="ar-SA"/>
        </w:rPr>
        <w:t xml:space="preserve">8.卫生健康支出（类）行政事业单位医疗（款）事业单位医疗（项）: </w:t>
      </w:r>
      <w:r>
        <w:rPr>
          <w:rFonts w:ascii="仿宋_gb2312" w:hAnsi="仿宋_gb2312" w:eastAsia="仿宋_gb2312" w:cs="仿宋_gb2312"/>
          <w:kern w:val="0"/>
          <w:sz w:val="33"/>
          <w:szCs w:val="33"/>
          <w:lang w:val="en-US" w:eastAsia="zh-CN" w:bidi="ar"/>
        </w:rPr>
        <w:t>指机关事业单位由单位缴纳的基本</w:t>
      </w:r>
      <w:r>
        <w:rPr>
          <w:rFonts w:hint="eastAsia" w:ascii="仿宋_gb2312" w:hAnsi="仿宋_gb2312" w:eastAsia="仿宋_gb2312" w:cs="仿宋_gb2312"/>
          <w:kern w:val="0"/>
          <w:sz w:val="33"/>
          <w:szCs w:val="33"/>
          <w:lang w:val="en-US" w:eastAsia="zh-CN" w:bidi="ar"/>
        </w:rPr>
        <w:t>医疗</w:t>
      </w:r>
      <w:r>
        <w:rPr>
          <w:rFonts w:ascii="仿宋_gb2312" w:hAnsi="仿宋_gb2312" w:eastAsia="仿宋_gb2312" w:cs="仿宋_gb2312"/>
          <w:kern w:val="0"/>
          <w:sz w:val="33"/>
          <w:szCs w:val="33"/>
          <w:lang w:val="en-US" w:eastAsia="zh-CN" w:bidi="ar"/>
        </w:rPr>
        <w:t>保险费支出。</w:t>
      </w:r>
    </w:p>
    <w:p>
      <w:pPr>
        <w:pStyle w:val="26"/>
        <w:spacing w:line="560" w:lineRule="exact"/>
        <w:ind w:firstLine="640" w:firstLineChars="200"/>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9.卫生健康支出（类）行政事业单位医疗（款）其他行政事业单位医疗支出（项）：指由单位缴纳的在职人员补充医疗支出。</w:t>
      </w:r>
    </w:p>
    <w:p>
      <w:pPr>
        <w:pStyle w:val="26"/>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住房保障支出（类）住房改革支出（款）住房公积金（项）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指反映行政事业单位按</w:t>
      </w:r>
      <w:r>
        <w:rPr>
          <w:rFonts w:hint="eastAsia" w:ascii="Times New Roman" w:hAnsi="Times New Roman" w:eastAsia="仿宋_GB2312" w:cs="Times New Roman"/>
          <w:sz w:val="32"/>
          <w:szCs w:val="32"/>
        </w:rPr>
        <w:t>人力资源和社会保障部</w:t>
      </w:r>
      <w:r>
        <w:rPr>
          <w:rFonts w:ascii="Times New Roman" w:hAnsi="Times New Roman" w:eastAsia="仿宋_GB2312" w:cs="Times New Roman"/>
          <w:sz w:val="32"/>
          <w:szCs w:val="32"/>
        </w:rPr>
        <w:t>、财政部门规定的基本工资和津贴补贴以及规定比例为职工缴纳的住房公积金。</w:t>
      </w:r>
    </w:p>
    <w:p>
      <w:pPr>
        <w:ind w:firstLine="640" w:firstLineChars="200"/>
        <w:rPr>
          <w:rFonts w:ascii="仿宋_GB2312" w:eastAsia="仿宋_GB2312"/>
          <w:sz w:val="32"/>
          <w:szCs w:val="32"/>
        </w:rPr>
      </w:pPr>
      <w:r>
        <w:rPr>
          <w:rFonts w:hint="eastAsia" w:eastAsia="仿宋_GB2312"/>
          <w:color w:val="000000"/>
          <w:kern w:val="0"/>
          <w:sz w:val="32"/>
          <w:szCs w:val="32"/>
          <w:lang w:val="en-US" w:eastAsia="zh-CN"/>
        </w:rPr>
        <w:t>11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6"/>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13</w:t>
      </w:r>
      <w:bookmarkStart w:id="67" w:name="_GoBack"/>
      <w:bookmarkEnd w:id="67"/>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8"/>
          <w:rFonts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4"/>
        <w:spacing w:line="560" w:lineRule="exact"/>
        <w:ind w:left="0" w:leftChars="0" w:firstLine="640"/>
        <w:rPr>
          <w:sz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15</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5EE47D"/>
    <w:rsid w:val="1FBC6170"/>
    <w:rsid w:val="1FDBBF84"/>
    <w:rsid w:val="1FF05732"/>
    <w:rsid w:val="20F57F95"/>
    <w:rsid w:val="240371BF"/>
    <w:rsid w:val="25711CC6"/>
    <w:rsid w:val="25C741E6"/>
    <w:rsid w:val="276F80C0"/>
    <w:rsid w:val="27842671"/>
    <w:rsid w:val="29FD04D3"/>
    <w:rsid w:val="2ABE7A3E"/>
    <w:rsid w:val="2AFF09B6"/>
    <w:rsid w:val="2CA234A8"/>
    <w:rsid w:val="2EFA178C"/>
    <w:rsid w:val="2EFDF86C"/>
    <w:rsid w:val="2F9D17E1"/>
    <w:rsid w:val="2FFFA7FC"/>
    <w:rsid w:val="30B46D73"/>
    <w:rsid w:val="319F7F4E"/>
    <w:rsid w:val="356A28F1"/>
    <w:rsid w:val="357C035A"/>
    <w:rsid w:val="368E000D"/>
    <w:rsid w:val="383D272C"/>
    <w:rsid w:val="39AE70AB"/>
    <w:rsid w:val="3A4DCE41"/>
    <w:rsid w:val="3BCB56FA"/>
    <w:rsid w:val="3C0C0783"/>
    <w:rsid w:val="3CD78E96"/>
    <w:rsid w:val="3DCB4047"/>
    <w:rsid w:val="3EB2E926"/>
    <w:rsid w:val="3EE7C2F4"/>
    <w:rsid w:val="3F371B56"/>
    <w:rsid w:val="3F733338"/>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8D7B601"/>
    <w:rsid w:val="5B77BA20"/>
    <w:rsid w:val="5EB73A1F"/>
    <w:rsid w:val="5EB839EC"/>
    <w:rsid w:val="5F67802D"/>
    <w:rsid w:val="5F7DC4F2"/>
    <w:rsid w:val="5FB36814"/>
    <w:rsid w:val="5FBB8E56"/>
    <w:rsid w:val="5FBF1666"/>
    <w:rsid w:val="5FFB5535"/>
    <w:rsid w:val="64CA39A1"/>
    <w:rsid w:val="657EBF9F"/>
    <w:rsid w:val="69630ADE"/>
    <w:rsid w:val="69BD5F13"/>
    <w:rsid w:val="69FB0B4B"/>
    <w:rsid w:val="6BFFE1FB"/>
    <w:rsid w:val="6C4A05C8"/>
    <w:rsid w:val="6D3B1A89"/>
    <w:rsid w:val="6DB7D8A3"/>
    <w:rsid w:val="6EBD1434"/>
    <w:rsid w:val="6EC78701"/>
    <w:rsid w:val="6F7A5481"/>
    <w:rsid w:val="6FF9BE69"/>
    <w:rsid w:val="6FFE07A9"/>
    <w:rsid w:val="71BF4EC2"/>
    <w:rsid w:val="72734D90"/>
    <w:rsid w:val="7397FC37"/>
    <w:rsid w:val="73E75B71"/>
    <w:rsid w:val="73FD724C"/>
    <w:rsid w:val="73FF7F6A"/>
    <w:rsid w:val="7412278C"/>
    <w:rsid w:val="75DDCDA9"/>
    <w:rsid w:val="75F3DEF8"/>
    <w:rsid w:val="75F728C6"/>
    <w:rsid w:val="75FF44B1"/>
    <w:rsid w:val="773FBB2C"/>
    <w:rsid w:val="7749B473"/>
    <w:rsid w:val="7765E9B4"/>
    <w:rsid w:val="77670518"/>
    <w:rsid w:val="777FA627"/>
    <w:rsid w:val="77DF1B5F"/>
    <w:rsid w:val="77EDEE21"/>
    <w:rsid w:val="77EF2D9D"/>
    <w:rsid w:val="79731C30"/>
    <w:rsid w:val="79E7B28D"/>
    <w:rsid w:val="7ACFF0C2"/>
    <w:rsid w:val="7AFB9108"/>
    <w:rsid w:val="7B7F698D"/>
    <w:rsid w:val="7BD5340C"/>
    <w:rsid w:val="7BDEC276"/>
    <w:rsid w:val="7BFB19D2"/>
    <w:rsid w:val="7BFB2676"/>
    <w:rsid w:val="7BFD1750"/>
    <w:rsid w:val="7BFDAA1B"/>
    <w:rsid w:val="7CB63224"/>
    <w:rsid w:val="7CDF9A82"/>
    <w:rsid w:val="7CEB4A36"/>
    <w:rsid w:val="7CFFA1BD"/>
    <w:rsid w:val="7D2E3F7A"/>
    <w:rsid w:val="7DED9490"/>
    <w:rsid w:val="7DFDF9AD"/>
    <w:rsid w:val="7DFF4872"/>
    <w:rsid w:val="7E7487E6"/>
    <w:rsid w:val="7E7C2A54"/>
    <w:rsid w:val="7EEEFD72"/>
    <w:rsid w:val="7F1D517C"/>
    <w:rsid w:val="7F32C1A8"/>
    <w:rsid w:val="7F5DA057"/>
    <w:rsid w:val="7F6C2237"/>
    <w:rsid w:val="7F7F319B"/>
    <w:rsid w:val="7F9F20EE"/>
    <w:rsid w:val="7F9F6597"/>
    <w:rsid w:val="7FB7CE18"/>
    <w:rsid w:val="7FBBE890"/>
    <w:rsid w:val="7FBC2ABD"/>
    <w:rsid w:val="7FBEC1C2"/>
    <w:rsid w:val="7FBF5D48"/>
    <w:rsid w:val="7FCCFC01"/>
    <w:rsid w:val="7FD60A29"/>
    <w:rsid w:val="7FDD1748"/>
    <w:rsid w:val="7FE4CE24"/>
    <w:rsid w:val="7FE769C6"/>
    <w:rsid w:val="7FF1DFFA"/>
    <w:rsid w:val="7FFCF48A"/>
    <w:rsid w:val="7FFD083E"/>
    <w:rsid w:val="7FFF9372"/>
    <w:rsid w:val="7FFFC7E8"/>
    <w:rsid w:val="7FFFF412"/>
    <w:rsid w:val="84BF1F3B"/>
    <w:rsid w:val="8F55B106"/>
    <w:rsid w:val="93F35BE2"/>
    <w:rsid w:val="95DF317D"/>
    <w:rsid w:val="9765964F"/>
    <w:rsid w:val="97E77C70"/>
    <w:rsid w:val="9E3A10E2"/>
    <w:rsid w:val="9ED72FC8"/>
    <w:rsid w:val="9FB91FBD"/>
    <w:rsid w:val="9FD54998"/>
    <w:rsid w:val="A5FF6751"/>
    <w:rsid w:val="A671883B"/>
    <w:rsid w:val="A7EFD17F"/>
    <w:rsid w:val="A7F36A55"/>
    <w:rsid w:val="A7FFE43F"/>
    <w:rsid w:val="AABF2073"/>
    <w:rsid w:val="AFEA15A2"/>
    <w:rsid w:val="B57F2BA1"/>
    <w:rsid w:val="B7BC163E"/>
    <w:rsid w:val="BBBD1414"/>
    <w:rsid w:val="BDFEA317"/>
    <w:rsid w:val="BEF705F2"/>
    <w:rsid w:val="BFF8D11B"/>
    <w:rsid w:val="CBFFCF41"/>
    <w:rsid w:val="CD7F2986"/>
    <w:rsid w:val="CD9BBABB"/>
    <w:rsid w:val="CE2FA682"/>
    <w:rsid w:val="CF99F292"/>
    <w:rsid w:val="CFFF555E"/>
    <w:rsid w:val="D2D17F37"/>
    <w:rsid w:val="D5DA60B3"/>
    <w:rsid w:val="D5E16DB9"/>
    <w:rsid w:val="D7C6F579"/>
    <w:rsid w:val="D7F9F4EF"/>
    <w:rsid w:val="D8FECA92"/>
    <w:rsid w:val="DAFE3054"/>
    <w:rsid w:val="DAFFBE66"/>
    <w:rsid w:val="DD2C0BFE"/>
    <w:rsid w:val="DE3F332B"/>
    <w:rsid w:val="DE6F4A3D"/>
    <w:rsid w:val="DEDE92F1"/>
    <w:rsid w:val="DF37A5CD"/>
    <w:rsid w:val="DF69F8B0"/>
    <w:rsid w:val="DFC71555"/>
    <w:rsid w:val="DFFC559C"/>
    <w:rsid w:val="DFFEDFAE"/>
    <w:rsid w:val="DFFFB5EB"/>
    <w:rsid w:val="E3FE356A"/>
    <w:rsid w:val="E4B33E57"/>
    <w:rsid w:val="E5BF946A"/>
    <w:rsid w:val="E5E428C0"/>
    <w:rsid w:val="E77EA222"/>
    <w:rsid w:val="EB39BD45"/>
    <w:rsid w:val="EB7D85E3"/>
    <w:rsid w:val="EBCF1FC2"/>
    <w:rsid w:val="EBD18F66"/>
    <w:rsid w:val="EBEF3098"/>
    <w:rsid w:val="ED17392C"/>
    <w:rsid w:val="ED9FFD9A"/>
    <w:rsid w:val="EDB7968B"/>
    <w:rsid w:val="EE5EED5D"/>
    <w:rsid w:val="EEF73F60"/>
    <w:rsid w:val="EFCF4FDD"/>
    <w:rsid w:val="EFED1A4C"/>
    <w:rsid w:val="EFED9E42"/>
    <w:rsid w:val="EFEFCA8E"/>
    <w:rsid w:val="EFF6658E"/>
    <w:rsid w:val="EFFF94CA"/>
    <w:rsid w:val="EFFFB194"/>
    <w:rsid w:val="F2E1F9D4"/>
    <w:rsid w:val="F3F782B9"/>
    <w:rsid w:val="F4EFE5B0"/>
    <w:rsid w:val="F5EFE209"/>
    <w:rsid w:val="F5F5B66E"/>
    <w:rsid w:val="F5FBC6C3"/>
    <w:rsid w:val="F5FF7449"/>
    <w:rsid w:val="F6577161"/>
    <w:rsid w:val="F73B664E"/>
    <w:rsid w:val="F7880819"/>
    <w:rsid w:val="F7AF180D"/>
    <w:rsid w:val="F7B633BA"/>
    <w:rsid w:val="F7BDBFA7"/>
    <w:rsid w:val="F7DEBD54"/>
    <w:rsid w:val="F7FAD68F"/>
    <w:rsid w:val="F7FB14CF"/>
    <w:rsid w:val="F97F17F5"/>
    <w:rsid w:val="FADB03C6"/>
    <w:rsid w:val="FB3FC69C"/>
    <w:rsid w:val="FBC7410E"/>
    <w:rsid w:val="FBD81596"/>
    <w:rsid w:val="FBDFF225"/>
    <w:rsid w:val="FBF7AB63"/>
    <w:rsid w:val="FBFD5127"/>
    <w:rsid w:val="FC2F3373"/>
    <w:rsid w:val="FCF51535"/>
    <w:rsid w:val="FD77F6B8"/>
    <w:rsid w:val="FD7F1138"/>
    <w:rsid w:val="FDD69328"/>
    <w:rsid w:val="FDDFEC0E"/>
    <w:rsid w:val="FDE0D6D8"/>
    <w:rsid w:val="FDE58BDD"/>
    <w:rsid w:val="FDEC7001"/>
    <w:rsid w:val="FDEFA79D"/>
    <w:rsid w:val="FDF3AC0A"/>
    <w:rsid w:val="FDFF8B12"/>
    <w:rsid w:val="FE5DD97D"/>
    <w:rsid w:val="FE7F0D80"/>
    <w:rsid w:val="FEDFE87F"/>
    <w:rsid w:val="FEF1D25B"/>
    <w:rsid w:val="FEFEDBAF"/>
    <w:rsid w:val="FF1B0461"/>
    <w:rsid w:val="FF3EF90F"/>
    <w:rsid w:val="FFAF6081"/>
    <w:rsid w:val="FFD36CCC"/>
    <w:rsid w:val="FFDF6830"/>
    <w:rsid w:val="FFECCD8C"/>
    <w:rsid w:val="FFED60BD"/>
    <w:rsid w:val="FFEE08F0"/>
    <w:rsid w:val="FFEE7F9F"/>
    <w:rsid w:val="FFF75902"/>
    <w:rsid w:val="FFFE227A"/>
    <w:rsid w:val="FFFEF822"/>
    <w:rsid w:val="FFFF3197"/>
    <w:rsid w:val="FFFFB1E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Normal Indent"/>
    <w:basedOn w:val="1"/>
    <w:qFormat/>
    <w:uiPriority w:val="0"/>
    <w:pPr>
      <w:suppressAutoHyphens/>
    </w:pPr>
    <w:rPr>
      <w:rFonts w:ascii="Calibri" w:hAnsi="Calibri"/>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4</TotalTime>
  <ScaleCrop>false</ScaleCrop>
  <LinksUpToDate>false</LinksUpToDate>
  <CharactersWithSpaces>7641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2020-08-10T17:49:00Z</dcterms:created>
  <dc:creator>曹颖</dc:creator>
  <cp:lastModifiedBy>user</cp:lastModifiedBy>
  <cp:lastPrinted>2023-08-05T18:35:00Z</cp:lastPrinted>
  <dcterms:modified xsi:type="dcterms:W3CDTF">2024-09-18T09:18:24Z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