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8441"/>
      <w:bookmarkStart w:id="3" w:name="_Toc15377193"/>
      <w:bookmarkStart w:id="4" w:name="_Toc15377425"/>
      <w:bookmarkStart w:id="5" w:name="_Toc1539659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96598"/>
      <w:bookmarkStart w:id="8" w:name="_Toc15377426"/>
      <w:bookmarkStart w:id="9" w:name="_Toc15377194"/>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攀枝花市科技基础条件平台服务中心单位决算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bookmarkStart w:id="12" w:name="_Toc15396599"/>
      <w:bookmarkStart w:id="13" w:name="_Toc15377196"/>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w:t>
      </w:r>
      <w:r>
        <w:rPr>
          <w:lang w:val="en"/>
        </w:rPr>
        <w:t>14</w:t>
      </w:r>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单位概况.................................................4</w:t>
      </w:r>
    </w:p>
    <w:p>
      <w:pPr>
        <w:pStyle w:val="12"/>
        <w:adjustRightInd w:val="0"/>
        <w:snapToGrid w:val="0"/>
        <w:spacing w:line="440" w:lineRule="exact"/>
        <w:jc w:val="left"/>
        <w:rPr>
          <w:sz w:val="24"/>
        </w:rPr>
      </w:pPr>
      <w:r>
        <w:rPr>
          <w:rFonts w:hint="eastAsia"/>
          <w:sz w:val="24"/>
        </w:rPr>
        <w:t>一、职能简介......................................................................................................4</w:t>
      </w:r>
    </w:p>
    <w:p>
      <w:pPr>
        <w:pStyle w:val="12"/>
        <w:adjustRightInd w:val="0"/>
        <w:snapToGrid w:val="0"/>
        <w:spacing w:line="440" w:lineRule="exact"/>
        <w:jc w:val="left"/>
        <w:rPr>
          <w:rFonts w:hint="eastAsia"/>
          <w:sz w:val="24"/>
        </w:rPr>
      </w:pPr>
      <w:r>
        <w:rPr>
          <w:rFonts w:hint="eastAsia" w:asciiTheme="minorEastAsia" w:hAnsiTheme="minorEastAsia" w:eastAsiaTheme="minorEastAsia" w:cstheme="minorEastAsia"/>
          <w:sz w:val="24"/>
        </w:rPr>
        <w:t>二、2021年重点工作完成情况</w:t>
      </w:r>
      <w:r>
        <w:rPr>
          <w:rFonts w:hint="eastAsia"/>
          <w:sz w:val="24"/>
        </w:rPr>
        <w:t>.........................................................................4</w:t>
      </w:r>
    </w:p>
    <w:p>
      <w:pPr>
        <w:rPr>
          <w:sz w:val="24"/>
        </w:rPr>
      </w:pPr>
      <w:r>
        <w:rPr>
          <w:rFonts w:hint="eastAsia"/>
        </w:rPr>
        <w:t xml:space="preserve">    </w:t>
      </w:r>
      <w:r>
        <w:rPr>
          <w:rFonts w:hint="eastAsia"/>
          <w:sz w:val="24"/>
        </w:rPr>
        <w:t>三、机构设置......................................................................................................9</w:t>
      </w:r>
    </w:p>
    <w:p>
      <w:pPr>
        <w:rPr>
          <w:rFonts w:eastAsia="仿宋"/>
          <w:sz w:val="24"/>
        </w:rPr>
      </w:pPr>
      <w:r>
        <w:rPr>
          <w:rFonts w:hint="eastAsia"/>
          <w:sz w:val="24"/>
        </w:rPr>
        <w:t>第二部分 2021年度单位决算情况说明..................................................................10</w:t>
      </w:r>
    </w:p>
    <w:p>
      <w:pPr>
        <w:pStyle w:val="12"/>
        <w:adjustRightInd w:val="0"/>
        <w:snapToGrid w:val="0"/>
        <w:spacing w:line="440" w:lineRule="exact"/>
        <w:jc w:val="left"/>
        <w:rPr>
          <w:rFonts w:ascii="仿宋" w:hAnsi="仿宋" w:cstheme="minorBidi"/>
          <w:sz w:val="24"/>
        </w:rPr>
      </w:pPr>
      <w:r>
        <w:rPr>
          <w:rFonts w:hint="eastAsia"/>
          <w:sz w:val="24"/>
        </w:rPr>
        <w:t>一、收入支出决算总体情况说明......................................................................10</w:t>
      </w:r>
    </w:p>
    <w:p>
      <w:pPr>
        <w:pStyle w:val="12"/>
        <w:adjustRightInd w:val="0"/>
        <w:snapToGrid w:val="0"/>
        <w:spacing w:line="440" w:lineRule="exact"/>
        <w:jc w:val="left"/>
        <w:rPr>
          <w:rFonts w:ascii="仿宋" w:hAnsi="仿宋" w:cstheme="minorBidi"/>
          <w:sz w:val="24"/>
        </w:rPr>
      </w:pPr>
      <w:r>
        <w:rPr>
          <w:rFonts w:hint="eastAsia"/>
          <w:sz w:val="24"/>
        </w:rPr>
        <w:t>二、收入决算情况说明......................................................................................10</w:t>
      </w:r>
    </w:p>
    <w:p>
      <w:pPr>
        <w:pStyle w:val="12"/>
        <w:adjustRightInd w:val="0"/>
        <w:snapToGrid w:val="0"/>
        <w:spacing w:line="440" w:lineRule="exact"/>
        <w:jc w:val="left"/>
        <w:rPr>
          <w:rFonts w:ascii="仿宋" w:hAnsi="仿宋" w:cstheme="minorBidi"/>
          <w:sz w:val="24"/>
        </w:rPr>
      </w:pPr>
      <w:r>
        <w:rPr>
          <w:rFonts w:hint="eastAsia"/>
          <w:sz w:val="24"/>
        </w:rPr>
        <w:t>三、支出决算情况说明.....................................................................................11</w:t>
      </w:r>
    </w:p>
    <w:p>
      <w:pPr>
        <w:pStyle w:val="12"/>
        <w:adjustRightInd w:val="0"/>
        <w:snapToGrid w:val="0"/>
        <w:spacing w:line="440" w:lineRule="exact"/>
        <w:jc w:val="left"/>
        <w:rPr>
          <w:rFonts w:ascii="仿宋" w:hAnsi="仿宋" w:cstheme="minorBidi"/>
          <w:sz w:val="24"/>
        </w:rPr>
      </w:pPr>
      <w:r>
        <w:rPr>
          <w:rFonts w:hint="eastAsia"/>
          <w:sz w:val="24"/>
        </w:rPr>
        <w:t>四、财政拨款收入支出决算总体情况说明.....................................................12</w:t>
      </w:r>
    </w:p>
    <w:p>
      <w:pPr>
        <w:pStyle w:val="12"/>
        <w:adjustRightInd w:val="0"/>
        <w:snapToGrid w:val="0"/>
        <w:spacing w:line="440" w:lineRule="exact"/>
        <w:jc w:val="left"/>
        <w:rPr>
          <w:rFonts w:ascii="仿宋" w:hAnsi="仿宋" w:cstheme="minorBidi"/>
          <w:sz w:val="24"/>
        </w:rPr>
      </w:pPr>
      <w:r>
        <w:rPr>
          <w:rFonts w:hint="eastAsia"/>
          <w:sz w:val="24"/>
        </w:rPr>
        <w:t>五、一般公共预算财政拨款支出决算情况说明.............................................13</w:t>
      </w:r>
    </w:p>
    <w:p>
      <w:pPr>
        <w:pStyle w:val="12"/>
        <w:adjustRightInd w:val="0"/>
        <w:snapToGrid w:val="0"/>
        <w:spacing w:line="440" w:lineRule="exact"/>
        <w:jc w:val="left"/>
        <w:rPr>
          <w:rFonts w:ascii="仿宋" w:hAnsi="仿宋" w:cstheme="minorBidi"/>
          <w:sz w:val="24"/>
        </w:rPr>
      </w:pPr>
      <w:r>
        <w:rPr>
          <w:rFonts w:hint="eastAsia"/>
          <w:sz w:val="24"/>
        </w:rPr>
        <w:t>六、一般公共预算财政拨款基本支出决算情况说明.....................................15</w:t>
      </w:r>
    </w:p>
    <w:p>
      <w:pPr>
        <w:pStyle w:val="12"/>
        <w:adjustRightInd w:val="0"/>
        <w:snapToGrid w:val="0"/>
        <w:spacing w:line="440" w:lineRule="exact"/>
        <w:jc w:val="left"/>
        <w:rPr>
          <w:rFonts w:ascii="仿宋" w:hAnsi="仿宋" w:cstheme="minorBidi"/>
          <w:sz w:val="24"/>
        </w:rPr>
      </w:pPr>
      <w:r>
        <w:rPr>
          <w:rFonts w:hint="eastAsia"/>
          <w:sz w:val="24"/>
        </w:rPr>
        <w:t>七、“三公”经费财政拨款支出决算情况说明...............................................16</w:t>
      </w:r>
    </w:p>
    <w:p>
      <w:pPr>
        <w:pStyle w:val="12"/>
        <w:adjustRightInd w:val="0"/>
        <w:snapToGrid w:val="0"/>
        <w:spacing w:line="440" w:lineRule="exact"/>
        <w:jc w:val="left"/>
        <w:rPr>
          <w:rFonts w:ascii="仿宋" w:hAnsi="仿宋" w:cstheme="minorBidi"/>
          <w:sz w:val="24"/>
        </w:rPr>
      </w:pPr>
      <w:r>
        <w:rPr>
          <w:rFonts w:hint="eastAsia"/>
          <w:sz w:val="24"/>
        </w:rPr>
        <w:t>八、政府性基金预算支出决算情况说明.........................................................18</w:t>
      </w:r>
    </w:p>
    <w:p>
      <w:pPr>
        <w:pStyle w:val="12"/>
        <w:adjustRightInd w:val="0"/>
        <w:snapToGrid w:val="0"/>
        <w:spacing w:line="440" w:lineRule="exact"/>
        <w:jc w:val="left"/>
        <w:rPr>
          <w:sz w:val="24"/>
        </w:rPr>
      </w:pPr>
      <w:r>
        <w:rPr>
          <w:rFonts w:hint="eastAsia"/>
          <w:sz w:val="24"/>
        </w:rPr>
        <w:t>九、国有资本经营预算支出决算情况说明.....................................................18</w:t>
      </w:r>
    </w:p>
    <w:p>
      <w:pPr>
        <w:pStyle w:val="12"/>
        <w:adjustRightInd w:val="0"/>
        <w:snapToGrid w:val="0"/>
        <w:spacing w:line="440" w:lineRule="exact"/>
        <w:jc w:val="left"/>
        <w:rPr>
          <w:sz w:val="24"/>
        </w:rPr>
      </w:pPr>
      <w:r>
        <w:rPr>
          <w:rFonts w:hint="eastAsia"/>
          <w:sz w:val="24"/>
        </w:rPr>
        <w:t>十、其他重要事项的情况说明.........................................................................18</w:t>
      </w:r>
    </w:p>
    <w:p>
      <w:pPr>
        <w:pStyle w:val="11"/>
        <w:adjustRightInd w:val="0"/>
        <w:snapToGrid w:val="0"/>
        <w:spacing w:before="0" w:line="440" w:lineRule="exact"/>
        <w:jc w:val="left"/>
        <w:rPr>
          <w:sz w:val="24"/>
        </w:rPr>
      </w:pPr>
      <w:r>
        <w:rPr>
          <w:rFonts w:hint="eastAsia"/>
          <w:sz w:val="24"/>
        </w:rPr>
        <w:t>第三部分</w:t>
      </w:r>
      <w:r>
        <w:rPr>
          <w:sz w:val="24"/>
        </w:rPr>
        <w:t xml:space="preserve"> </w:t>
      </w:r>
      <w:r>
        <w:rPr>
          <w:rFonts w:hint="eastAsia"/>
          <w:sz w:val="24"/>
        </w:rPr>
        <w:t>名词解释.................................................21</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附件.....................................................24</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附表.....................................................26</w:t>
      </w:r>
    </w:p>
    <w:p>
      <w:pPr>
        <w:pStyle w:val="12"/>
        <w:adjustRightInd w:val="0"/>
        <w:snapToGrid w:val="0"/>
        <w:spacing w:line="440" w:lineRule="exact"/>
        <w:jc w:val="left"/>
        <w:rPr>
          <w:sz w:val="24"/>
        </w:rPr>
      </w:pPr>
      <w:r>
        <w:rPr>
          <w:rFonts w:hint="eastAsia"/>
          <w:sz w:val="24"/>
        </w:rPr>
        <w:t>一、收入支出决算总表.....................................................................................26</w:t>
      </w:r>
    </w:p>
    <w:p>
      <w:pPr>
        <w:pStyle w:val="12"/>
        <w:adjustRightInd w:val="0"/>
        <w:snapToGrid w:val="0"/>
        <w:spacing w:line="440" w:lineRule="exact"/>
        <w:jc w:val="left"/>
        <w:rPr>
          <w:sz w:val="24"/>
        </w:rPr>
      </w:pPr>
      <w:r>
        <w:rPr>
          <w:rFonts w:hint="eastAsia"/>
          <w:sz w:val="24"/>
        </w:rPr>
        <w:t>二、收入决算表.................................................................................................26</w:t>
      </w:r>
    </w:p>
    <w:p>
      <w:pPr>
        <w:pStyle w:val="12"/>
        <w:adjustRightInd w:val="0"/>
        <w:snapToGrid w:val="0"/>
        <w:spacing w:line="440" w:lineRule="exact"/>
        <w:jc w:val="left"/>
        <w:rPr>
          <w:sz w:val="24"/>
        </w:rPr>
      </w:pPr>
      <w:r>
        <w:rPr>
          <w:rFonts w:hint="eastAsia"/>
          <w:sz w:val="24"/>
        </w:rPr>
        <w:t>三、支出决算表..................................................................................................26</w:t>
      </w:r>
    </w:p>
    <w:p>
      <w:pPr>
        <w:pStyle w:val="12"/>
        <w:adjustRightInd w:val="0"/>
        <w:snapToGrid w:val="0"/>
        <w:spacing w:line="440" w:lineRule="exact"/>
        <w:jc w:val="left"/>
        <w:rPr>
          <w:sz w:val="24"/>
        </w:rPr>
      </w:pPr>
      <w:r>
        <w:rPr>
          <w:rFonts w:hint="eastAsia"/>
          <w:sz w:val="24"/>
        </w:rPr>
        <w:t>四、财政拨款收入支出决算总表......................................................................26</w:t>
      </w:r>
    </w:p>
    <w:p>
      <w:pPr>
        <w:pStyle w:val="12"/>
        <w:adjustRightInd w:val="0"/>
        <w:snapToGrid w:val="0"/>
        <w:spacing w:line="440" w:lineRule="exact"/>
        <w:jc w:val="left"/>
        <w:rPr>
          <w:sz w:val="24"/>
        </w:rPr>
      </w:pPr>
      <w:r>
        <w:rPr>
          <w:rFonts w:hint="eastAsia"/>
          <w:sz w:val="24"/>
        </w:rPr>
        <w:t>五、财政拨款支出决算明细表..........................................................................26</w:t>
      </w:r>
    </w:p>
    <w:p>
      <w:pPr>
        <w:pStyle w:val="12"/>
        <w:adjustRightInd w:val="0"/>
        <w:snapToGrid w:val="0"/>
        <w:spacing w:line="440" w:lineRule="exact"/>
        <w:jc w:val="left"/>
        <w:rPr>
          <w:sz w:val="24"/>
        </w:rPr>
      </w:pPr>
      <w:r>
        <w:rPr>
          <w:rFonts w:hint="eastAsia"/>
          <w:sz w:val="24"/>
        </w:rPr>
        <w:t>六、一般公共预算财政拨款支出决算表..........................................................26</w:t>
      </w:r>
    </w:p>
    <w:p>
      <w:pPr>
        <w:pStyle w:val="12"/>
        <w:adjustRightInd w:val="0"/>
        <w:snapToGrid w:val="0"/>
        <w:spacing w:line="440" w:lineRule="exact"/>
        <w:jc w:val="left"/>
        <w:rPr>
          <w:sz w:val="24"/>
        </w:rPr>
      </w:pPr>
      <w:r>
        <w:rPr>
          <w:rFonts w:hint="eastAsia"/>
          <w:sz w:val="24"/>
        </w:rPr>
        <w:t>七、一般公共预算财政拨款支出决算明细表..................................................26</w:t>
      </w:r>
    </w:p>
    <w:p>
      <w:pPr>
        <w:pStyle w:val="12"/>
        <w:adjustRightInd w:val="0"/>
        <w:snapToGrid w:val="0"/>
        <w:spacing w:line="440" w:lineRule="exact"/>
        <w:jc w:val="left"/>
        <w:rPr>
          <w:sz w:val="24"/>
        </w:rPr>
      </w:pPr>
      <w:r>
        <w:rPr>
          <w:rFonts w:hint="eastAsia"/>
          <w:sz w:val="24"/>
        </w:rPr>
        <w:t>八、一般公共预算财政拨款基本支出决算表..................................................26</w:t>
      </w:r>
    </w:p>
    <w:p>
      <w:pPr>
        <w:pStyle w:val="12"/>
        <w:adjustRightInd w:val="0"/>
        <w:snapToGrid w:val="0"/>
        <w:spacing w:line="440" w:lineRule="exact"/>
        <w:jc w:val="left"/>
        <w:rPr>
          <w:sz w:val="24"/>
        </w:rPr>
      </w:pPr>
      <w:r>
        <w:rPr>
          <w:rFonts w:hint="eastAsia"/>
          <w:sz w:val="24"/>
        </w:rPr>
        <w:t>九、一般公共预算财政拨款项目支出决算表..................................................26</w:t>
      </w:r>
    </w:p>
    <w:p>
      <w:pPr>
        <w:pStyle w:val="12"/>
        <w:adjustRightInd w:val="0"/>
        <w:snapToGrid w:val="0"/>
        <w:spacing w:line="440" w:lineRule="exact"/>
        <w:jc w:val="left"/>
        <w:rPr>
          <w:sz w:val="24"/>
        </w:rPr>
      </w:pPr>
      <w:r>
        <w:rPr>
          <w:rFonts w:hint="eastAsia"/>
          <w:sz w:val="24"/>
        </w:rPr>
        <w:t>十、一般公共预算财政拨款“三公”经费支出决算表.................................26</w:t>
      </w:r>
    </w:p>
    <w:p>
      <w:pPr>
        <w:pStyle w:val="12"/>
        <w:adjustRightInd w:val="0"/>
        <w:snapToGrid w:val="0"/>
        <w:spacing w:line="440" w:lineRule="exact"/>
        <w:jc w:val="left"/>
        <w:rPr>
          <w:sz w:val="24"/>
        </w:rPr>
      </w:pPr>
      <w:r>
        <w:rPr>
          <w:rFonts w:hint="eastAsia"/>
          <w:sz w:val="24"/>
        </w:rPr>
        <w:t>十一、政府性基金预算财政拨款收入支出决算表.........................................26</w:t>
      </w:r>
    </w:p>
    <w:p>
      <w:pPr>
        <w:pStyle w:val="12"/>
        <w:adjustRightInd w:val="0"/>
        <w:snapToGrid w:val="0"/>
        <w:spacing w:line="440" w:lineRule="exact"/>
        <w:jc w:val="left"/>
        <w:rPr>
          <w:sz w:val="24"/>
        </w:rPr>
      </w:pPr>
      <w:r>
        <w:rPr>
          <w:rFonts w:hint="eastAsia"/>
          <w:sz w:val="24"/>
        </w:rPr>
        <w:t>十二、政府性基金预算财政拨款“三公”经费支出决算表.........................26</w:t>
      </w:r>
    </w:p>
    <w:p>
      <w:pPr>
        <w:pStyle w:val="12"/>
        <w:adjustRightInd w:val="0"/>
        <w:snapToGrid w:val="0"/>
        <w:spacing w:line="440" w:lineRule="exact"/>
        <w:jc w:val="left"/>
        <w:rPr>
          <w:sz w:val="24"/>
        </w:rPr>
      </w:pPr>
      <w:r>
        <w:rPr>
          <w:rFonts w:hint="eastAsia"/>
          <w:sz w:val="24"/>
        </w:rPr>
        <w:t>十三、国有资本经营预算财政拨款收入支出决算表.....................................26</w:t>
      </w:r>
    </w:p>
    <w:p>
      <w:pPr>
        <w:pStyle w:val="12"/>
        <w:adjustRightInd w:val="0"/>
        <w:snapToGrid w:val="0"/>
        <w:spacing w:line="440" w:lineRule="exact"/>
        <w:jc w:val="left"/>
        <w:rPr>
          <w:sz w:val="24"/>
        </w:rPr>
      </w:pPr>
      <w:r>
        <w:rPr>
          <w:rFonts w:hint="eastAsia"/>
          <w:sz w:val="24"/>
        </w:rPr>
        <w:t>十四、国有资本经营预算财政拨款支出决算表............................................ 26</w:t>
      </w:r>
    </w:p>
    <w:p>
      <w:pPr>
        <w:pStyle w:val="12"/>
        <w:adjustRightInd w:val="0"/>
        <w:snapToGrid w:val="0"/>
        <w:spacing w:line="560" w:lineRule="exact"/>
        <w:ind w:left="0" w:leftChars="0"/>
        <w:jc w:val="left"/>
        <w:rPr>
          <w:rFonts w:ascii="仿宋" w:hAnsi="仿宋" w:eastAsia="仿宋"/>
          <w:bCs/>
          <w:kern w:val="44"/>
          <w:sz w:val="24"/>
        </w:rPr>
      </w:pPr>
      <w:r>
        <w:rPr>
          <w:rFonts w:ascii="仿宋" w:hAnsi="仿宋" w:eastAsia="仿宋"/>
          <w:b/>
          <w:sz w:val="24"/>
        </w:rPr>
        <w:br w:type="page"/>
      </w:r>
    </w:p>
    <w:p>
      <w:pPr>
        <w:pStyle w:val="3"/>
        <w:jc w:val="center"/>
        <w:rPr>
          <w:rFonts w:ascii="黑体" w:hAnsi="黑体" w:eastAsia="黑体"/>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Style w:val="4"/>
        <w:numPr>
          <w:ilvl w:val="0"/>
          <w:numId w:val="1"/>
        </w:numPr>
        <w:spacing w:line="500" w:lineRule="exact"/>
        <w:rPr>
          <w:rStyle w:val="26"/>
          <w:rFonts w:ascii="黑体" w:hAnsi="黑体" w:eastAsia="黑体"/>
          <w:b w:val="0"/>
          <w:bCs w:val="0"/>
        </w:rPr>
      </w:pPr>
      <w:bookmarkStart w:id="14" w:name="_Toc15396600"/>
      <w:bookmarkStart w:id="15" w:name="_Toc15377197"/>
      <w:r>
        <w:rPr>
          <w:rFonts w:hint="eastAsia" w:ascii="黑体" w:hAnsi="黑体" w:eastAsia="黑体"/>
          <w:b w:val="0"/>
        </w:rPr>
        <w:t>攀枝花市科技基础条件平台服务中心</w:t>
      </w:r>
      <w:r>
        <w:rPr>
          <w:rStyle w:val="26"/>
          <w:rFonts w:hint="eastAsia" w:ascii="黑体" w:hAnsi="黑体" w:eastAsia="黑体"/>
          <w:b w:val="0"/>
          <w:bCs w:val="0"/>
        </w:rPr>
        <w:t>职能简介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研究实验基地和大型科学仪器设备共享平台的建设与管理，市级重点实验室的管理，自然科技资源共享平台的建设和管理，科学数据共享平台的建设与管理，科技文献共享平台的建设与管理，成果转化公共服务平台的建设与管理，网络科技环境平台的建设与管理，全市技术创新人才库的建设与管理，承担农村产业科技服务工作。</w:t>
      </w:r>
    </w:p>
    <w:p>
      <w:pPr>
        <w:pStyle w:val="4"/>
        <w:spacing w:line="500" w:lineRule="exact"/>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w:t>
      </w:r>
      <w:r>
        <w:rPr>
          <w:rFonts w:hint="eastAsia" w:ascii="仿宋_GB2312" w:hAnsi="华文仿宋" w:eastAsia="仿宋_GB2312"/>
          <w:sz w:val="32"/>
          <w:szCs w:val="32"/>
        </w:rPr>
        <w:t>平台中心在市科技局的领导和支持下，</w:t>
      </w:r>
      <w:r>
        <w:rPr>
          <w:rFonts w:hint="eastAsia" w:ascii="仿宋_GB2312" w:eastAsia="仿宋_GB2312"/>
          <w:sz w:val="32"/>
          <w:szCs w:val="32"/>
        </w:rPr>
        <w:t>按照年初制定的工作目标，紧紧围绕全局中心工作，加强科技基础条件建设, 推进资源共享,助力我市科技基础条件平台建设和农村产业技术服务，为全市科技发展提供了重要的保障。现总结如下：</w:t>
      </w:r>
    </w:p>
    <w:p>
      <w:pPr>
        <w:spacing w:line="600" w:lineRule="exact"/>
        <w:ind w:firstLine="643"/>
        <w:jc w:val="left"/>
        <w:rPr>
          <w:rFonts w:ascii="仿宋_GB2312" w:eastAsia="仿宋_GB2312"/>
          <w:b/>
          <w:sz w:val="32"/>
          <w:szCs w:val="32"/>
        </w:rPr>
      </w:pPr>
      <w:r>
        <w:rPr>
          <w:rFonts w:hint="eastAsia" w:ascii="仿宋_GB2312" w:eastAsia="仿宋_GB2312"/>
          <w:b/>
          <w:sz w:val="32"/>
          <w:szCs w:val="32"/>
        </w:rPr>
        <w:t>1、党风廉政建设方面</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深入</w:t>
      </w:r>
      <w:r>
        <w:rPr>
          <w:rFonts w:hint="eastAsia" w:ascii="仿宋_GB2312" w:eastAsia="仿宋_GB2312"/>
          <w:sz w:val="32"/>
          <w:szCs w:val="32"/>
        </w:rPr>
        <w:t>贯彻党的十九大和习近平总书记系列重要讲话精神，认真开展党史学习教育，落实党风廉政建设责任制，将党风廉政建设纳入中心内设各部门的工作及绩效考核中，确保了党风廉政建设责任制真正落到实处；持之以恒抓作风建设，加强日常管理，全单位无公款吃喝等违纪违规行为；加强警示教育，推进反腐倡廉警示教育常态化。</w:t>
      </w:r>
    </w:p>
    <w:p>
      <w:pPr>
        <w:spacing w:line="600" w:lineRule="exact"/>
        <w:ind w:firstLine="643"/>
        <w:jc w:val="left"/>
        <w:rPr>
          <w:rFonts w:ascii="仿宋_GB2312" w:eastAsia="仿宋_GB2312"/>
          <w:b/>
          <w:sz w:val="32"/>
          <w:szCs w:val="32"/>
        </w:rPr>
      </w:pPr>
      <w:r>
        <w:rPr>
          <w:rFonts w:hint="eastAsia" w:ascii="仿宋_GB2312" w:eastAsia="仿宋_GB2312"/>
          <w:b/>
          <w:sz w:val="32"/>
          <w:szCs w:val="32"/>
        </w:rPr>
        <w:t>2、思想学习方面</w:t>
      </w:r>
    </w:p>
    <w:p>
      <w:pPr>
        <w:pStyle w:val="31"/>
        <w:spacing w:line="600" w:lineRule="exact"/>
        <w:ind w:firstLine="640" w:firstLineChars="200"/>
        <w:rPr>
          <w:rFonts w:ascii="仿宋_GB2312" w:eastAsia="仿宋_GB2312"/>
          <w:b/>
          <w:sz w:val="32"/>
          <w:szCs w:val="32"/>
        </w:rPr>
      </w:pPr>
      <w:r>
        <w:rPr>
          <w:rFonts w:hint="eastAsia" w:ascii="仿宋_GB2312" w:eastAsia="仿宋_GB2312"/>
          <w:sz w:val="32"/>
          <w:szCs w:val="32"/>
        </w:rPr>
        <w:t>通过参加科技局、中心组织的党史学习教育，十九届六中全会精神系列学习，结合平时</w:t>
      </w:r>
      <w:r>
        <w:rPr>
          <w:rFonts w:hint="eastAsia" w:ascii="仿宋_GB2312" w:hAnsi="华文仿宋" w:eastAsia="仿宋_GB2312"/>
          <w:sz w:val="32"/>
          <w:szCs w:val="32"/>
        </w:rPr>
        <w:t>上网、看报、学文件、查阅文献等形式，全单位职工认真学习党的各项路线、方针、政策，以及新形势下我党关于环境保护、经济、政治工作方面的重要论述，努力提高理论知识和业务工作水平，始终坚持自学与集体学习相结合，注意理论联系实际，学以致用，以理论指导自己的工作；结合安全生产，每个节假日前都组织单位职工进行安全学习，作好职工的防火、防盗及自身安全提醒。</w:t>
      </w:r>
    </w:p>
    <w:p>
      <w:pPr>
        <w:spacing w:line="600" w:lineRule="exact"/>
        <w:ind w:firstLine="643"/>
        <w:jc w:val="left"/>
        <w:rPr>
          <w:rFonts w:ascii="仿宋_GB2312" w:eastAsia="仿宋_GB2312"/>
          <w:b/>
          <w:sz w:val="32"/>
          <w:szCs w:val="32"/>
        </w:rPr>
      </w:pPr>
      <w:r>
        <w:rPr>
          <w:rFonts w:hint="eastAsia" w:ascii="仿宋_GB2312" w:eastAsia="仿宋_GB2312"/>
          <w:b/>
          <w:sz w:val="32"/>
          <w:szCs w:val="32"/>
        </w:rPr>
        <w:t>3、疫情防控方面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正常开展学习和工作的同时,将疫情防控作为常态，突出政治规矩，加强疫情防控纪律。建立平台中心工作群，将防疫期间的各种信息、规定、文件等及时传达给每位职工，并在特殊时间结点期间要求每位职工每天扫码、测温上班；要求每位职工按照有关规定自觉配合社区、小区、单位进行出行报备、核酸检测等防疫工作。2021年全单位职工未出现违反防疫规定的行为。</w:t>
      </w:r>
    </w:p>
    <w:p>
      <w:pPr>
        <w:spacing w:line="600" w:lineRule="exact"/>
        <w:ind w:firstLine="643"/>
        <w:jc w:val="left"/>
        <w:rPr>
          <w:rFonts w:ascii="仿宋_GB2312" w:eastAsia="仿宋_GB2312"/>
          <w:b/>
          <w:sz w:val="32"/>
          <w:szCs w:val="32"/>
        </w:rPr>
      </w:pPr>
      <w:r>
        <w:rPr>
          <w:rFonts w:hint="eastAsia" w:ascii="仿宋_GB2312" w:eastAsia="仿宋_GB2312"/>
          <w:b/>
          <w:sz w:val="32"/>
          <w:szCs w:val="32"/>
        </w:rPr>
        <w:t>4、党建方面</w:t>
      </w:r>
    </w:p>
    <w:p>
      <w:pPr>
        <w:tabs>
          <w:tab w:val="left" w:pos="8505"/>
        </w:tabs>
        <w:spacing w:line="600" w:lineRule="exact"/>
        <w:ind w:firstLine="640" w:firstLineChars="200"/>
        <w:rPr>
          <w:rFonts w:ascii="仿宋_GB2312" w:hAnsi="Calibri" w:eastAsia="仿宋_GB2312"/>
          <w:color w:val="292929"/>
          <w:sz w:val="32"/>
          <w:szCs w:val="32"/>
        </w:rPr>
      </w:pPr>
      <w:r>
        <w:rPr>
          <w:rFonts w:hint="eastAsia" w:ascii="仿宋_GB2312" w:hAnsi="Calibri" w:eastAsia="仿宋_GB2312"/>
          <w:color w:val="292929"/>
          <w:sz w:val="32"/>
          <w:szCs w:val="32"/>
        </w:rPr>
        <w:t>今年我单位支部坚持以习近平新时代中国特色社会主义思想为指导，以党史学习教育为主线，</w:t>
      </w:r>
      <w:r>
        <w:rPr>
          <w:rFonts w:hint="eastAsia" w:ascii="仿宋_GB2312" w:eastAsia="仿宋_GB2312"/>
          <w:color w:val="292929"/>
          <w:sz w:val="32"/>
          <w:szCs w:val="32"/>
        </w:rPr>
        <w:t>十九大精神为核心，</w:t>
      </w:r>
      <w:r>
        <w:rPr>
          <w:rFonts w:hint="eastAsia" w:ascii="仿宋_GB2312" w:hAnsi="Calibri" w:eastAsia="仿宋_GB2312"/>
          <w:sz w:val="32"/>
          <w:szCs w:val="32"/>
        </w:rPr>
        <w:t>通过集中学习、上党课、主题党日活动和开展党建百年庆祝活动等方式，有效促进了党员思想状况的整体提高，</w:t>
      </w:r>
      <w:r>
        <w:rPr>
          <w:rFonts w:hint="eastAsia" w:ascii="仿宋_GB2312" w:hAnsi="Calibri" w:eastAsia="仿宋_GB2312"/>
          <w:color w:val="292929"/>
          <w:sz w:val="32"/>
          <w:szCs w:val="32"/>
        </w:rPr>
        <w:t>极大的激发了全体党员干部发挥先锋模范作用，有力推进疫情防控、服务乡村振兴、推进“两城”建设、主动融入“三个圈层”建设等中心工作。支部注重平时跟踪掌握党员干部的思想状况，坚持开展党员领导干部与党员干部、党组织书记与党员干部的谈心谈话，加强党员关心关爱，积极听取党员干部的意见诉求，及时发现化解思想问题。</w:t>
      </w:r>
    </w:p>
    <w:p>
      <w:pPr>
        <w:spacing w:line="600" w:lineRule="exact"/>
        <w:ind w:firstLine="640" w:firstLineChars="200"/>
        <w:rPr>
          <w:rFonts w:ascii="仿宋_GB2312" w:eastAsia="仿宋_GB2312"/>
          <w:sz w:val="32"/>
          <w:szCs w:val="32"/>
        </w:rPr>
      </w:pPr>
      <w:r>
        <w:rPr>
          <w:rFonts w:hint="eastAsia" w:ascii="仿宋_GB2312" w:hAnsi="Calibri" w:eastAsia="仿宋_GB2312"/>
          <w:sz w:val="32"/>
          <w:szCs w:val="32"/>
        </w:rPr>
        <w:t>总的来看，本支部</w:t>
      </w:r>
      <w:r>
        <w:rPr>
          <w:rFonts w:hint="eastAsia" w:ascii="仿宋_GB2312" w:hAnsi="Calibri" w:eastAsia="仿宋_GB2312"/>
          <w:color w:val="292929"/>
          <w:sz w:val="32"/>
          <w:szCs w:val="32"/>
        </w:rPr>
        <w:t>党员不断强化理论武装，增强“四个意识”，坚定“四个自信”，做到“两个维护”，</w:t>
      </w:r>
      <w:r>
        <w:rPr>
          <w:rFonts w:hint="eastAsia" w:ascii="仿宋_GB2312" w:hAnsi="Calibri" w:eastAsia="仿宋_GB2312"/>
          <w:sz w:val="32"/>
          <w:szCs w:val="32"/>
        </w:rPr>
        <w:t>思想积极主动，关心国家和单位的发展，对重大问题能够冷静客观分析并作出正确判断，</w:t>
      </w:r>
      <w:r>
        <w:rPr>
          <w:rFonts w:hint="eastAsia" w:ascii="仿宋_GB2312" w:hAnsi="Calibri" w:eastAsia="仿宋_GB2312"/>
          <w:color w:val="292929"/>
          <w:sz w:val="32"/>
          <w:szCs w:val="32"/>
        </w:rPr>
        <w:t>在完成急难险重任务中，</w:t>
      </w:r>
      <w:r>
        <w:rPr>
          <w:rFonts w:hint="eastAsia" w:ascii="仿宋_GB2312" w:hAnsi="Calibri" w:eastAsia="仿宋_GB2312"/>
          <w:color w:val="292929"/>
          <w:sz w:val="32"/>
          <w:szCs w:val="32"/>
          <w:lang w:val="en-US" w:eastAsia="zh-CN"/>
        </w:rPr>
        <w:t>勇于</w:t>
      </w:r>
      <w:r>
        <w:rPr>
          <w:rFonts w:hint="eastAsia" w:ascii="仿宋_GB2312" w:hAnsi="Calibri" w:eastAsia="仿宋_GB2312"/>
          <w:color w:val="292929"/>
          <w:sz w:val="32"/>
          <w:szCs w:val="32"/>
        </w:rPr>
        <w:t>担当。全体党员能够严格遵守党纪法规，自觉抵制不良风气和腐朽现象侵蚀，未发现党员干部违纪违规违法行为。</w:t>
      </w:r>
    </w:p>
    <w:p>
      <w:pPr>
        <w:spacing w:line="600" w:lineRule="exact"/>
        <w:ind w:firstLine="643"/>
        <w:rPr>
          <w:rFonts w:ascii="仿宋_GB2312" w:hAnsi="华文仿宋" w:eastAsia="仿宋_GB2312"/>
          <w:b/>
          <w:sz w:val="32"/>
          <w:szCs w:val="32"/>
        </w:rPr>
      </w:pPr>
      <w:r>
        <w:rPr>
          <w:rFonts w:hint="eastAsia" w:ascii="仿宋_GB2312" w:eastAsia="仿宋_GB2312"/>
          <w:b/>
          <w:sz w:val="32"/>
          <w:szCs w:val="32"/>
        </w:rPr>
        <w:t>5、工作方面</w:t>
      </w:r>
    </w:p>
    <w:p>
      <w:pPr>
        <w:spacing w:line="600" w:lineRule="exact"/>
        <w:ind w:firstLine="643"/>
        <w:rPr>
          <w:rFonts w:ascii="仿宋_GB2312" w:hAnsi="华文仿宋" w:eastAsia="仿宋_GB2312"/>
          <w:b/>
          <w:sz w:val="32"/>
          <w:szCs w:val="32"/>
        </w:rPr>
      </w:pPr>
      <w:r>
        <w:rPr>
          <w:rFonts w:hint="eastAsia" w:ascii="仿宋_GB2312" w:eastAsia="仿宋_GB2312"/>
          <w:b/>
          <w:sz w:val="32"/>
          <w:szCs w:val="32"/>
        </w:rPr>
        <w:t>（1）围绕市科技局中心工作,</w:t>
      </w:r>
      <w:r>
        <w:rPr>
          <w:rFonts w:hint="eastAsia" w:ascii="仿宋_GB2312" w:eastAsia="仿宋_GB2312"/>
          <w:b/>
          <w:color w:val="000000"/>
          <w:sz w:val="32"/>
          <w:szCs w:val="32"/>
        </w:rPr>
        <w:t>为局系统提供网络支撑</w:t>
      </w:r>
      <w:bookmarkStart w:id="67" w:name="_GoBack"/>
      <w:bookmarkEnd w:id="67"/>
      <w:r>
        <w:rPr>
          <w:rFonts w:hint="eastAsia" w:ascii="仿宋_GB2312" w:eastAsia="仿宋_GB2312"/>
          <w:b/>
          <w:color w:val="000000"/>
          <w:sz w:val="32"/>
          <w:szCs w:val="32"/>
        </w:rPr>
        <w:t>和</w:t>
      </w:r>
      <w:r>
        <w:rPr>
          <w:rFonts w:hint="eastAsia" w:ascii="仿宋_GB2312" w:eastAsia="仿宋_GB2312"/>
          <w:b/>
          <w:sz w:val="32"/>
          <w:szCs w:val="32"/>
        </w:rPr>
        <w:t>信息化服务</w:t>
      </w:r>
      <w:r>
        <w:rPr>
          <w:rFonts w:hint="eastAsia" w:ascii="仿宋_GB2312" w:eastAsia="仿宋_GB2312"/>
          <w:b/>
          <w:color w:val="000000"/>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开展网络安全支撑工作。制定在庆祝建党100周年期间的网络安全应急预案，圆满完成建党100周年网络安全工作；完成市公安局网安大队组织开展的“网络安全攻防实战演习“护网2021””和“中国共产党成立100周年网络安全应急演练”工作，并取得全局网络无破防的优异成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开展网络信息服务工作。全年在市科技局官网发布信息269条，回复局长信箱来信2封；发布微博245条、微信71篇，网站访问量158673次。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开展科技创新服务平台试运行工作。收集各科室、单位在试运行过程中的问题10余项，并完成优化；开展科技创新服务平台使用培训1次；完成攀枝花市科技项目新平台建设，科技项目申报管理新系统注册项目负责人461人、评审专家1065人、申报单位155家、归口部门112家，全年受理项目申报 62项,立项35项。</w:t>
      </w:r>
    </w:p>
    <w:p>
      <w:pPr>
        <w:spacing w:line="600" w:lineRule="exact"/>
        <w:ind w:firstLine="726" w:firstLineChars="226"/>
        <w:jc w:val="left"/>
        <w:rPr>
          <w:rFonts w:ascii="仿宋_GB2312" w:eastAsia="仿宋_GB2312"/>
          <w:b/>
          <w:sz w:val="32"/>
          <w:szCs w:val="32"/>
        </w:rPr>
      </w:pPr>
      <w:r>
        <w:rPr>
          <w:rFonts w:hint="eastAsia" w:ascii="仿宋_GB2312" w:hAnsi="宋体" w:eastAsia="仿宋_GB2312" w:cs="宋体"/>
          <w:b/>
          <w:kern w:val="0"/>
          <w:sz w:val="32"/>
          <w:szCs w:val="32"/>
        </w:rPr>
        <w:t>（2）突出科技服务，做好市科技局职能下沉工作。</w:t>
      </w:r>
      <w:r>
        <w:rPr>
          <w:rFonts w:hint="eastAsia" w:ascii="仿宋_GB2312" w:eastAsia="仿宋_GB2312"/>
          <w:b/>
          <w:sz w:val="32"/>
          <w:szCs w:val="32"/>
        </w:rPr>
        <w:t xml:space="preserve"> </w:t>
      </w:r>
    </w:p>
    <w:p>
      <w:pPr>
        <w:spacing w:line="600" w:lineRule="exact"/>
        <w:ind w:firstLine="726" w:firstLineChars="226"/>
        <w:jc w:val="left"/>
        <w:rPr>
          <w:rFonts w:ascii="仿宋_GB2312" w:hAnsi="宋体" w:eastAsia="仿宋_GB2312" w:cs="宋体"/>
          <w:b/>
          <w:kern w:val="0"/>
          <w:sz w:val="32"/>
          <w:szCs w:val="32"/>
        </w:rPr>
      </w:pPr>
      <w:r>
        <w:rPr>
          <w:rFonts w:hint="eastAsia" w:ascii="仿宋_GB2312" w:eastAsia="仿宋_GB2312"/>
          <w:b/>
          <w:sz w:val="32"/>
          <w:szCs w:val="32"/>
        </w:rPr>
        <w:t>参与科博会的筹备工作。</w:t>
      </w:r>
      <w:r>
        <w:rPr>
          <w:rFonts w:hint="eastAsia" w:ascii="仿宋_GB2312" w:eastAsia="仿宋_GB2312"/>
          <w:sz w:val="32"/>
          <w:szCs w:val="32"/>
        </w:rPr>
        <w:t>参与第九届中国（绵阳）科技城国际科技博览会的攀枝花展览展示方案、布展资料、展品收集等前期工作。</w:t>
      </w:r>
      <w:r>
        <w:rPr>
          <w:rFonts w:hint="eastAsia" w:ascii="仿宋_GB2312" w:eastAsia="仿宋_GB2312"/>
          <w:b/>
          <w:sz w:val="32"/>
          <w:szCs w:val="32"/>
        </w:rPr>
        <w:t xml:space="preserve">      </w:t>
      </w:r>
    </w:p>
    <w:p>
      <w:pPr>
        <w:spacing w:line="600" w:lineRule="exact"/>
        <w:ind w:firstLine="643"/>
        <w:rPr>
          <w:rFonts w:ascii="仿宋_GB2312" w:eastAsia="仿宋_GB2312"/>
          <w:sz w:val="32"/>
          <w:szCs w:val="32"/>
        </w:rPr>
      </w:pPr>
      <w:r>
        <w:rPr>
          <w:rFonts w:hint="eastAsia" w:ascii="仿宋_GB2312" w:eastAsia="仿宋_GB2312"/>
          <w:b/>
          <w:sz w:val="32"/>
          <w:szCs w:val="32"/>
        </w:rPr>
        <w:t>完成市科技局“四川省政务服务一体化平台”日常管理工作。</w:t>
      </w:r>
      <w:r>
        <w:rPr>
          <w:rFonts w:hint="eastAsia" w:ascii="仿宋_GB2312" w:eastAsia="仿宋_GB2312"/>
          <w:sz w:val="32"/>
          <w:szCs w:val="32"/>
        </w:rPr>
        <w:t>完成后台管理，全年后台更新数据6处，新增服务内容2个，完善服务信息12处。</w:t>
      </w:r>
    </w:p>
    <w:p>
      <w:pPr>
        <w:spacing w:line="600" w:lineRule="exact"/>
        <w:ind w:firstLine="643"/>
        <w:rPr>
          <w:rFonts w:ascii="仿宋_GB2312" w:eastAsia="仿宋_GB2312"/>
          <w:sz w:val="32"/>
          <w:szCs w:val="32"/>
        </w:rPr>
      </w:pPr>
      <w:r>
        <w:rPr>
          <w:rFonts w:hint="eastAsia" w:ascii="仿宋_GB2312" w:eastAsia="仿宋_GB2312"/>
          <w:b/>
          <w:sz w:val="32"/>
          <w:szCs w:val="32"/>
        </w:rPr>
        <w:t>开展成果评价和成果登记工作。</w:t>
      </w:r>
      <w:r>
        <w:rPr>
          <w:rFonts w:hint="eastAsia" w:ascii="仿宋_GB2312" w:eastAsia="仿宋_GB2312"/>
          <w:sz w:val="32"/>
          <w:szCs w:val="32"/>
        </w:rPr>
        <w:t>为攀钢劳研所完成成果评价2项，成果登记3项。</w:t>
      </w:r>
    </w:p>
    <w:p>
      <w:pPr>
        <w:spacing w:line="600" w:lineRule="exact"/>
        <w:ind w:firstLine="643"/>
        <w:rPr>
          <w:rFonts w:ascii="仿宋_GB2312" w:eastAsia="仿宋_GB2312"/>
          <w:sz w:val="32"/>
          <w:szCs w:val="32"/>
        </w:rPr>
      </w:pPr>
      <w:r>
        <w:rPr>
          <w:rFonts w:hint="eastAsia" w:ascii="仿宋_GB2312" w:eastAsia="仿宋_GB2312"/>
          <w:b/>
          <w:sz w:val="32"/>
          <w:szCs w:val="32"/>
        </w:rPr>
        <w:t>（3）围绕中心职能发挥，开展基础条件平台运行和管理，开展农村产业技术服务工作。</w:t>
      </w:r>
    </w:p>
    <w:p>
      <w:pPr>
        <w:spacing w:line="600" w:lineRule="exact"/>
        <w:ind w:firstLine="726" w:firstLineChars="226"/>
        <w:jc w:val="left"/>
        <w:rPr>
          <w:rFonts w:ascii="仿宋_GB2312" w:eastAsia="仿宋_GB2312"/>
          <w:b/>
          <w:sz w:val="32"/>
          <w:szCs w:val="32"/>
        </w:rPr>
      </w:pPr>
      <w:r>
        <w:rPr>
          <w:rFonts w:hint="eastAsia" w:ascii="仿宋_GB2312" w:eastAsia="仿宋_GB2312"/>
          <w:b/>
          <w:sz w:val="32"/>
          <w:szCs w:val="32"/>
        </w:rPr>
        <w:t>农村产业技术服务方面。</w:t>
      </w:r>
    </w:p>
    <w:p>
      <w:pPr>
        <w:spacing w:line="600" w:lineRule="exact"/>
        <w:ind w:firstLine="723" w:firstLineChars="226"/>
        <w:jc w:val="left"/>
        <w:rPr>
          <w:rFonts w:ascii="仿宋_GB2312" w:eastAsia="仿宋_GB2312"/>
          <w:sz w:val="32"/>
          <w:szCs w:val="32"/>
        </w:rPr>
      </w:pPr>
      <w:r>
        <w:rPr>
          <w:rFonts w:hint="eastAsia" w:ascii="仿宋_GB2312" w:eastAsia="仿宋_GB2312"/>
          <w:sz w:val="32"/>
          <w:szCs w:val="32"/>
        </w:rPr>
        <w:t>对接省农村中心5次；协助市科技局组织2022年省级农业科技项目申报；协调省农村中心来攀开展 2021年“农业科技成果组织策划与奖励申报”专题培训、2021年省级农业科技项目管理业务培训会（攀枝花）、“四川科技扶贫在线”业务培训会；协助组织农业领域省级以上到期科技项目委托验收工作，完成验收1项；协助完成7项省级项目中期检查。</w:t>
      </w:r>
    </w:p>
    <w:p>
      <w:pPr>
        <w:spacing w:line="600" w:lineRule="exact"/>
        <w:ind w:firstLine="643"/>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科技基础条件平台运行和管理方面。</w:t>
      </w:r>
    </w:p>
    <w:p>
      <w:pPr>
        <w:spacing w:line="600" w:lineRule="exact"/>
        <w:ind w:firstLine="640" w:firstLineChars="200"/>
        <w:rPr>
          <w:rFonts w:ascii="仿宋_GB2312" w:eastAsia="仿宋_GB2312"/>
          <w:color w:val="FF0000"/>
          <w:sz w:val="32"/>
          <w:szCs w:val="32"/>
        </w:rPr>
      </w:pPr>
      <w:r>
        <w:rPr>
          <w:rFonts w:hint="eastAsia" w:ascii="仿宋_GB2312" w:hAnsi="宋体" w:eastAsia="仿宋_GB2312" w:cs="宋体"/>
          <w:color w:val="000000"/>
          <w:kern w:val="0"/>
          <w:sz w:val="32"/>
          <w:szCs w:val="32"/>
        </w:rPr>
        <w:t>开展2021年度省科技基础条件资源调查工作。我市调查的主要对象是拥有财政投入形成科技资源的省(市)属科研院所、高等学校等行政事业4家单位，分别是攀枝花学院、攀西钒钛检验检测院、攀枝花市疾病预防控制中心、攀西无公害农产品监测中心。本次调查主要对法人单位资源概况、单台（套）原值50万元以上的大型科研仪器存量及运行服务情况及科技资源库（馆）建设运行情况进行调查。调查显示，4家单位拥有50万以上大型科研仪器设备2020年度总量超80台（套），总原值超9000万元；生物种质资源库（馆、园、圃、场）总数1个；资源保藏种类合计 80种；保藏数量合计800份/株；科研用房面积超30000平方米；实验技术人员超过200人。</w:t>
      </w:r>
    </w:p>
    <w:p>
      <w:pPr>
        <w:spacing w:line="600" w:lineRule="exact"/>
        <w:ind w:firstLine="640" w:firstLineChars="200"/>
        <w:jc w:val="left"/>
        <w:rPr>
          <w:rFonts w:ascii="仿宋_GB2312" w:eastAsia="仿宋_GB2312"/>
          <w:sz w:val="32"/>
          <w:szCs w:val="32"/>
        </w:rPr>
      </w:pPr>
      <w:r>
        <w:rPr>
          <w:rFonts w:hint="eastAsia" w:ascii="仿宋_GB2312" w:hAnsi="宋体" w:eastAsia="仿宋_GB2312" w:cs="宋体"/>
          <w:color w:val="000000"/>
          <w:kern w:val="0"/>
          <w:sz w:val="32"/>
          <w:szCs w:val="32"/>
        </w:rPr>
        <w:t>开展高分技术服务工作。</w:t>
      </w:r>
      <w:r>
        <w:rPr>
          <w:rFonts w:hint="eastAsia" w:ascii="仿宋_GB2312" w:eastAsia="仿宋_GB2312"/>
          <w:sz w:val="32"/>
          <w:szCs w:val="32"/>
        </w:rPr>
        <w:t>针对近两年来攀西地区山火突发的事件增多的情况，协助攀枝花市生态环境局通过省高分中心完成本市山火影像采集工作，并联合攀枝花学院高分专家完成数据、处理分析工作。市生态环境局表示，通过对山火影像数据的采集，能直观的分析我市范围内已发山火的区域、火势及影响，能对下一步防范山火起到积极的指导作用。</w:t>
      </w:r>
    </w:p>
    <w:p>
      <w:pPr>
        <w:spacing w:line="600" w:lineRule="exact"/>
        <w:ind w:firstLine="643"/>
        <w:rPr>
          <w:rFonts w:ascii="仿宋_GB2312" w:eastAsia="仿宋_GB2312"/>
          <w:b/>
          <w:sz w:val="32"/>
          <w:szCs w:val="32"/>
        </w:rPr>
      </w:pPr>
      <w:r>
        <w:rPr>
          <w:rFonts w:hint="eastAsia" w:ascii="仿宋_GB2312" w:hAnsi="宋体" w:eastAsia="仿宋_GB2312" w:cs="宋体"/>
          <w:b/>
          <w:kern w:val="0"/>
          <w:sz w:val="32"/>
          <w:szCs w:val="32"/>
        </w:rPr>
        <w:t>科技项目工作方面</w:t>
      </w:r>
      <w:r>
        <w:rPr>
          <w:rFonts w:hint="eastAsia" w:ascii="仿宋_GB2312" w:eastAsia="仿宋_GB2312"/>
          <w:b/>
          <w:sz w:val="32"/>
          <w:szCs w:val="32"/>
        </w:rPr>
        <w:t>。</w:t>
      </w:r>
    </w:p>
    <w:p>
      <w:pPr>
        <w:spacing w:line="600" w:lineRule="exact"/>
        <w:ind w:firstLine="640" w:firstLineChars="200"/>
        <w:rPr>
          <w:rFonts w:hint="eastAsia" w:ascii="仿宋_GB2312" w:eastAsia="仿宋_GB2312"/>
          <w:sz w:val="32"/>
          <w:szCs w:val="32"/>
        </w:rPr>
      </w:pPr>
      <w:r>
        <w:rPr>
          <w:rFonts w:hint="eastAsia" w:ascii="仿宋_GB2312" w:hAnsi="宋体" w:eastAsia="仿宋_GB2312" w:cs="宋体"/>
          <w:sz w:val="32"/>
          <w:szCs w:val="32"/>
        </w:rPr>
        <w:t>开展“四川乡村振兴科技在线”平台工作。我市已于建成市级平台1个，分别在东区、仁和区、米易县建成共3个县（区）平台，争取省级科技项目4个，资金共计240万元。</w:t>
      </w:r>
      <w:r>
        <w:rPr>
          <w:rFonts w:hint="eastAsia" w:ascii="仿宋_GB2312" w:eastAsia="仿宋_GB2312"/>
          <w:sz w:val="32"/>
          <w:szCs w:val="32"/>
        </w:rPr>
        <w:t>实施</w:t>
      </w:r>
      <w:r>
        <w:rPr>
          <w:rFonts w:hint="eastAsia" w:ascii="仿宋_GB2312" w:eastAsia="仿宋_GB2312" w:cs="仿宋_GB2312-WinCharSetFFFF-H"/>
          <w:kern w:val="0"/>
          <w:sz w:val="32"/>
          <w:szCs w:val="32"/>
        </w:rPr>
        <w:t>截止11月30日，攀枝花“四川乡村振兴科技在线”已入库分诊员21人、专家269人、信息员339人，开展各种培训7期200余人，完成专家咨询649条，技术供给30条。</w:t>
      </w:r>
      <w:r>
        <w:rPr>
          <w:rFonts w:hint="eastAsia" w:ascii="仿宋_GB2312" w:eastAsia="仿宋_GB2312"/>
          <w:sz w:val="32"/>
          <w:szCs w:val="32"/>
        </w:rPr>
        <w:t>指导西区、盐边完成2022年省级科技项目《攀枝花市四川省乡村振兴科技在线平台建设与运行维护》申报,预计争取资金120万元。</w:t>
      </w:r>
    </w:p>
    <w:p>
      <w:pPr>
        <w:spacing w:line="600" w:lineRule="exact"/>
        <w:ind w:firstLine="640" w:firstLineChars="200"/>
        <w:rPr>
          <w:rFonts w:hint="eastAsia" w:ascii="黑体" w:hAnsi="黑体" w:eastAsia="黑体" w:cstheme="majorBidi"/>
          <w:bCs/>
          <w:sz w:val="32"/>
          <w:szCs w:val="32"/>
        </w:rPr>
      </w:pPr>
      <w:r>
        <w:rPr>
          <w:rFonts w:hint="eastAsia" w:ascii="黑体" w:hAnsi="黑体" w:eastAsia="黑体" w:cstheme="majorBidi"/>
          <w:bCs/>
          <w:sz w:val="32"/>
          <w:szCs w:val="32"/>
        </w:rPr>
        <w:t>三、机构设置</w:t>
      </w:r>
    </w:p>
    <w:p>
      <w:pPr>
        <w:pStyle w:val="6"/>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攀枝花市</w:t>
      </w:r>
      <w:r>
        <w:rPr>
          <w:rFonts w:hint="eastAsia" w:ascii="Times New Roman" w:hAnsi="Times New Roman" w:eastAsia="仿宋_GB2312"/>
          <w:sz w:val="32"/>
          <w:szCs w:val="32"/>
        </w:rPr>
        <w:t>科技</w:t>
      </w:r>
      <w:r>
        <w:rPr>
          <w:rFonts w:ascii="Times New Roman" w:hAnsi="Times New Roman" w:eastAsia="仿宋_GB2312"/>
          <w:sz w:val="32"/>
          <w:szCs w:val="32"/>
        </w:rPr>
        <w:t>基础条件平台服务中心</w:t>
      </w:r>
      <w:r>
        <w:rPr>
          <w:rFonts w:hint="eastAsia" w:ascii="Times New Roman" w:hAnsi="Times New Roman" w:eastAsia="仿宋_GB2312"/>
          <w:sz w:val="32"/>
          <w:szCs w:val="32"/>
        </w:rPr>
        <w:t>属攀枝花市科学技术局部门下属的二级预算单位，下设独立编制机构1个，其中行政机构0个，参照公务员法管理的事业机构0个，其他事业机构1个。</w:t>
      </w:r>
    </w:p>
    <w:p>
      <w:pPr>
        <w:pStyle w:val="6"/>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纳入2021年度单位决算编制范围的独立编制机构包括：</w:t>
      </w:r>
      <w:r>
        <w:rPr>
          <w:rFonts w:ascii="Times New Roman" w:hAnsi="Times New Roman" w:eastAsia="仿宋_GB2312"/>
          <w:sz w:val="32"/>
          <w:szCs w:val="32"/>
        </w:rPr>
        <w:t>攀枝花市</w:t>
      </w:r>
      <w:r>
        <w:rPr>
          <w:rFonts w:hint="eastAsia" w:ascii="Times New Roman" w:hAnsi="Times New Roman" w:eastAsia="仿宋_GB2312"/>
          <w:sz w:val="32"/>
          <w:szCs w:val="32"/>
        </w:rPr>
        <w:t>科技</w:t>
      </w:r>
      <w:r>
        <w:rPr>
          <w:rFonts w:ascii="Times New Roman" w:hAnsi="Times New Roman" w:eastAsia="仿宋_GB2312"/>
          <w:sz w:val="32"/>
          <w:szCs w:val="32"/>
        </w:rPr>
        <w:t>基础条件平台服务中心</w:t>
      </w:r>
      <w:r>
        <w:rPr>
          <w:rFonts w:hint="eastAsia" w:ascii="Times New Roman" w:hAnsi="Times New Roman" w:eastAsia="仿宋_GB2312"/>
          <w:sz w:val="32"/>
          <w:szCs w:val="32"/>
        </w:rPr>
        <w:t>。</w:t>
      </w:r>
    </w:p>
    <w:p>
      <w:pPr>
        <w:pStyle w:val="2"/>
        <w:spacing w:before="93"/>
      </w:pPr>
    </w:p>
    <w:p>
      <w:pPr>
        <w:pStyle w:val="2"/>
        <w:spacing w:before="93"/>
        <w:rPr>
          <w:rFonts w:ascii="Times New Roman"/>
          <w:kern w:val="2"/>
          <w:sz w:val="32"/>
          <w:szCs w:val="32"/>
        </w:rPr>
      </w:pPr>
    </w:p>
    <w:p>
      <w:pPr>
        <w:widowControl/>
        <w:spacing w:line="600" w:lineRule="exact"/>
        <w:jc w:val="left"/>
        <w:rPr>
          <w:rFonts w:ascii="仿宋_GB2312" w:hAnsi="仿宋" w:eastAsia="仿宋_GB2312"/>
          <w:sz w:val="32"/>
          <w:szCs w:val="32"/>
        </w:rPr>
      </w:pPr>
    </w:p>
    <w:p>
      <w:pPr>
        <w:pStyle w:val="2"/>
        <w:spacing w:before="93" w:line="600" w:lineRule="exact"/>
      </w:pPr>
    </w:p>
    <w:p>
      <w:pPr>
        <w:pStyle w:val="2"/>
        <w:spacing w:before="93" w:line="600" w:lineRule="exact"/>
      </w:pPr>
    </w:p>
    <w:p>
      <w:pPr>
        <w:pStyle w:val="2"/>
        <w:spacing w:before="93"/>
      </w:pPr>
    </w:p>
    <w:p>
      <w:pPr>
        <w:pStyle w:val="2"/>
        <w:spacing w:before="93"/>
      </w:pPr>
      <w:r>
        <w:br w:type="page"/>
      </w:r>
    </w:p>
    <w:p>
      <w:pPr>
        <w:pStyle w:val="3"/>
        <w:ind w:right="440"/>
        <w:jc w:val="center"/>
        <w:rPr>
          <w:rFonts w:ascii="黑体" w:hAnsi="黑体" w:eastAsia="黑体"/>
          <w:b w:val="0"/>
        </w:rPr>
      </w:pPr>
      <w:bookmarkStart w:id="16" w:name="_Toc15377204"/>
      <w:bookmarkStart w:id="17" w:name="_Toc15396602"/>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2021年度收、支总计258.91万元。与2020年相比收入增加68.64万元,增长36.08%,与2020年相比支出增加68.64万元,增长36.08%。主要变动原因是向省级部门争取了项目资金以及在2021年公招两名工作人员。</w:t>
      </w:r>
    </w:p>
    <w:p>
      <w:pPr>
        <w:pStyle w:val="2"/>
        <w:spacing w:before="93"/>
      </w:pPr>
    </w:p>
    <w:p>
      <w:pPr>
        <w:pStyle w:val="2"/>
        <w:spacing w:beforeLines="0"/>
      </w:pPr>
      <w:r>
        <w:rPr>
          <w:rFonts w:hint="eastAsia"/>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（图1：收、支决算总计变动情况图）（柱状图）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2021年本年收入合计258.91万元，其中：一般公共预算财政拨款收入238.73万元，占92.21%；政府性基金预算财政拨款收入0万元，占0%；国有资本经营预算财政拨款收入0万元，占0%；上级补助收入0万元，占0%；事业收入0万元，占0%；经营收入0万元，占0%；附属单位上缴收入0万元，占0%；其他收入20万元，占7.72%,年初结转和结余0.18万元,占0.07%。</w:t>
      </w:r>
    </w:p>
    <w:p>
      <w:pPr>
        <w:pStyle w:val="2"/>
        <w:spacing w:before="93"/>
      </w:pPr>
      <w:r>
        <w:rPr>
          <w:rFonts w:hint="eastAsia"/>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center"/>
        <w:rPr>
          <w:rFonts w:ascii="仿宋_GB2312" w:hAnsi="仿宋" w:eastAsia="仿宋_GB2312"/>
          <w:sz w:val="32"/>
          <w:szCs w:val="32"/>
        </w:rPr>
      </w:pPr>
      <w:r>
        <w:rPr>
          <w:rFonts w:hint="eastAsia" w:ascii="仿宋_GB2312" w:hAnsi="仿宋" w:eastAsia="仿宋_GB2312"/>
          <w:sz w:val="32"/>
          <w:szCs w:val="32"/>
        </w:rPr>
        <w:t>（图2：收入决算结构图）（饼状图）</w:t>
      </w:r>
    </w:p>
    <w:p>
      <w:pPr>
        <w:pStyle w:val="24"/>
        <w:numPr>
          <w:ilvl w:val="0"/>
          <w:numId w:val="2"/>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2021年本年支出合计258.91万元，其中：基本支出219.55万元，占84.80%；项目支出39.36万元，占15.20%；上缴上级支出0万元，占0%；经营支出0万元，占0%；对附属单位补助支出0万元，占0%。</w:t>
      </w:r>
    </w:p>
    <w:p>
      <w:pPr>
        <w:spacing w:line="600" w:lineRule="exact"/>
        <w:ind w:firstLine="643" w:firstLineChars="200"/>
        <w:outlineLvl w:val="1"/>
        <w:rPr>
          <w:rFonts w:ascii="仿宋_GB2312" w:hAnsi="仿宋" w:eastAsia="仿宋_GB2312"/>
          <w:b/>
          <w:sz w:val="32"/>
          <w:szCs w:val="32"/>
        </w:rPr>
      </w:pPr>
    </w:p>
    <w:p>
      <w:pPr>
        <w:ind w:firstLine="641"/>
        <w:rPr>
          <w:rFonts w:ascii="仿宋" w:hAnsi="仿宋" w:eastAsia="仿宋"/>
          <w:sz w:val="32"/>
          <w:szCs w:val="32"/>
          <w:shd w:val="pct10" w:color="auto" w:fill="FFFFFF"/>
        </w:rPr>
      </w:pPr>
      <w:r>
        <w:rPr>
          <w:rFonts w:ascii="仿宋" w:hAnsi="仿宋" w:eastAsia="仿宋"/>
          <w:sz w:val="32"/>
          <w:szCs w:val="32"/>
          <w:shd w:val="pct10" w:color="auto" w:fill="FFFFFF"/>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（图3：支出决算结构图）（饼状图）</w:t>
      </w:r>
    </w:p>
    <w:p>
      <w:pPr>
        <w:spacing w:line="600" w:lineRule="exact"/>
        <w:ind w:firstLine="640" w:firstLineChars="200"/>
        <w:outlineLvl w:val="1"/>
        <w:rPr>
          <w:rStyle w:val="26"/>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_GB2312" w:eastAsia="仿宋_GB2312"/>
        </w:rPr>
      </w:pPr>
      <w:r>
        <w:rPr>
          <w:rFonts w:hint="eastAsia" w:ascii="仿宋_GB2312" w:hAnsi="仿宋" w:eastAsia="仿宋_GB2312"/>
          <w:sz w:val="32"/>
          <w:szCs w:val="32"/>
        </w:rPr>
        <w:t>2021年财政拨款收、支总计238.91万元。与2020年相比收入增加53.15万元，增长28.61%，与2020年相比支出增加53.15万元，增长28.61%，主要变动原因是向省级部门争取了项目资金以及在2021年公招两名工作人员。</w:t>
      </w:r>
    </w:p>
    <w:p>
      <w:pPr>
        <w:rPr>
          <w:rFonts w:ascii="仿宋" w:hAnsi="仿宋" w:eastAsia="仿宋"/>
          <w:sz w:val="32"/>
          <w:szCs w:val="32"/>
        </w:rPr>
      </w:pPr>
      <w:r>
        <w:rPr>
          <w:rFonts w:ascii="仿宋" w:hAnsi="仿宋" w:eastAsia="仿宋"/>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_GB2312" w:hAnsi="仿宋" w:eastAsia="仿宋_GB2312"/>
          <w:b/>
          <w:sz w:val="32"/>
          <w:szCs w:val="32"/>
        </w:rPr>
      </w:pPr>
      <w:bookmarkStart w:id="28" w:name="_Toc15377210"/>
      <w:r>
        <w:rPr>
          <w:rFonts w:hint="eastAsia" w:ascii="仿宋_GB2312" w:hAnsi="仿宋" w:eastAsia="仿宋_GB2312"/>
          <w:b/>
          <w:sz w:val="32"/>
          <w:szCs w:val="32"/>
        </w:rPr>
        <w:t>（一）一般公共预算财政拨款支出决算总体情况</w:t>
      </w:r>
      <w:bookmarkEnd w:id="28"/>
    </w:p>
    <w:p>
      <w:pPr>
        <w:spacing w:line="600" w:lineRule="exact"/>
        <w:ind w:firstLine="640"/>
        <w:rPr>
          <w:rFonts w:ascii="仿宋_GB2312" w:eastAsia="仿宋_GB2312"/>
        </w:rPr>
      </w:pPr>
      <w:r>
        <w:rPr>
          <w:rFonts w:hint="eastAsia" w:ascii="仿宋_GB2312" w:hAnsi="仿宋" w:eastAsia="仿宋_GB2312"/>
          <w:sz w:val="32"/>
          <w:szCs w:val="32"/>
        </w:rPr>
        <w:t>2021年一般公共预算财政拨款支出238.73万元，占本年支出合计的92.26%。与2020年相比，一般公共预算财政拨款支出增加52.97万元，增长28.52%。主要变动原因是向省级部门争取了项目资金以及在2021年公招两名工作人员。</w:t>
      </w:r>
    </w:p>
    <w:p>
      <w:pPr>
        <w:ind w:firstLine="641"/>
        <w:rPr>
          <w:rFonts w:ascii="仿宋" w:hAnsi="仿宋" w:eastAsia="仿宋"/>
          <w:sz w:val="32"/>
          <w:szCs w:val="32"/>
        </w:rPr>
      </w:pPr>
      <w:r>
        <w:rPr>
          <w:rFonts w:hint="eastAsia" w:ascii="仿宋" w:hAnsi="仿宋" w:eastAsia="仿宋"/>
          <w:sz w:val="32"/>
          <w:szCs w:val="32"/>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_GB2312" w:hAnsi="仿宋" w:eastAsia="仿宋_GB2312"/>
          <w:b/>
          <w:sz w:val="32"/>
          <w:szCs w:val="32"/>
        </w:rPr>
      </w:pPr>
      <w:r>
        <w:rPr>
          <w:rFonts w:hint="eastAsia" w:ascii="仿宋_GB2312" w:hAnsi="仿宋" w:eastAsia="仿宋_GB2312"/>
          <w:sz w:val="32"/>
          <w:szCs w:val="32"/>
        </w:rPr>
        <w:t>2021年一般公共预算财政拨款支出238.73万元，主要用于以下方面:</w:t>
      </w:r>
      <w:r>
        <w:rPr>
          <w:rFonts w:hint="eastAsia" w:ascii="仿宋_GB2312" w:hAnsi="仿宋" w:eastAsia="仿宋_GB2312"/>
          <w:b/>
          <w:sz w:val="32"/>
          <w:szCs w:val="32"/>
        </w:rPr>
        <w:t>一般公共服务（类）</w:t>
      </w:r>
      <w:r>
        <w:rPr>
          <w:rFonts w:hint="eastAsia" w:ascii="仿宋_GB2312" w:hAnsi="仿宋" w:eastAsia="仿宋_GB2312"/>
          <w:sz w:val="32"/>
          <w:szCs w:val="32"/>
        </w:rPr>
        <w:t>支出0万元，占0%；</w:t>
      </w:r>
      <w:r>
        <w:rPr>
          <w:rFonts w:hint="eastAsia" w:ascii="仿宋_GB2312" w:hAnsi="仿宋" w:eastAsia="仿宋_GB2312"/>
          <w:b/>
          <w:sz w:val="32"/>
          <w:szCs w:val="32"/>
        </w:rPr>
        <w:t>教育支出（类）</w:t>
      </w:r>
      <w:r>
        <w:rPr>
          <w:rFonts w:hint="eastAsia" w:ascii="仿宋_GB2312" w:hAnsi="仿宋" w:eastAsia="仿宋_GB2312"/>
          <w:sz w:val="32"/>
          <w:szCs w:val="32"/>
        </w:rPr>
        <w:t>0万元，占0%；</w:t>
      </w:r>
      <w:r>
        <w:rPr>
          <w:rFonts w:hint="eastAsia" w:ascii="仿宋_GB2312" w:hAnsi="仿宋" w:eastAsia="仿宋_GB2312"/>
          <w:b/>
          <w:sz w:val="32"/>
          <w:szCs w:val="32"/>
        </w:rPr>
        <w:t>科学技术（类）</w:t>
      </w:r>
      <w:r>
        <w:rPr>
          <w:rFonts w:hint="eastAsia" w:ascii="仿宋_GB2312" w:hAnsi="仿宋" w:eastAsia="仿宋_GB2312"/>
          <w:sz w:val="32"/>
          <w:szCs w:val="32"/>
        </w:rPr>
        <w:t>支出187.46万元，占78.52%；</w:t>
      </w:r>
      <w:r>
        <w:rPr>
          <w:rFonts w:hint="eastAsia" w:ascii="仿宋_GB2312" w:hAnsi="仿宋" w:eastAsia="仿宋_GB2312"/>
          <w:b/>
          <w:bCs/>
          <w:sz w:val="32"/>
          <w:szCs w:val="32"/>
        </w:rPr>
        <w:t>文化旅游体育与传媒（类）支出0万元，占0%</w:t>
      </w:r>
      <w:r>
        <w:rPr>
          <w:rFonts w:hint="eastAsia" w:ascii="仿宋_GB2312" w:hAnsi="仿宋" w:eastAsia="仿宋_GB2312"/>
          <w:sz w:val="32"/>
          <w:szCs w:val="32"/>
        </w:rPr>
        <w:t>；</w:t>
      </w:r>
      <w:r>
        <w:rPr>
          <w:rFonts w:hint="eastAsia" w:ascii="仿宋_GB2312" w:hAnsi="仿宋" w:eastAsia="仿宋_GB2312"/>
          <w:b/>
          <w:sz w:val="32"/>
          <w:szCs w:val="32"/>
        </w:rPr>
        <w:t>社会保障和就业（类）</w:t>
      </w:r>
      <w:r>
        <w:rPr>
          <w:rFonts w:hint="eastAsia" w:ascii="仿宋_GB2312" w:hAnsi="仿宋" w:eastAsia="仿宋_GB2312"/>
          <w:sz w:val="32"/>
          <w:szCs w:val="32"/>
        </w:rPr>
        <w:t>支出36.71万元，占15.38%；</w:t>
      </w:r>
      <w:r>
        <w:rPr>
          <w:rFonts w:hint="eastAsia" w:ascii="仿宋_GB2312" w:hAnsi="仿宋" w:eastAsia="仿宋_GB2312"/>
          <w:b/>
          <w:bCs/>
          <w:sz w:val="32"/>
          <w:szCs w:val="32"/>
        </w:rPr>
        <w:t>卫生健康支出</w:t>
      </w:r>
      <w:r>
        <w:rPr>
          <w:rFonts w:hint="eastAsia" w:ascii="仿宋_GB2312" w:hAnsi="仿宋" w:eastAsia="仿宋_GB2312"/>
          <w:sz w:val="32"/>
          <w:szCs w:val="32"/>
        </w:rPr>
        <w:t>0万元，占0%；住房保障支出14.55万元，占6.09%。</w:t>
      </w:r>
    </w:p>
    <w:p>
      <w:pPr>
        <w:spacing w:line="600" w:lineRule="exact"/>
        <w:ind w:firstLine="640"/>
        <w:rPr>
          <w:rFonts w:ascii="仿宋_GB2312" w:hAnsi="仿宋" w:eastAsia="仿宋_GB2312"/>
          <w:b/>
          <w:sz w:val="32"/>
          <w:szCs w:val="32"/>
        </w:rPr>
      </w:pPr>
    </w:p>
    <w:p>
      <w:pPr>
        <w:pStyle w:val="2"/>
        <w:spacing w:before="93"/>
      </w:pPr>
      <w:r>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（图6：一般公共预算财政拨款支出决算结构）（饼状图）</w:t>
      </w:r>
    </w:p>
    <w:p>
      <w:pPr>
        <w:spacing w:line="600" w:lineRule="exact"/>
        <w:ind w:firstLine="643" w:firstLineChars="200"/>
        <w:outlineLvl w:val="2"/>
        <w:rPr>
          <w:rFonts w:ascii="仿宋_GB2312" w:hAnsi="仿宋" w:eastAsia="仿宋_GB2312"/>
          <w:b/>
          <w:sz w:val="32"/>
          <w:szCs w:val="32"/>
        </w:rPr>
      </w:pPr>
      <w:bookmarkStart w:id="30" w:name="_Toc15377212"/>
      <w:r>
        <w:rPr>
          <w:rFonts w:hint="eastAsia" w:ascii="仿宋_GB2312" w:hAnsi="仿宋" w:eastAsia="仿宋_GB2312"/>
          <w:b/>
          <w:sz w:val="32"/>
          <w:szCs w:val="32"/>
        </w:rPr>
        <w:t>（三）一般公共预算财政拨款支出决算具体情况</w:t>
      </w:r>
      <w:bookmarkEnd w:id="30"/>
    </w:p>
    <w:p>
      <w:pPr>
        <w:spacing w:line="600" w:lineRule="exact"/>
        <w:ind w:firstLine="643" w:firstLineChars="200"/>
        <w:outlineLvl w:val="2"/>
        <w:rPr>
          <w:rFonts w:ascii="仿宋_GB2312" w:hAnsi="仿宋" w:eastAsia="仿宋_GB2312"/>
          <w:sz w:val="32"/>
          <w:szCs w:val="32"/>
        </w:rPr>
      </w:pPr>
      <w:bookmarkStart w:id="31" w:name="_Toc15377444"/>
      <w:bookmarkStart w:id="32" w:name="_Toc15378460"/>
      <w:bookmarkStart w:id="33" w:name="_Toc15377213"/>
      <w:r>
        <w:rPr>
          <w:rFonts w:hint="eastAsia" w:ascii="仿宋_GB2312" w:hAnsi="仿宋" w:eastAsia="仿宋_GB2312"/>
          <w:b/>
          <w:sz w:val="32"/>
          <w:szCs w:val="32"/>
        </w:rPr>
        <w:t>2021年一般公共预算支出决算数为238.73</w:t>
      </w:r>
      <w:r>
        <w:rPr>
          <w:rFonts w:hint="eastAsia" w:ascii="仿宋_GB2312" w:hAnsi="仿宋" w:eastAsia="仿宋_GB2312"/>
          <w:sz w:val="32"/>
          <w:szCs w:val="32"/>
        </w:rPr>
        <w:t>，</w:t>
      </w:r>
      <w:r>
        <w:rPr>
          <w:rStyle w:val="15"/>
          <w:rFonts w:hint="eastAsia" w:ascii="仿宋_GB2312" w:hAnsi="仿宋" w:eastAsia="仿宋_GB2312"/>
          <w:bCs/>
          <w:sz w:val="32"/>
          <w:szCs w:val="32"/>
        </w:rPr>
        <w:t>完成预算100%。其中：</w:t>
      </w:r>
      <w:bookmarkEnd w:id="31"/>
      <w:bookmarkEnd w:id="32"/>
      <w:bookmarkEnd w:id="33"/>
    </w:p>
    <w:p>
      <w:pPr>
        <w:spacing w:line="600" w:lineRule="exact"/>
        <w:ind w:firstLine="643" w:firstLineChars="200"/>
        <w:rPr>
          <w:rStyle w:val="15"/>
          <w:rFonts w:ascii="仿宋_GB2312" w:hAnsi="仿宋" w:eastAsia="仿宋_GB2312"/>
          <w:bCs/>
          <w:sz w:val="32"/>
          <w:szCs w:val="32"/>
        </w:rPr>
      </w:pPr>
      <w:r>
        <w:rPr>
          <w:rStyle w:val="15"/>
          <w:rFonts w:hint="eastAsia" w:ascii="仿宋_GB2312" w:hAnsi="仿宋" w:eastAsia="仿宋_GB2312"/>
          <w:bCs/>
          <w:sz w:val="32"/>
          <w:szCs w:val="32"/>
        </w:rPr>
        <w:t>1.科学技术（类）技术研究与开发（款）科技成果转化与扩散（项）:</w:t>
      </w:r>
      <w:r>
        <w:rPr>
          <w:rStyle w:val="15"/>
          <w:rFonts w:hint="eastAsia" w:ascii="仿宋_GB2312" w:hAnsi="仿宋" w:eastAsia="仿宋_GB2312"/>
          <w:b w:val="0"/>
          <w:bCs/>
          <w:sz w:val="32"/>
          <w:szCs w:val="32"/>
        </w:rPr>
        <w:t>支出决算为13.26万元，完成预算66.30%，决算数小于此省级项目是跨年度项目，目前该项目进行实施中；</w:t>
      </w:r>
      <w:r>
        <w:rPr>
          <w:rStyle w:val="15"/>
          <w:rFonts w:hint="eastAsia" w:ascii="仿宋_GB2312" w:hAnsi="仿宋" w:eastAsia="仿宋_GB2312"/>
          <w:bCs/>
          <w:sz w:val="32"/>
          <w:szCs w:val="32"/>
        </w:rPr>
        <w:t>科技条件与服务（款）机构运行（项）:</w:t>
      </w:r>
      <w:r>
        <w:rPr>
          <w:rStyle w:val="15"/>
          <w:rFonts w:hint="eastAsia" w:ascii="仿宋_GB2312" w:hAnsi="仿宋" w:eastAsia="仿宋_GB2312"/>
          <w:b w:val="0"/>
          <w:bCs/>
          <w:sz w:val="32"/>
          <w:szCs w:val="32"/>
        </w:rPr>
        <w:t>支出决算为165.09万元，完成预算100%；</w:t>
      </w:r>
      <w:r>
        <w:rPr>
          <w:rStyle w:val="15"/>
          <w:rFonts w:hint="eastAsia" w:ascii="仿宋_GB2312" w:hAnsi="仿宋" w:eastAsia="仿宋_GB2312"/>
          <w:bCs/>
          <w:sz w:val="32"/>
          <w:szCs w:val="32"/>
        </w:rPr>
        <w:t>科技条件与服务（款）其他科技条件与服务支出（项）:</w:t>
      </w:r>
      <w:r>
        <w:rPr>
          <w:rStyle w:val="15"/>
          <w:rFonts w:hint="eastAsia" w:ascii="仿宋_GB2312" w:hAnsi="仿宋" w:eastAsia="仿宋_GB2312"/>
          <w:b w:val="0"/>
          <w:bCs/>
          <w:sz w:val="32"/>
          <w:szCs w:val="32"/>
        </w:rPr>
        <w:t>支出决算为2万元，完成预算100%；</w:t>
      </w:r>
      <w:r>
        <w:rPr>
          <w:rStyle w:val="15"/>
          <w:rFonts w:hint="eastAsia" w:ascii="仿宋_GB2312" w:hAnsi="仿宋" w:eastAsia="仿宋_GB2312"/>
          <w:bCs/>
          <w:sz w:val="32"/>
          <w:szCs w:val="32"/>
        </w:rPr>
        <w:t>其他科学技术支出（款）其他科学技术支出（项）:支出决算为9.12万元，完成预算100%，</w:t>
      </w:r>
      <w:r>
        <w:rPr>
          <w:rStyle w:val="15"/>
          <w:rFonts w:hint="eastAsia" w:ascii="仿宋_GB2312" w:hAnsi="仿宋" w:eastAsia="仿宋_GB2312"/>
          <w:b w:val="0"/>
          <w:bCs/>
          <w:sz w:val="32"/>
          <w:szCs w:val="32"/>
        </w:rPr>
        <w:t>决算数等于预算数的主要原因是完成本年度财政拨款收入支出。</w:t>
      </w:r>
    </w:p>
    <w:p>
      <w:pPr>
        <w:spacing w:line="600" w:lineRule="exact"/>
        <w:ind w:firstLine="643" w:firstLineChars="200"/>
        <w:rPr>
          <w:rFonts w:ascii="仿宋_GB2312" w:hAnsi="仿宋" w:eastAsia="仿宋_GB2312"/>
          <w:b/>
          <w:sz w:val="32"/>
          <w:szCs w:val="32"/>
        </w:rPr>
      </w:pPr>
      <w:r>
        <w:rPr>
          <w:rStyle w:val="15"/>
          <w:rFonts w:hint="eastAsia" w:ascii="仿宋_GB2312" w:hAnsi="仿宋" w:eastAsia="仿宋_GB2312"/>
          <w:bCs/>
          <w:sz w:val="32"/>
          <w:szCs w:val="32"/>
        </w:rPr>
        <w:t>2.社会保障和就业支出(类)人力资源和社会保障管理事务(款)其他人力资源和社会保障管理事务支出(项):</w:t>
      </w:r>
      <w:r>
        <w:rPr>
          <w:rStyle w:val="15"/>
          <w:rFonts w:hint="eastAsia" w:ascii="仿宋_GB2312" w:hAnsi="仿宋" w:eastAsia="仿宋_GB2312"/>
          <w:b w:val="0"/>
          <w:bCs/>
          <w:sz w:val="32"/>
          <w:szCs w:val="32"/>
        </w:rPr>
        <w:t>支出决算1.4万元,完成预算100%；</w:t>
      </w:r>
      <w:r>
        <w:rPr>
          <w:rStyle w:val="15"/>
          <w:rFonts w:hint="eastAsia" w:ascii="仿宋_GB2312" w:hAnsi="仿宋" w:eastAsia="仿宋_GB2312"/>
          <w:bCs/>
          <w:sz w:val="32"/>
          <w:szCs w:val="32"/>
        </w:rPr>
        <w:t>行政事业单位养老支出(款)事业单位离退休(项):</w:t>
      </w:r>
      <w:r>
        <w:rPr>
          <w:rStyle w:val="15"/>
          <w:rFonts w:hint="eastAsia" w:ascii="仿宋_GB2312" w:hAnsi="仿宋" w:eastAsia="仿宋_GB2312"/>
          <w:b w:val="0"/>
          <w:bCs/>
          <w:sz w:val="32"/>
          <w:szCs w:val="32"/>
        </w:rPr>
        <w:t>支出决算19.18万元, 完成预算100%；</w:t>
      </w:r>
      <w:r>
        <w:rPr>
          <w:rStyle w:val="15"/>
          <w:rFonts w:hint="eastAsia" w:ascii="仿宋_GB2312" w:hAnsi="仿宋" w:eastAsia="仿宋_GB2312"/>
          <w:bCs/>
          <w:sz w:val="32"/>
          <w:szCs w:val="32"/>
        </w:rPr>
        <w:t>行政事业单位养老支出(款)机关事业单位基本养老保险缴费支出(项):</w:t>
      </w:r>
      <w:r>
        <w:rPr>
          <w:rStyle w:val="15"/>
          <w:rFonts w:hint="eastAsia" w:ascii="仿宋_GB2312" w:hAnsi="仿宋" w:eastAsia="仿宋_GB2312"/>
          <w:b w:val="0"/>
          <w:bCs/>
          <w:sz w:val="32"/>
          <w:szCs w:val="32"/>
        </w:rPr>
        <w:t>支出决算16.13万元,完成预算100%,决算数等于预算数的主要原因是完成本年度财政拨款收入支出。</w:t>
      </w:r>
    </w:p>
    <w:p>
      <w:pPr>
        <w:pStyle w:val="2"/>
        <w:spacing w:before="93" w:line="600" w:lineRule="exact"/>
        <w:ind w:firstLine="643" w:firstLineChars="200"/>
        <w:rPr>
          <w:rStyle w:val="15"/>
          <w:rFonts w:hAnsi="仿宋"/>
          <w:b w:val="0"/>
          <w:bCs/>
          <w:sz w:val="32"/>
          <w:szCs w:val="32"/>
        </w:rPr>
      </w:pPr>
      <w:r>
        <w:rPr>
          <w:rStyle w:val="15"/>
          <w:rFonts w:hint="eastAsia" w:hAnsi="仿宋"/>
          <w:bCs/>
          <w:sz w:val="32"/>
          <w:szCs w:val="32"/>
        </w:rPr>
        <w:t>3</w:t>
      </w:r>
      <w:r>
        <w:rPr>
          <w:rFonts w:hint="eastAsia"/>
          <w:b/>
          <w:sz w:val="32"/>
          <w:szCs w:val="32"/>
        </w:rPr>
        <w:t>.</w:t>
      </w:r>
      <w:r>
        <w:rPr>
          <w:rStyle w:val="15"/>
          <w:rFonts w:hint="eastAsia" w:hAnsi="仿宋"/>
          <w:bCs/>
          <w:sz w:val="32"/>
          <w:szCs w:val="32"/>
        </w:rPr>
        <w:t xml:space="preserve"> 住房保障支出(类)住房改革支出(款)住房公积金(项):</w:t>
      </w:r>
      <w:r>
        <w:rPr>
          <w:rStyle w:val="15"/>
          <w:rFonts w:hint="eastAsia" w:hAnsi="仿宋"/>
          <w:b w:val="0"/>
          <w:bCs/>
          <w:sz w:val="32"/>
          <w:szCs w:val="32"/>
        </w:rPr>
        <w:t>支出决算14.55万元,完成预算100%。决算数等于预算数的主要原因是完成本年度财政拨款收入支出。</w:t>
      </w:r>
    </w:p>
    <w:p>
      <w:pPr>
        <w:tabs>
          <w:tab w:val="right" w:pos="8306"/>
        </w:tabs>
        <w:spacing w:line="600" w:lineRule="exact"/>
        <w:ind w:firstLine="640"/>
        <w:outlineLvl w:val="1"/>
        <w:rPr>
          <w:rStyle w:val="26"/>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2021年一般公共预算财政拨款基本支出238.73万元，其中：</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人员经费185.04万元，主要包括：基本工资</w:t>
      </w:r>
      <w:r>
        <w:rPr>
          <w:rFonts w:ascii="仿宋_GB2312" w:hAnsi="仿宋" w:eastAsia="仿宋_GB2312"/>
          <w:sz w:val="32"/>
          <w:szCs w:val="32"/>
        </w:rPr>
        <w:t>45.73</w:t>
      </w:r>
      <w:r>
        <w:rPr>
          <w:rFonts w:hint="eastAsia" w:ascii="仿宋_GB2312" w:hAnsi="仿宋" w:eastAsia="仿宋_GB2312"/>
          <w:sz w:val="32"/>
          <w:szCs w:val="32"/>
        </w:rPr>
        <w:t>万元、津贴补贴</w:t>
      </w:r>
      <w:r>
        <w:rPr>
          <w:rFonts w:ascii="仿宋_GB2312" w:hAnsi="仿宋" w:eastAsia="仿宋_GB2312"/>
          <w:sz w:val="32"/>
          <w:szCs w:val="32"/>
        </w:rPr>
        <w:t>46.84</w:t>
      </w:r>
      <w:r>
        <w:rPr>
          <w:rFonts w:hint="eastAsia" w:ascii="仿宋_GB2312" w:hAnsi="仿宋" w:eastAsia="仿宋_GB2312"/>
          <w:sz w:val="32"/>
          <w:szCs w:val="32"/>
        </w:rPr>
        <w:t>万元、奖金0万元、伙食补助费0万元、绩效工资</w:t>
      </w:r>
      <w:r>
        <w:rPr>
          <w:rFonts w:ascii="仿宋_GB2312" w:hAnsi="仿宋" w:eastAsia="仿宋_GB2312"/>
          <w:sz w:val="32"/>
          <w:szCs w:val="32"/>
        </w:rPr>
        <w:t>37.79</w:t>
      </w:r>
      <w:r>
        <w:rPr>
          <w:rFonts w:hint="eastAsia" w:ascii="仿宋_GB2312" w:hAnsi="仿宋" w:eastAsia="仿宋_GB2312"/>
          <w:sz w:val="32"/>
          <w:szCs w:val="32"/>
        </w:rPr>
        <w:t>万元、机关事业单位基本养老保险缴费</w:t>
      </w:r>
      <w:r>
        <w:rPr>
          <w:rFonts w:ascii="仿宋_GB2312" w:hAnsi="仿宋" w:eastAsia="仿宋_GB2312"/>
          <w:sz w:val="32"/>
          <w:szCs w:val="32"/>
        </w:rPr>
        <w:t>16.13</w:t>
      </w:r>
      <w:r>
        <w:rPr>
          <w:rFonts w:hint="eastAsia" w:ascii="仿宋_GB2312" w:hAnsi="仿宋" w:eastAsia="仿宋_GB2312"/>
          <w:sz w:val="32"/>
          <w:szCs w:val="32"/>
        </w:rPr>
        <w:t>万元、职业年金缴费0万元、职工基本医疗保险缴费</w:t>
      </w:r>
      <w:r>
        <w:rPr>
          <w:rFonts w:ascii="仿宋_GB2312" w:hAnsi="仿宋" w:eastAsia="仿宋_GB2312"/>
          <w:sz w:val="32"/>
          <w:szCs w:val="32"/>
        </w:rPr>
        <w:t>12.87</w:t>
      </w:r>
      <w:r>
        <w:rPr>
          <w:rFonts w:hint="eastAsia" w:ascii="仿宋_GB2312" w:hAnsi="仿宋" w:eastAsia="仿宋_GB2312"/>
          <w:sz w:val="32"/>
          <w:szCs w:val="32"/>
        </w:rPr>
        <w:t>万元、公务员医疗补助缴费0万元、其他社会保障缴费</w:t>
      </w:r>
      <w:r>
        <w:rPr>
          <w:rFonts w:ascii="仿宋_GB2312" w:hAnsi="仿宋" w:eastAsia="仿宋_GB2312"/>
          <w:sz w:val="32"/>
          <w:szCs w:val="32"/>
        </w:rPr>
        <w:t>2.09</w:t>
      </w:r>
      <w:r>
        <w:rPr>
          <w:rFonts w:hint="eastAsia" w:ascii="仿宋_GB2312" w:hAnsi="仿宋" w:eastAsia="仿宋_GB2312"/>
          <w:sz w:val="32"/>
          <w:szCs w:val="32"/>
        </w:rPr>
        <w:t>万元、其他工资福利支出</w:t>
      </w:r>
      <w:r>
        <w:rPr>
          <w:rFonts w:ascii="仿宋_GB2312" w:hAnsi="仿宋" w:eastAsia="仿宋_GB2312"/>
          <w:sz w:val="32"/>
          <w:szCs w:val="32"/>
        </w:rPr>
        <w:t>9.04</w:t>
      </w:r>
      <w:r>
        <w:rPr>
          <w:rFonts w:hint="eastAsia" w:ascii="仿宋_GB2312" w:hAnsi="仿宋" w:eastAsia="仿宋_GB2312"/>
          <w:sz w:val="32"/>
          <w:szCs w:val="32"/>
        </w:rPr>
        <w:t>万元、离休费0万元、退休费0万元、抚恤金0万元、生活补助</w:t>
      </w:r>
      <w:r>
        <w:rPr>
          <w:rFonts w:ascii="仿宋_GB2312" w:hAnsi="仿宋" w:eastAsia="仿宋_GB2312"/>
          <w:sz w:val="32"/>
          <w:szCs w:val="32"/>
        </w:rPr>
        <w:t>19.18</w:t>
      </w:r>
      <w:r>
        <w:rPr>
          <w:rFonts w:hint="eastAsia" w:ascii="仿宋_GB2312" w:hAnsi="仿宋" w:eastAsia="仿宋_GB2312"/>
          <w:sz w:val="32"/>
          <w:szCs w:val="32"/>
        </w:rPr>
        <w:t>万元、医疗费补助0万元、奖励金0万元、住房公积金</w:t>
      </w:r>
      <w:r>
        <w:rPr>
          <w:rFonts w:ascii="仿宋_GB2312" w:hAnsi="仿宋" w:eastAsia="仿宋_GB2312"/>
          <w:sz w:val="32"/>
          <w:szCs w:val="32"/>
        </w:rPr>
        <w:t>14.55</w:t>
      </w:r>
      <w:r>
        <w:rPr>
          <w:rFonts w:hint="eastAsia" w:ascii="仿宋_GB2312" w:hAnsi="仿宋" w:eastAsia="仿宋_GB2312"/>
          <w:sz w:val="32"/>
          <w:szCs w:val="32"/>
        </w:rPr>
        <w:t>万元、其他对个人和家庭的补助支出0万元。</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　　公用经费34.50万元，主要包括：办公费</w:t>
      </w:r>
      <w:r>
        <w:rPr>
          <w:rFonts w:ascii="仿宋_GB2312" w:hAnsi="仿宋" w:eastAsia="仿宋_GB2312"/>
          <w:sz w:val="32"/>
          <w:szCs w:val="32"/>
        </w:rPr>
        <w:t>0.8</w:t>
      </w:r>
      <w:r>
        <w:rPr>
          <w:rFonts w:hint="eastAsia" w:ascii="仿宋_GB2312" w:hAnsi="仿宋" w:eastAsia="仿宋_GB2312"/>
          <w:sz w:val="32"/>
          <w:szCs w:val="32"/>
        </w:rPr>
        <w:t>万元、印刷0万元、咨询费0万元、手续费</w:t>
      </w:r>
      <w:r>
        <w:rPr>
          <w:rFonts w:ascii="仿宋_GB2312" w:hAnsi="仿宋" w:eastAsia="仿宋_GB2312"/>
          <w:sz w:val="32"/>
          <w:szCs w:val="32"/>
        </w:rPr>
        <w:t>0.01</w:t>
      </w:r>
      <w:r>
        <w:rPr>
          <w:rFonts w:hint="eastAsia" w:ascii="仿宋_GB2312" w:hAnsi="仿宋" w:eastAsia="仿宋_GB2312"/>
          <w:sz w:val="32"/>
          <w:szCs w:val="32"/>
        </w:rPr>
        <w:t>万元、水费</w:t>
      </w:r>
      <w:r>
        <w:rPr>
          <w:rFonts w:ascii="仿宋_GB2312" w:hAnsi="仿宋" w:eastAsia="仿宋_GB2312"/>
          <w:sz w:val="32"/>
          <w:szCs w:val="32"/>
        </w:rPr>
        <w:t>0.14</w:t>
      </w:r>
      <w:r>
        <w:rPr>
          <w:rFonts w:hint="eastAsia" w:ascii="仿宋_GB2312" w:hAnsi="仿宋" w:eastAsia="仿宋_GB2312"/>
          <w:sz w:val="32"/>
          <w:szCs w:val="32"/>
        </w:rPr>
        <w:t>万元、电费0万元、邮电费</w:t>
      </w:r>
      <w:r>
        <w:rPr>
          <w:rFonts w:ascii="仿宋_GB2312" w:hAnsi="仿宋" w:eastAsia="仿宋_GB2312"/>
          <w:sz w:val="32"/>
          <w:szCs w:val="32"/>
        </w:rPr>
        <w:t>0.13</w:t>
      </w:r>
      <w:r>
        <w:rPr>
          <w:rFonts w:hint="eastAsia" w:ascii="仿宋_GB2312" w:hAnsi="仿宋" w:eastAsia="仿宋_GB2312"/>
          <w:sz w:val="32"/>
          <w:szCs w:val="32"/>
        </w:rPr>
        <w:t>万元、取暖费0万元、物业管理费</w:t>
      </w:r>
      <w:r>
        <w:rPr>
          <w:rFonts w:ascii="仿宋_GB2312" w:hAnsi="仿宋" w:eastAsia="仿宋_GB2312"/>
          <w:sz w:val="32"/>
          <w:szCs w:val="32"/>
        </w:rPr>
        <w:t>0.33</w:t>
      </w:r>
      <w:r>
        <w:rPr>
          <w:rFonts w:hint="eastAsia" w:ascii="仿宋_GB2312" w:hAnsi="仿宋" w:eastAsia="仿宋_GB2312"/>
          <w:sz w:val="32"/>
          <w:szCs w:val="32"/>
        </w:rPr>
        <w:t>万元、差旅费</w:t>
      </w:r>
      <w:r>
        <w:rPr>
          <w:rFonts w:ascii="仿宋_GB2312" w:hAnsi="仿宋" w:eastAsia="仿宋_GB2312"/>
          <w:sz w:val="32"/>
          <w:szCs w:val="32"/>
        </w:rPr>
        <w:t>4.65</w:t>
      </w:r>
      <w:r>
        <w:rPr>
          <w:rFonts w:hint="eastAsia" w:ascii="仿宋_GB2312" w:hAnsi="仿宋" w:eastAsia="仿宋_GB2312"/>
          <w:sz w:val="32"/>
          <w:szCs w:val="32"/>
        </w:rPr>
        <w:t>万元、因公出国（境）费用0万元、维修（护）费0万元、租赁费0万元、会议费0万元、培训费</w:t>
      </w:r>
      <w:r>
        <w:rPr>
          <w:rFonts w:ascii="仿宋_GB2312" w:hAnsi="仿宋" w:eastAsia="仿宋_GB2312"/>
          <w:sz w:val="32"/>
          <w:szCs w:val="32"/>
        </w:rPr>
        <w:t>0.41</w:t>
      </w:r>
      <w:r>
        <w:rPr>
          <w:rFonts w:hint="eastAsia" w:ascii="仿宋_GB2312" w:hAnsi="仿宋" w:eastAsia="仿宋_GB2312"/>
          <w:sz w:val="32"/>
          <w:szCs w:val="32"/>
        </w:rPr>
        <w:t>万元、公务接待费</w:t>
      </w:r>
      <w:r>
        <w:rPr>
          <w:rFonts w:ascii="仿宋_GB2312" w:hAnsi="仿宋" w:eastAsia="仿宋_GB2312"/>
          <w:sz w:val="32"/>
          <w:szCs w:val="32"/>
        </w:rPr>
        <w:t>0.27</w:t>
      </w:r>
      <w:r>
        <w:rPr>
          <w:rFonts w:hint="eastAsia" w:ascii="仿宋_GB2312" w:hAnsi="仿宋" w:eastAsia="仿宋_GB2312"/>
          <w:sz w:val="32"/>
          <w:szCs w:val="32"/>
        </w:rPr>
        <w:t>万元、劳务费</w:t>
      </w:r>
      <w:r>
        <w:rPr>
          <w:rFonts w:ascii="仿宋_GB2312" w:hAnsi="仿宋" w:eastAsia="仿宋_GB2312"/>
          <w:sz w:val="32"/>
          <w:szCs w:val="32"/>
        </w:rPr>
        <w:t>0.12</w:t>
      </w:r>
      <w:r>
        <w:rPr>
          <w:rFonts w:hint="eastAsia" w:ascii="仿宋_GB2312" w:hAnsi="仿宋" w:eastAsia="仿宋_GB2312"/>
          <w:sz w:val="32"/>
          <w:szCs w:val="32"/>
        </w:rPr>
        <w:t>万元、委托业务费</w:t>
      </w:r>
      <w:r>
        <w:rPr>
          <w:rFonts w:ascii="仿宋_GB2312" w:hAnsi="仿宋" w:eastAsia="仿宋_GB2312"/>
          <w:sz w:val="32"/>
          <w:szCs w:val="32"/>
        </w:rPr>
        <w:t>0.08</w:t>
      </w:r>
      <w:r>
        <w:rPr>
          <w:rFonts w:hint="eastAsia" w:ascii="仿宋_GB2312" w:hAnsi="仿宋" w:eastAsia="仿宋_GB2312"/>
          <w:sz w:val="32"/>
          <w:szCs w:val="32"/>
        </w:rPr>
        <w:t>万元、工会经费</w:t>
      </w:r>
      <w:r>
        <w:rPr>
          <w:rFonts w:ascii="仿宋_GB2312" w:hAnsi="仿宋" w:eastAsia="仿宋_GB2312"/>
          <w:sz w:val="32"/>
          <w:szCs w:val="32"/>
        </w:rPr>
        <w:t>2.37</w:t>
      </w:r>
      <w:r>
        <w:rPr>
          <w:rFonts w:hint="eastAsia" w:ascii="仿宋_GB2312" w:hAnsi="仿宋" w:eastAsia="仿宋_GB2312"/>
          <w:sz w:val="32"/>
          <w:szCs w:val="32"/>
        </w:rPr>
        <w:t>万元、福利费</w:t>
      </w:r>
      <w:r>
        <w:rPr>
          <w:rFonts w:ascii="仿宋_GB2312" w:hAnsi="仿宋" w:eastAsia="仿宋_GB2312"/>
          <w:sz w:val="32"/>
          <w:szCs w:val="32"/>
        </w:rPr>
        <w:t>4.47</w:t>
      </w:r>
      <w:r>
        <w:rPr>
          <w:rFonts w:hint="eastAsia" w:ascii="仿宋_GB2312" w:hAnsi="仿宋" w:eastAsia="仿宋_GB2312"/>
          <w:sz w:val="32"/>
          <w:szCs w:val="32"/>
        </w:rPr>
        <w:t>万元、公务用车运行维护费</w:t>
      </w:r>
      <w:r>
        <w:rPr>
          <w:rFonts w:ascii="仿宋_GB2312" w:hAnsi="仿宋" w:eastAsia="仿宋_GB2312"/>
          <w:sz w:val="32"/>
          <w:szCs w:val="32"/>
        </w:rPr>
        <w:t>1.54</w:t>
      </w:r>
      <w:r>
        <w:rPr>
          <w:rFonts w:hint="eastAsia" w:ascii="仿宋_GB2312" w:hAnsi="仿宋" w:eastAsia="仿宋_GB2312"/>
          <w:sz w:val="32"/>
          <w:szCs w:val="32"/>
        </w:rPr>
        <w:t>万元、其他交通费0万元、税金及附加费用0万元、其他商品和服务支出0万元、办公设备购置0万元、专用设备购置0万元、信息网络及软件购置更新0万元、其他资本性支出等0万元。</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_GB2312" w:hAnsi="仿宋" w:eastAsia="仿宋_GB2312"/>
          <w:b/>
          <w:sz w:val="32"/>
          <w:szCs w:val="32"/>
        </w:rPr>
      </w:pPr>
      <w:bookmarkStart w:id="38" w:name="_Toc15377216"/>
      <w:r>
        <w:rPr>
          <w:rFonts w:hint="eastAsia" w:ascii="仿宋_GB2312" w:hAnsi="仿宋" w:eastAsia="仿宋_GB2312"/>
          <w:b/>
          <w:sz w:val="32"/>
          <w:szCs w:val="32"/>
        </w:rPr>
        <w:t>（一）“三公”经费财政拨款支出决算总体情况说明</w:t>
      </w:r>
      <w:bookmarkEnd w:id="38"/>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2021年“三公”经费财政拨款支出决算为1.81万元，完成预算92.82%，决算数小于预算数主要原因是为了节约经费，控制资金支出。</w:t>
      </w:r>
    </w:p>
    <w:p>
      <w:pPr>
        <w:spacing w:line="600" w:lineRule="exact"/>
        <w:ind w:firstLine="640"/>
        <w:outlineLvl w:val="2"/>
        <w:rPr>
          <w:rFonts w:ascii="仿宋_GB2312" w:hAnsi="仿宋" w:eastAsia="仿宋_GB2312"/>
          <w:b/>
          <w:sz w:val="32"/>
          <w:szCs w:val="32"/>
        </w:rPr>
      </w:pPr>
      <w:bookmarkStart w:id="39" w:name="_Toc15377217"/>
      <w:r>
        <w:rPr>
          <w:rFonts w:hint="eastAsia" w:ascii="仿宋_GB2312" w:hAnsi="仿宋" w:eastAsia="仿宋_GB2312"/>
          <w:b/>
          <w:sz w:val="32"/>
          <w:szCs w:val="32"/>
        </w:rPr>
        <w:t>（二）“三公”经费财政拨款支出决算具体情况说明</w:t>
      </w:r>
      <w:bookmarkEnd w:id="39"/>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2021年“三公”经费财政拨款支出决算中，因公出国（境）费支出决算0万元，占0%；公务用车购置及运行维护费支出决算1.54万元，占85.08%；公务接待费支出决算0.27万元，占14.92%。具体情况如下：</w:t>
      </w:r>
    </w:p>
    <w:p>
      <w:pPr>
        <w:pStyle w:val="2"/>
        <w:spacing w:beforeLines="0"/>
      </w:pPr>
      <w:r>
        <w:rPr>
          <w:rFonts w:hint="eastAsia"/>
        </w:rPr>
        <w:drawing>
          <wp:inline distT="0" distB="0" distL="0" distR="0">
            <wp:extent cx="5274310" cy="3076575"/>
            <wp:effectExtent l="19050" t="0" r="2159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（图7：“三公”经费财政拨款支出结构）（饼状图）</w:t>
      </w:r>
    </w:p>
    <w:p>
      <w:pPr>
        <w:spacing w:line="600" w:lineRule="exact"/>
        <w:ind w:firstLine="640"/>
        <w:rPr>
          <w:rFonts w:ascii="仿宋_GB2312" w:eastAsia="仿宋_GB2312"/>
          <w:b/>
          <w:sz w:val="32"/>
          <w:szCs w:val="32"/>
        </w:rPr>
      </w:pPr>
      <w:r>
        <w:rPr>
          <w:rFonts w:hint="eastAsia" w:ascii="仿宋_GB2312" w:eastAsia="仿宋_GB2312"/>
          <w:b/>
          <w:sz w:val="32"/>
          <w:szCs w:val="32"/>
        </w:rPr>
        <w:t>1.因公出国（境）经费支出</w:t>
      </w:r>
      <w:r>
        <w:rPr>
          <w:rFonts w:hint="eastAsia" w:ascii="仿宋_GB2312" w:eastAsia="仿宋_GB2312"/>
          <w:sz w:val="32"/>
          <w:szCs w:val="32"/>
        </w:rPr>
        <w:t>0万元，</w:t>
      </w:r>
      <w:r>
        <w:rPr>
          <w:rStyle w:val="15"/>
          <w:rFonts w:hint="eastAsia" w:ascii="仿宋_GB2312" w:hAnsi="仿宋" w:eastAsia="仿宋_GB2312"/>
          <w:b w:val="0"/>
          <w:bCs/>
          <w:sz w:val="32"/>
          <w:szCs w:val="32"/>
        </w:rPr>
        <w:t>完成预算0%。</w:t>
      </w:r>
      <w:r>
        <w:rPr>
          <w:rFonts w:hint="eastAsia" w:ascii="仿宋_GB2312" w:eastAsia="仿宋_GB2312"/>
          <w:sz w:val="32"/>
          <w:szCs w:val="32"/>
        </w:rPr>
        <w:t>全年安排因公出国（境）团组0次，出国（境）0人。因公出国（境）支出决算比2020年增加/减少0万元，增长/下降0%。主要原因是2021年未产生因公出国经费。</w:t>
      </w:r>
    </w:p>
    <w:p>
      <w:pPr>
        <w:spacing w:line="600" w:lineRule="exact"/>
        <w:ind w:firstLine="640"/>
        <w:rPr>
          <w:rFonts w:ascii="仿宋_GB2312" w:eastAsia="仿宋_GB2312"/>
          <w:b/>
          <w:sz w:val="32"/>
          <w:szCs w:val="32"/>
        </w:rPr>
      </w:pPr>
      <w:r>
        <w:rPr>
          <w:rFonts w:hint="eastAsia" w:ascii="仿宋_GB2312" w:eastAsia="仿宋_GB2312"/>
          <w:b/>
          <w:sz w:val="32"/>
          <w:szCs w:val="32"/>
        </w:rPr>
        <w:t>2.公务用车购置及运行维护费支出</w:t>
      </w:r>
      <w:r>
        <w:rPr>
          <w:rFonts w:hint="eastAsia" w:ascii="仿宋_GB2312" w:eastAsia="仿宋_GB2312"/>
          <w:sz w:val="32"/>
          <w:szCs w:val="32"/>
        </w:rPr>
        <w:t>1.54万元,</w:t>
      </w:r>
      <w:r>
        <w:rPr>
          <w:rStyle w:val="15"/>
          <w:rFonts w:hint="eastAsia" w:ascii="仿宋_GB2312" w:hAnsi="仿宋" w:eastAsia="仿宋_GB2312"/>
          <w:b w:val="0"/>
          <w:bCs/>
          <w:sz w:val="32"/>
          <w:szCs w:val="32"/>
        </w:rPr>
        <w:t>完成预算95.06%。</w:t>
      </w:r>
      <w:r>
        <w:rPr>
          <w:rFonts w:hint="eastAsia" w:ascii="仿宋_GB2312" w:eastAsia="仿宋_GB2312"/>
          <w:sz w:val="32"/>
          <w:szCs w:val="32"/>
        </w:rPr>
        <w:t>公务用车购置及运行维护费支出决算比2020年减少0.49万元，下降24.16%。主要原因是节约经费，控制资金支出。</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0万元。全年按规定更新购置公务用车0辆，其中：轿车0辆、金额0万元，越野车0辆、金额0万元，载客汽车0辆、金额0万元。截至2021年12月底，单位共有公务用车1辆，其中：轿车1辆、越野车0辆、载客汽车0辆。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1.54万元。主要用于对科技农业企业培训调研、对中、小、微企业服务等所需的公务用车燃料费、维修费、过路过桥费、保险费等支出。</w:t>
      </w:r>
    </w:p>
    <w:p>
      <w:pPr>
        <w:spacing w:line="600" w:lineRule="exact"/>
        <w:ind w:firstLine="640"/>
        <w:rPr>
          <w:rFonts w:ascii="仿宋_GB2312" w:eastAsia="仿宋_GB2312"/>
          <w:sz w:val="32"/>
          <w:szCs w:val="32"/>
        </w:rPr>
      </w:pPr>
      <w:r>
        <w:rPr>
          <w:rFonts w:hint="eastAsia" w:ascii="仿宋_GB2312" w:eastAsia="仿宋_GB2312"/>
          <w:b/>
          <w:sz w:val="32"/>
          <w:szCs w:val="32"/>
        </w:rPr>
        <w:t>3.公务接待费支出</w:t>
      </w:r>
      <w:r>
        <w:rPr>
          <w:rFonts w:hint="eastAsia" w:ascii="仿宋_GB2312" w:eastAsia="仿宋_GB2312"/>
          <w:sz w:val="32"/>
          <w:szCs w:val="32"/>
        </w:rPr>
        <w:t>0.27万元，</w:t>
      </w:r>
      <w:r>
        <w:rPr>
          <w:rStyle w:val="15"/>
          <w:rFonts w:hint="eastAsia" w:ascii="仿宋_GB2312" w:hAnsi="仿宋" w:eastAsia="仿宋_GB2312"/>
          <w:b w:val="0"/>
          <w:bCs/>
          <w:sz w:val="32"/>
          <w:szCs w:val="32"/>
        </w:rPr>
        <w:t>完成预算81.50%。</w:t>
      </w:r>
      <w:r>
        <w:rPr>
          <w:rFonts w:hint="eastAsia" w:ascii="仿宋_GB2312" w:eastAsia="仿宋_GB2312"/>
          <w:sz w:val="32"/>
          <w:szCs w:val="32"/>
        </w:rPr>
        <w:t>公务接待费支出决算比2020年增加</w:t>
      </w:r>
      <w:r>
        <w:rPr>
          <w:rFonts w:hint="eastAsia" w:ascii="仿宋_GB2312" w:eastAsia="仿宋_GB2312"/>
          <w:sz w:val="32"/>
          <w:szCs w:val="32"/>
          <w:lang w:val="en-US" w:eastAsia="zh-CN"/>
        </w:rPr>
        <w:t>0.08万</w:t>
      </w:r>
      <w:r>
        <w:rPr>
          <w:rFonts w:hint="eastAsia" w:ascii="仿宋_GB2312" w:eastAsia="仿宋_GB2312"/>
          <w:sz w:val="32"/>
          <w:szCs w:val="32"/>
        </w:rPr>
        <w:t>元，增长39.19%。主要原因是市场物价上涨，接待费略微增加。其中：</w:t>
      </w:r>
    </w:p>
    <w:p>
      <w:pPr>
        <w:spacing w:line="600" w:lineRule="exact"/>
        <w:ind w:firstLine="640"/>
        <w:rPr>
          <w:rFonts w:ascii="仿宋_GB2312" w:eastAsia="仿宋_GB2312"/>
          <w:sz w:val="32"/>
          <w:szCs w:val="32"/>
        </w:rPr>
      </w:pPr>
      <w:r>
        <w:rPr>
          <w:rFonts w:hint="eastAsia" w:ascii="仿宋_GB2312" w:hAnsi="仿宋" w:eastAsia="仿宋_GB2312"/>
          <w:b/>
          <w:sz w:val="32"/>
          <w:szCs w:val="32"/>
        </w:rPr>
        <w:t>国内公务接待支出</w:t>
      </w:r>
      <w:r>
        <w:rPr>
          <w:rFonts w:hint="eastAsia" w:ascii="仿宋_GB2312" w:hAnsi="仿宋" w:eastAsia="仿宋_GB2312"/>
          <w:sz w:val="32"/>
          <w:szCs w:val="32"/>
        </w:rPr>
        <w:t>0.27</w:t>
      </w:r>
      <w:r>
        <w:rPr>
          <w:rFonts w:hint="eastAsia" w:ascii="仿宋_GB2312" w:eastAsia="仿宋_GB2312"/>
          <w:sz w:val="32"/>
          <w:szCs w:val="32"/>
        </w:rPr>
        <w:t>万元，主要用于开展业务工作公务接)。国内公务接待3批次，15人次（不包括陪同人员），共计支出0.27万元，具体内容包括：</w:t>
      </w:r>
    </w:p>
    <w:p>
      <w:pPr>
        <w:spacing w:line="600" w:lineRule="exact"/>
        <w:ind w:firstLine="640"/>
        <w:rPr>
          <w:rFonts w:ascii="仿宋_GB2312" w:eastAsia="仿宋_GB2312"/>
          <w:sz w:val="32"/>
          <w:szCs w:val="32"/>
        </w:rPr>
      </w:pPr>
      <w:r>
        <w:rPr>
          <w:rFonts w:hint="eastAsia" w:ascii="仿宋_GB2312" w:eastAsia="仿宋_GB2312"/>
          <w:sz w:val="32"/>
          <w:szCs w:val="32"/>
        </w:rPr>
        <w:t>1.四川省农村科技发展中心2021年4月7日-9日来我单位进行工作调研，我单位接待产生费用388元；</w:t>
      </w:r>
    </w:p>
    <w:p>
      <w:pPr>
        <w:spacing w:line="600" w:lineRule="exact"/>
        <w:ind w:firstLine="640"/>
        <w:rPr>
          <w:rFonts w:ascii="仿宋_GB2312" w:eastAsia="仿宋_GB2312"/>
          <w:sz w:val="32"/>
          <w:szCs w:val="32"/>
        </w:rPr>
      </w:pPr>
      <w:r>
        <w:rPr>
          <w:rFonts w:hint="eastAsia" w:ascii="仿宋_GB2312" w:eastAsia="仿宋_GB2312"/>
          <w:sz w:val="32"/>
          <w:szCs w:val="32"/>
        </w:rPr>
        <w:t>2.四川省分析测试服务中心2021年10月18日来我单位进行工作调研，我单位接待产生费用1108元；</w:t>
      </w:r>
    </w:p>
    <w:p>
      <w:pPr>
        <w:spacing w:line="600" w:lineRule="exact"/>
        <w:ind w:firstLine="640"/>
        <w:rPr>
          <w:rFonts w:ascii="仿宋_GB2312" w:eastAsia="仿宋_GB2312"/>
          <w:color w:val="FF0000"/>
          <w:sz w:val="32"/>
          <w:szCs w:val="32"/>
        </w:rPr>
      </w:pPr>
      <w:r>
        <w:rPr>
          <w:rFonts w:hint="eastAsia" w:ascii="仿宋_GB2312" w:eastAsia="仿宋_GB2312"/>
          <w:sz w:val="32"/>
          <w:szCs w:val="32"/>
        </w:rPr>
        <w:t>3.四川省农村科技发展中心2021年10月20日-22日来我单位进行工作调研，我单位产生接待费1214元。</w:t>
      </w:r>
    </w:p>
    <w:p>
      <w:pPr>
        <w:spacing w:line="600" w:lineRule="exact"/>
        <w:ind w:firstLine="643" w:firstLineChars="200"/>
        <w:rPr>
          <w:rFonts w:ascii="仿宋_GB2312" w:eastAsia="仿宋_GB2312"/>
          <w:sz w:val="32"/>
          <w:szCs w:val="32"/>
        </w:rPr>
      </w:pPr>
      <w:r>
        <w:rPr>
          <w:rFonts w:hint="eastAsia" w:ascii="仿宋_GB2312" w:hAnsi="仿宋" w:eastAsia="仿宋_GB2312"/>
          <w:b/>
          <w:sz w:val="32"/>
          <w:szCs w:val="32"/>
        </w:rPr>
        <w:t>外事接待支出</w:t>
      </w:r>
      <w:r>
        <w:rPr>
          <w:rFonts w:hint="eastAsia" w:ascii="仿宋_GB2312" w:hAnsi="仿宋" w:eastAsia="仿宋_GB2312"/>
          <w:sz w:val="32"/>
          <w:szCs w:val="32"/>
        </w:rPr>
        <w:t>0</w:t>
      </w:r>
      <w:r>
        <w:rPr>
          <w:rFonts w:hint="eastAsia" w:ascii="仿宋_GB2312" w:eastAsia="仿宋_GB2312"/>
          <w:sz w:val="32"/>
          <w:szCs w:val="32"/>
        </w:rPr>
        <w:t>万元，外事接待0批次，0人，共计支出0万元。</w:t>
      </w:r>
      <w:r>
        <w:rPr>
          <w:rFonts w:ascii="仿宋_GB2312" w:eastAsia="仿宋_GB2312"/>
          <w:sz w:val="32"/>
          <w:szCs w:val="32"/>
        </w:rPr>
        <w:t xml:space="preserve"> </w:t>
      </w:r>
      <w:bookmarkStart w:id="40" w:name="_Toc15377218"/>
      <w:bookmarkStart w:id="41"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600" w:lineRule="exact"/>
        <w:ind w:firstLine="640"/>
        <w:outlineLvl w:val="1"/>
        <w:rPr>
          <w:rStyle w:val="26"/>
          <w:rFonts w:ascii="黑体" w:hAnsi="黑体" w:eastAsia="黑体"/>
          <w:b w:val="0"/>
        </w:rPr>
      </w:pPr>
      <w:bookmarkStart w:id="42" w:name="_Toc15396611"/>
      <w:bookmarkStart w:id="43" w:name="_Toc15377219"/>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44" w:name="_Toc15377221"/>
      <w:bookmarkStart w:id="45" w:name="_Toc15396612"/>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2021年，攀枝花市科技基础条件平台服务中心机关运行经费支出0万元，与2020年决算数持平。主要原因是2021年预算未安排机关运行经费。</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bookmarkStart w:id="47" w:name="_Toc15377223"/>
      <w:r>
        <w:rPr>
          <w:rFonts w:hint="eastAsia" w:ascii="仿宋_GB2312" w:hAnsi="仿宋" w:eastAsia="仿宋_GB2312"/>
          <w:b/>
          <w:sz w:val="32"/>
          <w:szCs w:val="32"/>
        </w:rPr>
        <w:t>（二）政府采购支出情况</w:t>
      </w:r>
      <w:bookmarkEnd w:id="47"/>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攀枝花市科技基础条件平台服务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bookmarkStart w:id="48" w:name="_Toc15377224"/>
      <w:r>
        <w:rPr>
          <w:rFonts w:hint="eastAsia" w:ascii="仿宋_GB2312" w:hAnsi="仿宋" w:eastAsia="仿宋_GB2312"/>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2021年12月31日，攀枝花市科技基础条件平台服务中心共有车辆1辆，其中：主要领导干部用车0辆、机要通信用车0辆、应急保障用车0辆、其他用车1辆，其他用车主要是用于公务车使用，企业调研，科技下乡等方面。</w:t>
      </w:r>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攀枝花市“四川科技扶贫在线”平台建设与运行维护等1个项目开展了预算事前绩效评估，对1个项目编制了绩效目标，预算执行过程中，选取1个项目开展绩效监控，年终执行完毕后，对1个项目开展了绩效自评，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其他收入：指单位取得的除上述收入以外的各项收入。主要是银行利息等。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5.年末结转和结余：指单位按有关规定结转到下年或以后年度继续使用的资金。</w:t>
      </w:r>
    </w:p>
    <w:p>
      <w:pPr>
        <w:spacing w:line="600" w:lineRule="exact"/>
        <w:ind w:firstLine="640" w:firstLineChars="200"/>
        <w:rPr>
          <w:rFonts w:ascii="仿宋" w:hAnsi="Calibri" w:eastAsia="仿宋_GB2312"/>
          <w:color w:val="000000"/>
          <w:kern w:val="0"/>
          <w:sz w:val="32"/>
          <w:szCs w:val="32"/>
        </w:rPr>
      </w:pPr>
      <w:r>
        <w:rPr>
          <w:rFonts w:hint="eastAsia" w:ascii="仿宋_GB2312" w:hAnsi="Calibri" w:eastAsia="仿宋_GB2312" w:cs="仿宋"/>
          <w:kern w:val="0"/>
          <w:sz w:val="32"/>
          <w:szCs w:val="32"/>
        </w:rPr>
        <w:t>6.科学技术（类）技术研究与开发（款）科技成果转化与扩散（项）:</w:t>
      </w:r>
      <w:r>
        <w:rPr>
          <w:rFonts w:hint="eastAsia" w:ascii="仿宋" w:hAnsi="Calibri" w:eastAsia="仿宋_GB2312"/>
          <w:color w:val="000000"/>
          <w:kern w:val="0"/>
          <w:sz w:val="32"/>
          <w:szCs w:val="32"/>
        </w:rPr>
        <w:t xml:space="preserve"> 指反映促进科技成果转化为现实生产力的应用、推广和引导性支出，以及基本建设支出中用于支出企业科技自主创新的支出。</w:t>
      </w:r>
    </w:p>
    <w:p>
      <w:pPr>
        <w:spacing w:line="600" w:lineRule="exact"/>
        <w:ind w:firstLine="640" w:firstLineChars="200"/>
        <w:rPr>
          <w:rFonts w:eastAsia="仿宋_GB2312"/>
          <w:color w:val="000000"/>
          <w:sz w:val="32"/>
          <w:szCs w:val="32"/>
        </w:rPr>
      </w:pPr>
      <w:r>
        <w:rPr>
          <w:rFonts w:hint="eastAsia" w:ascii="仿宋_GB2312" w:hAnsi="Calibri" w:eastAsia="仿宋_GB2312" w:cs="仿宋"/>
          <w:kern w:val="0"/>
          <w:sz w:val="32"/>
          <w:szCs w:val="32"/>
        </w:rPr>
        <w:t>7.科学技术（类）科技条件与服务（款）机构运行（项）:</w:t>
      </w:r>
      <w:r>
        <w:rPr>
          <w:rFonts w:hint="eastAsia" w:eastAsia="仿宋_GB2312"/>
          <w:color w:val="000000"/>
          <w:sz w:val="32"/>
          <w:szCs w:val="32"/>
        </w:rPr>
        <w:t xml:space="preserve"> 指反映科技服务机构的基本支出。</w:t>
      </w:r>
    </w:p>
    <w:p>
      <w:pPr>
        <w:spacing w:line="600" w:lineRule="exact"/>
        <w:ind w:firstLine="640" w:firstLineChars="200"/>
        <w:rPr>
          <w:rFonts w:eastAsia="仿宋_GB2312"/>
          <w:color w:val="000000"/>
          <w:sz w:val="32"/>
          <w:szCs w:val="32"/>
        </w:rPr>
      </w:pPr>
      <w:r>
        <w:rPr>
          <w:rFonts w:hint="eastAsia" w:ascii="仿宋_GB2312" w:hAnsi="Calibri" w:eastAsia="仿宋_GB2312" w:cs="仿宋"/>
          <w:kern w:val="0"/>
          <w:sz w:val="32"/>
          <w:szCs w:val="32"/>
        </w:rPr>
        <w:t>8.科学技术（类）科技条件与服务（款）其他科技条件与服务支出（项）:</w:t>
      </w:r>
      <w:r>
        <w:rPr>
          <w:rFonts w:hint="eastAsia" w:eastAsia="仿宋_GB2312"/>
          <w:color w:val="000000"/>
          <w:sz w:val="32"/>
          <w:szCs w:val="32"/>
        </w:rPr>
        <w:t xml:space="preserve"> 指反映其他用于科技条件与服务方面的支出。</w:t>
      </w:r>
    </w:p>
    <w:p>
      <w:pPr>
        <w:spacing w:line="600" w:lineRule="exact"/>
        <w:ind w:firstLine="640" w:firstLineChars="200"/>
        <w:rPr>
          <w:rFonts w:ascii="仿宋" w:hAnsi="Calibri" w:eastAsia="仿宋_GB2312"/>
          <w:color w:val="000000"/>
          <w:kern w:val="0"/>
          <w:sz w:val="32"/>
          <w:szCs w:val="32"/>
        </w:rPr>
      </w:pPr>
      <w:r>
        <w:rPr>
          <w:rFonts w:hint="eastAsia" w:ascii="仿宋_GB2312" w:hAnsi="Calibri" w:eastAsia="仿宋_GB2312" w:cs="仿宋"/>
          <w:kern w:val="0"/>
          <w:sz w:val="32"/>
          <w:szCs w:val="32"/>
        </w:rPr>
        <w:t>9.科学技术（类）其他科学技术支出（款）其他科学技术支出（项）:</w:t>
      </w:r>
      <w:r>
        <w:rPr>
          <w:rFonts w:hint="eastAsia" w:eastAsia="仿宋_GB2312"/>
          <w:color w:val="000000"/>
          <w:sz w:val="32"/>
          <w:szCs w:val="32"/>
        </w:rPr>
        <w:t xml:space="preserve"> 指反映其他科学技术支出中用于其他科技方面的支出</w:t>
      </w:r>
      <w:r>
        <w:rPr>
          <w:rFonts w:hint="eastAsia" w:ascii="仿宋" w:hAnsi="Calibri" w:eastAsia="仿宋_GB2312"/>
          <w:color w:val="000000"/>
          <w:kern w:val="0"/>
          <w:sz w:val="32"/>
          <w:szCs w:val="32"/>
        </w:rPr>
        <w:t>。</w:t>
      </w:r>
    </w:p>
    <w:p>
      <w:pPr>
        <w:spacing w:line="600" w:lineRule="exact"/>
        <w:ind w:firstLine="640" w:firstLineChars="200"/>
        <w:rPr>
          <w:rFonts w:ascii="仿宋" w:hAnsi="Calibri" w:eastAsia="仿宋_GB2312"/>
          <w:color w:val="000000"/>
          <w:kern w:val="0"/>
          <w:sz w:val="32"/>
          <w:szCs w:val="32"/>
        </w:rPr>
      </w:pPr>
      <w:r>
        <w:rPr>
          <w:rFonts w:hint="eastAsia" w:ascii="仿宋_GB2312" w:hAnsi="Calibri" w:eastAsia="仿宋_GB2312" w:cs="仿宋"/>
          <w:kern w:val="0"/>
          <w:sz w:val="32"/>
          <w:szCs w:val="32"/>
        </w:rPr>
        <w:t>10.社会保障和就业支出(类)人力资源和社会保障管理事务(款)其他人力资源和社会保障管理事务支出(项):</w:t>
      </w:r>
      <w:r>
        <w:rPr>
          <w:rFonts w:hint="eastAsia" w:ascii="仿宋" w:hAnsi="Calibri" w:eastAsia="仿宋_GB2312"/>
          <w:color w:val="000000"/>
          <w:kern w:val="0"/>
          <w:sz w:val="32"/>
          <w:szCs w:val="32"/>
        </w:rPr>
        <w:t xml:space="preserve"> 指反映其他用于人力资源和社会保障管理事务方面的支出。</w:t>
      </w:r>
    </w:p>
    <w:p>
      <w:pPr>
        <w:spacing w:line="600" w:lineRule="exact"/>
        <w:ind w:firstLine="640" w:firstLineChars="200"/>
        <w:rPr>
          <w:rFonts w:eastAsia="仿宋_GB2312"/>
          <w:color w:val="000000"/>
          <w:sz w:val="32"/>
          <w:szCs w:val="32"/>
        </w:rPr>
      </w:pPr>
      <w:r>
        <w:rPr>
          <w:rFonts w:hint="eastAsia" w:ascii="仿宋_GB2312" w:hAnsi="Calibri" w:eastAsia="仿宋_GB2312" w:cs="仿宋"/>
          <w:kern w:val="0"/>
          <w:sz w:val="32"/>
          <w:szCs w:val="32"/>
        </w:rPr>
        <w:t xml:space="preserve">11.社会保障和就业支出(类)行政事业单位养老支出(款)事业单位离退休(项): </w:t>
      </w:r>
      <w:r>
        <w:rPr>
          <w:rFonts w:hint="eastAsia" w:eastAsia="仿宋_GB2312"/>
          <w:color w:val="000000"/>
          <w:sz w:val="32"/>
          <w:szCs w:val="32"/>
        </w:rPr>
        <w:t>指反映实行归口管理的事业单位开支的离退休经费。</w:t>
      </w:r>
    </w:p>
    <w:p>
      <w:pPr>
        <w:spacing w:line="600" w:lineRule="exact"/>
        <w:ind w:firstLine="640" w:firstLineChars="200"/>
        <w:rPr>
          <w:rFonts w:eastAsia="仿宋_GB2312"/>
          <w:color w:val="000000"/>
          <w:sz w:val="32"/>
          <w:szCs w:val="32"/>
        </w:rPr>
      </w:pPr>
      <w:r>
        <w:rPr>
          <w:rFonts w:hint="eastAsia" w:ascii="仿宋_GB2312" w:hAnsi="Calibri" w:eastAsia="仿宋_GB2312" w:cs="仿宋"/>
          <w:kern w:val="0"/>
          <w:sz w:val="32"/>
          <w:szCs w:val="32"/>
        </w:rPr>
        <w:t>12.社会保障和就业支出(类)行政事业单位养老支出(款)机关事业单位基本养老保险缴费支出(项):</w:t>
      </w:r>
      <w:r>
        <w:rPr>
          <w:rFonts w:hint="eastAsia" w:eastAsia="仿宋_GB2312"/>
          <w:color w:val="000000"/>
          <w:sz w:val="32"/>
          <w:szCs w:val="32"/>
        </w:rPr>
        <w:t xml:space="preserve"> 指反映机关事业单位实施养老保险制度由单位缴纳的基本养老保险费支出。</w:t>
      </w:r>
    </w:p>
    <w:p>
      <w:pPr>
        <w:ind w:firstLine="640" w:firstLineChars="200"/>
        <w:rPr>
          <w:rFonts w:eastAsia="仿宋_GB2312"/>
          <w:color w:val="000000"/>
          <w:sz w:val="32"/>
          <w:szCs w:val="32"/>
        </w:rPr>
      </w:pPr>
      <w:r>
        <w:rPr>
          <w:rFonts w:hint="eastAsia" w:eastAsia="仿宋_GB2312"/>
          <w:color w:val="000000"/>
          <w:sz w:val="32"/>
          <w:szCs w:val="32"/>
        </w:rPr>
        <w:t>13.住房保障支出(类)住房改革支出(款)住房公积金(项):</w:t>
      </w:r>
      <w:r>
        <w:rPr>
          <w:rFonts w:eastAsia="仿宋_GB2312"/>
          <w:color w:val="000000"/>
          <w:sz w:val="32"/>
          <w:szCs w:val="32"/>
        </w:rPr>
        <w:t xml:space="preserve"> 指反映行政事业单位按</w:t>
      </w:r>
      <w:r>
        <w:rPr>
          <w:rFonts w:hint="eastAsia" w:eastAsia="仿宋_GB2312"/>
          <w:color w:val="000000"/>
          <w:sz w:val="32"/>
          <w:szCs w:val="32"/>
        </w:rPr>
        <w:t>人力资源和社会保障部</w:t>
      </w:r>
      <w:r>
        <w:rPr>
          <w:rFonts w:eastAsia="仿宋_GB2312"/>
          <w:color w:val="000000"/>
          <w:sz w:val="32"/>
          <w:szCs w:val="32"/>
        </w:rPr>
        <w:t>、财政部门规定的基本工资和津贴补贴以及规定比例为职工缴纳的住房公积金。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5"/>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817"/>
        <w:gridCol w:w="851"/>
        <w:gridCol w:w="1134"/>
        <w:gridCol w:w="316"/>
        <w:gridCol w:w="1101"/>
        <w:gridCol w:w="851"/>
        <w:gridCol w:w="1275"/>
        <w:gridCol w:w="851"/>
        <w:gridCol w:w="2379"/>
        <w:gridCol w:w="236"/>
      </w:tblGrid>
      <w:tr>
        <w:tblPrEx>
          <w:tblCellMar>
            <w:top w:w="0" w:type="dxa"/>
            <w:left w:w="108" w:type="dxa"/>
            <w:bottom w:w="0" w:type="dxa"/>
            <w:right w:w="108" w:type="dxa"/>
          </w:tblCellMar>
        </w:tblPrEx>
        <w:trPr>
          <w:trHeight w:val="675" w:hRule="atLeast"/>
        </w:trPr>
        <w:tc>
          <w:tcPr>
            <w:tcW w:w="9575"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53" w:name="_Toc15396618"/>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主管部门及代码</w:t>
            </w: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宋体" w:eastAsia="仿宋_GB2312" w:cs="宋体"/>
                <w:sz w:val="18"/>
                <w:szCs w:val="18"/>
              </w:rPr>
            </w:pPr>
            <w:r>
              <w:rPr>
                <w:rFonts w:hint="eastAsia" w:ascii="仿宋_GB2312" w:hAnsi="宋体" w:eastAsia="仿宋_GB2312" w:cs="宋体"/>
                <w:sz w:val="18"/>
                <w:szCs w:val="18"/>
              </w:rPr>
              <w:t>攀枝花市科学技术局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实施单位</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攀枝花市科技基础条件平台服务中心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项目预算</w:t>
            </w:r>
          </w:p>
          <w:p>
            <w:pPr>
              <w:widowControl/>
              <w:spacing w:line="320" w:lineRule="exact"/>
              <w:jc w:val="center"/>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执行情况</w:t>
            </w:r>
          </w:p>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（万元）</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 xml:space="preserve"> 预算数：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 xml:space="preserve"> 执行数：</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13.26</w:t>
            </w:r>
          </w:p>
        </w:tc>
      </w:tr>
      <w:tr>
        <w:tblPrEx>
          <w:tblCellMar>
            <w:top w:w="0" w:type="dxa"/>
            <w:left w:w="108" w:type="dxa"/>
            <w:bottom w:w="0" w:type="dxa"/>
            <w:right w:w="108" w:type="dxa"/>
          </w:tblCellMar>
        </w:tblPrEx>
        <w:trPr>
          <w:gridAfter w:val="1"/>
          <w:wAfter w:w="236" w:type="dxa"/>
          <w:trHeight w:val="555" w:hRule="atLeast"/>
        </w:trPr>
        <w:tc>
          <w:tcPr>
            <w:tcW w:w="311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w:t>
            </w:r>
          </w:p>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财政拨款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w:t>
            </w:r>
          </w:p>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财政拨款</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13.26</w:t>
            </w:r>
          </w:p>
        </w:tc>
      </w:tr>
      <w:tr>
        <w:tblPrEx>
          <w:tblCellMar>
            <w:top w:w="0" w:type="dxa"/>
            <w:left w:w="108" w:type="dxa"/>
            <w:bottom w:w="0" w:type="dxa"/>
            <w:right w:w="108" w:type="dxa"/>
          </w:tblCellMar>
        </w:tblPrEx>
        <w:trPr>
          <w:gridAfter w:val="1"/>
          <w:wAfter w:w="236" w:type="dxa"/>
          <w:trHeight w:val="341" w:hRule="atLeast"/>
        </w:trPr>
        <w:tc>
          <w:tcPr>
            <w:tcW w:w="311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其他资金</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其他资金</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年度总体目标</w:t>
            </w:r>
          </w:p>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完成情况</w:t>
            </w: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预期目标</w:t>
            </w:r>
          </w:p>
        </w:tc>
        <w:tc>
          <w:tcPr>
            <w:tcW w:w="4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宋体" w:eastAsia="仿宋_GB2312" w:cs="宋体"/>
                <w:sz w:val="18"/>
                <w:szCs w:val="18"/>
              </w:rPr>
            </w:pPr>
            <w:r>
              <w:rPr>
                <w:rFonts w:hint="eastAsia" w:ascii="仿宋_GB2312" w:hAnsi="宋体" w:eastAsia="仿宋_GB2312" w:cs="宋体"/>
                <w:sz w:val="18"/>
                <w:szCs w:val="18"/>
              </w:rPr>
              <w:t>1.按照“六有”(有机构、有职能、有人员、有场地、有经费)标准建立攀枝花市“四川科技扶贫在线”平台运管中心，加强运行、维护、升级管理。2.建立市本级专家、分诊员队，专家100名，分诊员13名。3.指导建立3个区县平台。4.开展推介与培训活动6次，培训人员180人次。5.开展“线上线下”科技服务，全市完成在线咨询服务年度任务600次。</w:t>
            </w:r>
          </w:p>
        </w:tc>
        <w:tc>
          <w:tcPr>
            <w:tcW w:w="450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宋体" w:eastAsia="仿宋_GB2312" w:cs="宋体"/>
                <w:sz w:val="18"/>
                <w:szCs w:val="18"/>
              </w:rPr>
            </w:pPr>
            <w:r>
              <w:rPr>
                <w:rFonts w:hint="eastAsia" w:ascii="仿宋_GB2312" w:hAnsi="宋体" w:eastAsia="仿宋_GB2312" w:cs="宋体"/>
                <w:sz w:val="18"/>
                <w:szCs w:val="18"/>
              </w:rPr>
              <w:t>在年初制定的目标任务基础上，提前完成设定目标。</w:t>
            </w:r>
          </w:p>
        </w:tc>
      </w:tr>
      <w:tr>
        <w:tblPrEx>
          <w:tblCellMar>
            <w:top w:w="0" w:type="dxa"/>
            <w:left w:w="108" w:type="dxa"/>
            <w:bottom w:w="0" w:type="dxa"/>
            <w:right w:w="108" w:type="dxa"/>
          </w:tblCellMar>
        </w:tblPrEx>
        <w:trPr>
          <w:gridAfter w:val="1"/>
          <w:wAfter w:w="236" w:type="dxa"/>
          <w:trHeight w:val="756" w:hRule="atLeast"/>
        </w:trPr>
        <w:tc>
          <w:tcPr>
            <w:tcW w:w="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数量指标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指标1：建立平台，指标2：入库、专家，指标3：分诊员，指标4：开展推介与培训活动指标，5：指导建立3个区县平台，指标6：在线咨询服务，指标7：培训人员。</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指标1：建立市级平台1个，指标2：入库专家100名，指标3：分诊员13名，指标4：培训活动6次，指标5：指导建立3个区县平台，指标6：在线咨询600次，指标7：培训人员180人次。</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指标1：建立市级平台1个，指标2：入库专家100名，指标3：分诊员13名，指标4：培训活动6次，指标5：指导建立3个区县平台，指标6：在线咨询600次，指标7：培训人员180人次。</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指标1：服务农户，指标2：平台符合建设标准</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指标1：有效解决农户生产过程中技术问题，指标2：符合六有原则</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指标1：有效解决农户生产过程中技术问题，指标2：符合六有原则</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指标1：2021.04至2021.09，指标2：2021.10至2022.03</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指标1：建立市级平台运管中心，入库专家100名、分诊员13名，开展推介与培训活动6次，培训人员600人次，开展线上线下科技服务，室成在线咨询服务年度任务600次。</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建立市级平台运管中心，入库专家100名、分诊员13名，开展推介与培训活动6次，培训人员600人次，开展线上线下科技服务，室成在线咨询服务年度任务600次。</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成本指标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指标1：差旅/会议费指标2：信息化系统建设费，指标3：劳务费，指标4：其他支出，指标5：间接费用</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指标1：差旅/会议费3.15万元，指标2：信息化系统建设费5.67万元，指标3：劳务费3.38万元，指标4：其他支出4.8万元，指标5：间接费用3万元</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指标1：差旅/会议费3.15万元，指标2：信息化系统建设费5.67万元，指标3：劳务费3.38万元，指标4：其他支出1.07万元，指标5：间接费用0万元</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效益</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经济效益  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带动农户增收</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农户年均增收300元</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农户年均增收300元</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社会效益  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破解基层农业科技人员不足，专业不齐问题</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共享全省农业科技人员，提供技术指导，信息服务</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共享全省农业科技人员，提供技术指导，信息服务</w:t>
            </w:r>
          </w:p>
        </w:tc>
      </w:tr>
      <w:tr>
        <w:tblPrEx>
          <w:tblCellMar>
            <w:top w:w="0" w:type="dxa"/>
            <w:left w:w="108" w:type="dxa"/>
            <w:bottom w:w="0" w:type="dxa"/>
            <w:right w:w="108" w:type="dxa"/>
          </w:tblCellMar>
        </w:tblPrEx>
        <w:trPr>
          <w:gridAfter w:val="1"/>
          <w:wAfter w:w="236" w:type="dxa"/>
          <w:trHeight w:val="577"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生态效益 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可持续影响 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平台持续运营维护</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持续提供农业科技服务</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持续提供农业科技服务</w:t>
            </w:r>
          </w:p>
        </w:tc>
      </w:tr>
      <w:tr>
        <w:tblPrEx>
          <w:tblCellMar>
            <w:top w:w="0" w:type="dxa"/>
            <w:left w:w="108" w:type="dxa"/>
            <w:bottom w:w="0" w:type="dxa"/>
            <w:right w:w="108" w:type="dxa"/>
          </w:tblCellMar>
        </w:tblPrEx>
        <w:trPr>
          <w:gridAfter w:val="1"/>
          <w:wAfter w:w="236" w:type="dxa"/>
          <w:trHeight w:val="530" w:hRule="atLeast"/>
        </w:trPr>
        <w:tc>
          <w:tcPr>
            <w:tcW w:w="81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指标1：社会满意度，指标2：服务对象</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指标1：社会满意度≥85%，指标2：服务对象≥85%</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指标1：社会满意度≥85%，指标2：服务对象≥85%</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r>
        <w:rPr>
          <w:rFonts w:ascii="黑体" w:hAnsi="黑体" w:eastAsia="黑体"/>
          <w:sz w:val="44"/>
          <w:szCs w:val="44"/>
        </w:rPr>
        <w:br w:type="page"/>
      </w: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4"/>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footerReference r:id="rId3" w:type="default"/>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_GB2312-WinCharSetFFFF-H">
    <w:altName w:val="仿宋"/>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9</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A214C3B"/>
    <w:multiLevelType w:val="multilevel"/>
    <w:tmpl w:val="6A214C3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yOGI0MGY0OGM0NjQwMzZiYWZjODMxOGZjZmM2NmYifQ=="/>
    <w:docVar w:name="KSO_WPS_MARK_KEY" w:val="dade7cb6-c66f-4549-95c6-886a76e2dae7"/>
  </w:docVars>
  <w:rsids>
    <w:rsidRoot w:val="00F1361C"/>
    <w:rsid w:val="000222C6"/>
    <w:rsid w:val="0002549F"/>
    <w:rsid w:val="0002638A"/>
    <w:rsid w:val="0002674B"/>
    <w:rsid w:val="000468DB"/>
    <w:rsid w:val="0006487A"/>
    <w:rsid w:val="00065F8F"/>
    <w:rsid w:val="00070A43"/>
    <w:rsid w:val="000768F2"/>
    <w:rsid w:val="00084EF0"/>
    <w:rsid w:val="0009184B"/>
    <w:rsid w:val="00094236"/>
    <w:rsid w:val="0009593C"/>
    <w:rsid w:val="00097322"/>
    <w:rsid w:val="000A682D"/>
    <w:rsid w:val="000A6A92"/>
    <w:rsid w:val="000B047F"/>
    <w:rsid w:val="000B5923"/>
    <w:rsid w:val="000B5A48"/>
    <w:rsid w:val="000B6FF3"/>
    <w:rsid w:val="000C3467"/>
    <w:rsid w:val="000C3CA6"/>
    <w:rsid w:val="000C5647"/>
    <w:rsid w:val="000D1267"/>
    <w:rsid w:val="000D1D50"/>
    <w:rsid w:val="000D5782"/>
    <w:rsid w:val="000E6613"/>
    <w:rsid w:val="000E7119"/>
    <w:rsid w:val="0010380D"/>
    <w:rsid w:val="00114E9B"/>
    <w:rsid w:val="00142216"/>
    <w:rsid w:val="00144D6A"/>
    <w:rsid w:val="0014729F"/>
    <w:rsid w:val="00157BAB"/>
    <w:rsid w:val="001654D1"/>
    <w:rsid w:val="00170078"/>
    <w:rsid w:val="00174518"/>
    <w:rsid w:val="0018106D"/>
    <w:rsid w:val="001877A7"/>
    <w:rsid w:val="00191536"/>
    <w:rsid w:val="00196687"/>
    <w:rsid w:val="001A303B"/>
    <w:rsid w:val="001A3FBB"/>
    <w:rsid w:val="001A40F2"/>
    <w:rsid w:val="001B3A5B"/>
    <w:rsid w:val="001C0962"/>
    <w:rsid w:val="001C254E"/>
    <w:rsid w:val="001D7531"/>
    <w:rsid w:val="001E737D"/>
    <w:rsid w:val="001F0592"/>
    <w:rsid w:val="001F58F2"/>
    <w:rsid w:val="001F7506"/>
    <w:rsid w:val="002006CD"/>
    <w:rsid w:val="00202B36"/>
    <w:rsid w:val="00204B7A"/>
    <w:rsid w:val="00204CDE"/>
    <w:rsid w:val="0021101A"/>
    <w:rsid w:val="00215C34"/>
    <w:rsid w:val="00220536"/>
    <w:rsid w:val="00235629"/>
    <w:rsid w:val="002424B6"/>
    <w:rsid w:val="00260BC1"/>
    <w:rsid w:val="00260C38"/>
    <w:rsid w:val="002616C0"/>
    <w:rsid w:val="00265372"/>
    <w:rsid w:val="002662AA"/>
    <w:rsid w:val="00280496"/>
    <w:rsid w:val="00281494"/>
    <w:rsid w:val="00294DC9"/>
    <w:rsid w:val="00295495"/>
    <w:rsid w:val="002A31DE"/>
    <w:rsid w:val="002A6D23"/>
    <w:rsid w:val="002B2613"/>
    <w:rsid w:val="002D6D05"/>
    <w:rsid w:val="002E03D0"/>
    <w:rsid w:val="002F1818"/>
    <w:rsid w:val="002F567B"/>
    <w:rsid w:val="003216A9"/>
    <w:rsid w:val="00335A74"/>
    <w:rsid w:val="00361C00"/>
    <w:rsid w:val="0036561B"/>
    <w:rsid w:val="0037013F"/>
    <w:rsid w:val="0037516A"/>
    <w:rsid w:val="00380C92"/>
    <w:rsid w:val="0039653D"/>
    <w:rsid w:val="003A484F"/>
    <w:rsid w:val="003A4883"/>
    <w:rsid w:val="003B0BE0"/>
    <w:rsid w:val="003B0C1B"/>
    <w:rsid w:val="003B688C"/>
    <w:rsid w:val="003C0291"/>
    <w:rsid w:val="003C39AE"/>
    <w:rsid w:val="003C7B60"/>
    <w:rsid w:val="003D0C0F"/>
    <w:rsid w:val="003D1FB2"/>
    <w:rsid w:val="003D66DA"/>
    <w:rsid w:val="003E1310"/>
    <w:rsid w:val="003E6F55"/>
    <w:rsid w:val="00404567"/>
    <w:rsid w:val="00406254"/>
    <w:rsid w:val="004111BD"/>
    <w:rsid w:val="004223DE"/>
    <w:rsid w:val="00434489"/>
    <w:rsid w:val="00437085"/>
    <w:rsid w:val="00443880"/>
    <w:rsid w:val="004464F4"/>
    <w:rsid w:val="00460AB2"/>
    <w:rsid w:val="00471401"/>
    <w:rsid w:val="00473F31"/>
    <w:rsid w:val="0048263A"/>
    <w:rsid w:val="00487E5D"/>
    <w:rsid w:val="004A711F"/>
    <w:rsid w:val="004B199D"/>
    <w:rsid w:val="004B3879"/>
    <w:rsid w:val="004B4690"/>
    <w:rsid w:val="004D645A"/>
    <w:rsid w:val="004E0A2D"/>
    <w:rsid w:val="004E206B"/>
    <w:rsid w:val="004E6DF7"/>
    <w:rsid w:val="004F0FBD"/>
    <w:rsid w:val="00505A47"/>
    <w:rsid w:val="00512FDA"/>
    <w:rsid w:val="00520DA0"/>
    <w:rsid w:val="00536138"/>
    <w:rsid w:val="005664BB"/>
    <w:rsid w:val="00566FFA"/>
    <w:rsid w:val="0057481D"/>
    <w:rsid w:val="00583B08"/>
    <w:rsid w:val="0058486E"/>
    <w:rsid w:val="00585B33"/>
    <w:rsid w:val="0059014D"/>
    <w:rsid w:val="0059469D"/>
    <w:rsid w:val="005B11CD"/>
    <w:rsid w:val="005B5C64"/>
    <w:rsid w:val="005C5337"/>
    <w:rsid w:val="005C6BD0"/>
    <w:rsid w:val="005D1C8B"/>
    <w:rsid w:val="005D468D"/>
    <w:rsid w:val="005D5CED"/>
    <w:rsid w:val="005D68CC"/>
    <w:rsid w:val="005F1A4C"/>
    <w:rsid w:val="00605688"/>
    <w:rsid w:val="006070AF"/>
    <w:rsid w:val="00607E6C"/>
    <w:rsid w:val="006101B1"/>
    <w:rsid w:val="00614E44"/>
    <w:rsid w:val="0062270A"/>
    <w:rsid w:val="00622830"/>
    <w:rsid w:val="00623DA0"/>
    <w:rsid w:val="00623ECB"/>
    <w:rsid w:val="00626848"/>
    <w:rsid w:val="00630AEF"/>
    <w:rsid w:val="006325F8"/>
    <w:rsid w:val="00633463"/>
    <w:rsid w:val="00634C9A"/>
    <w:rsid w:val="006440E4"/>
    <w:rsid w:val="00660163"/>
    <w:rsid w:val="0066343B"/>
    <w:rsid w:val="00663828"/>
    <w:rsid w:val="00664777"/>
    <w:rsid w:val="00673204"/>
    <w:rsid w:val="006748A4"/>
    <w:rsid w:val="00681A31"/>
    <w:rsid w:val="00683E73"/>
    <w:rsid w:val="00694CFA"/>
    <w:rsid w:val="006A27B3"/>
    <w:rsid w:val="006A3141"/>
    <w:rsid w:val="006A3420"/>
    <w:rsid w:val="006A5E34"/>
    <w:rsid w:val="006B2422"/>
    <w:rsid w:val="006B2B9A"/>
    <w:rsid w:val="006C1937"/>
    <w:rsid w:val="006E76F9"/>
    <w:rsid w:val="006F020C"/>
    <w:rsid w:val="007127B7"/>
    <w:rsid w:val="0071798E"/>
    <w:rsid w:val="00724B1C"/>
    <w:rsid w:val="0073025F"/>
    <w:rsid w:val="0073449D"/>
    <w:rsid w:val="007376F0"/>
    <w:rsid w:val="007416B6"/>
    <w:rsid w:val="00746F48"/>
    <w:rsid w:val="0075404D"/>
    <w:rsid w:val="0076182A"/>
    <w:rsid w:val="00767B7E"/>
    <w:rsid w:val="0077403B"/>
    <w:rsid w:val="00774399"/>
    <w:rsid w:val="007770C3"/>
    <w:rsid w:val="00784D24"/>
    <w:rsid w:val="00785FBA"/>
    <w:rsid w:val="00786E4A"/>
    <w:rsid w:val="007875EB"/>
    <w:rsid w:val="0079426B"/>
    <w:rsid w:val="007C43D1"/>
    <w:rsid w:val="007D1682"/>
    <w:rsid w:val="007D312A"/>
    <w:rsid w:val="007D3F19"/>
    <w:rsid w:val="007E23B0"/>
    <w:rsid w:val="007E23E5"/>
    <w:rsid w:val="007F1991"/>
    <w:rsid w:val="007F2C2F"/>
    <w:rsid w:val="007F55FC"/>
    <w:rsid w:val="007F5665"/>
    <w:rsid w:val="00800112"/>
    <w:rsid w:val="00813348"/>
    <w:rsid w:val="00817A34"/>
    <w:rsid w:val="008253BB"/>
    <w:rsid w:val="0083706E"/>
    <w:rsid w:val="008378FD"/>
    <w:rsid w:val="008408F6"/>
    <w:rsid w:val="008423A5"/>
    <w:rsid w:val="00850625"/>
    <w:rsid w:val="00853718"/>
    <w:rsid w:val="00855221"/>
    <w:rsid w:val="00860645"/>
    <w:rsid w:val="00860F63"/>
    <w:rsid w:val="00871F71"/>
    <w:rsid w:val="00872FD8"/>
    <w:rsid w:val="00885AF4"/>
    <w:rsid w:val="008939CD"/>
    <w:rsid w:val="008A2662"/>
    <w:rsid w:val="008B768C"/>
    <w:rsid w:val="008C4DB1"/>
    <w:rsid w:val="008C4EAF"/>
    <w:rsid w:val="008C5176"/>
    <w:rsid w:val="008C7FD0"/>
    <w:rsid w:val="008D2BB9"/>
    <w:rsid w:val="008D5EE5"/>
    <w:rsid w:val="008D68A6"/>
    <w:rsid w:val="008E1DE7"/>
    <w:rsid w:val="008E707C"/>
    <w:rsid w:val="00900B08"/>
    <w:rsid w:val="00902155"/>
    <w:rsid w:val="00902FA3"/>
    <w:rsid w:val="00923564"/>
    <w:rsid w:val="0092392E"/>
    <w:rsid w:val="009315F9"/>
    <w:rsid w:val="00933499"/>
    <w:rsid w:val="00935C98"/>
    <w:rsid w:val="00946945"/>
    <w:rsid w:val="00951206"/>
    <w:rsid w:val="00951248"/>
    <w:rsid w:val="0095152F"/>
    <w:rsid w:val="00954C49"/>
    <w:rsid w:val="00955E37"/>
    <w:rsid w:val="0097099F"/>
    <w:rsid w:val="00971997"/>
    <w:rsid w:val="00971FFC"/>
    <w:rsid w:val="0098660A"/>
    <w:rsid w:val="009931C3"/>
    <w:rsid w:val="009B2C43"/>
    <w:rsid w:val="009B3145"/>
    <w:rsid w:val="009B4EAE"/>
    <w:rsid w:val="009B7573"/>
    <w:rsid w:val="009C22F4"/>
    <w:rsid w:val="009C2A4B"/>
    <w:rsid w:val="009C2E98"/>
    <w:rsid w:val="009D3447"/>
    <w:rsid w:val="009D4711"/>
    <w:rsid w:val="009D6D3B"/>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4AE7"/>
    <w:rsid w:val="00A91760"/>
    <w:rsid w:val="00A923AF"/>
    <w:rsid w:val="00A93B00"/>
    <w:rsid w:val="00A93C21"/>
    <w:rsid w:val="00AB64C9"/>
    <w:rsid w:val="00AC3C6A"/>
    <w:rsid w:val="00AD0170"/>
    <w:rsid w:val="00AD5620"/>
    <w:rsid w:val="00AD656B"/>
    <w:rsid w:val="00AD7C1B"/>
    <w:rsid w:val="00AE16BA"/>
    <w:rsid w:val="00AE1EBE"/>
    <w:rsid w:val="00AE479F"/>
    <w:rsid w:val="00B03C9D"/>
    <w:rsid w:val="00B060AE"/>
    <w:rsid w:val="00B10517"/>
    <w:rsid w:val="00B13271"/>
    <w:rsid w:val="00B14E76"/>
    <w:rsid w:val="00B161B8"/>
    <w:rsid w:val="00B16AF9"/>
    <w:rsid w:val="00B2048C"/>
    <w:rsid w:val="00B310B9"/>
    <w:rsid w:val="00B32D38"/>
    <w:rsid w:val="00B35F3F"/>
    <w:rsid w:val="00B36CBB"/>
    <w:rsid w:val="00B425E0"/>
    <w:rsid w:val="00B440AA"/>
    <w:rsid w:val="00B44B70"/>
    <w:rsid w:val="00B45746"/>
    <w:rsid w:val="00B53C56"/>
    <w:rsid w:val="00B57DAF"/>
    <w:rsid w:val="00B77EA6"/>
    <w:rsid w:val="00B81598"/>
    <w:rsid w:val="00B841F1"/>
    <w:rsid w:val="00B944D6"/>
    <w:rsid w:val="00BB4DF0"/>
    <w:rsid w:val="00BC289F"/>
    <w:rsid w:val="00BC2D50"/>
    <w:rsid w:val="00BC5361"/>
    <w:rsid w:val="00BC5460"/>
    <w:rsid w:val="00BC6B50"/>
    <w:rsid w:val="00BD0E25"/>
    <w:rsid w:val="00BD4234"/>
    <w:rsid w:val="00BF5BD6"/>
    <w:rsid w:val="00C03E31"/>
    <w:rsid w:val="00C10BB7"/>
    <w:rsid w:val="00C33E72"/>
    <w:rsid w:val="00C354B2"/>
    <w:rsid w:val="00C35554"/>
    <w:rsid w:val="00C42709"/>
    <w:rsid w:val="00C533CC"/>
    <w:rsid w:val="00C5751C"/>
    <w:rsid w:val="00C61BFC"/>
    <w:rsid w:val="00C62B85"/>
    <w:rsid w:val="00C65438"/>
    <w:rsid w:val="00C74082"/>
    <w:rsid w:val="00C87FD8"/>
    <w:rsid w:val="00C91381"/>
    <w:rsid w:val="00C91CBB"/>
    <w:rsid w:val="00CB2912"/>
    <w:rsid w:val="00CB4E70"/>
    <w:rsid w:val="00CC09B6"/>
    <w:rsid w:val="00CC666F"/>
    <w:rsid w:val="00CC6D21"/>
    <w:rsid w:val="00CD1E3F"/>
    <w:rsid w:val="00CD3FC2"/>
    <w:rsid w:val="00CE44F6"/>
    <w:rsid w:val="00CE49DA"/>
    <w:rsid w:val="00CE7B61"/>
    <w:rsid w:val="00CF63BB"/>
    <w:rsid w:val="00D00095"/>
    <w:rsid w:val="00D114F0"/>
    <w:rsid w:val="00D20620"/>
    <w:rsid w:val="00D254F7"/>
    <w:rsid w:val="00D26091"/>
    <w:rsid w:val="00D2685C"/>
    <w:rsid w:val="00D26AF3"/>
    <w:rsid w:val="00D34E7C"/>
    <w:rsid w:val="00D35489"/>
    <w:rsid w:val="00D36AFE"/>
    <w:rsid w:val="00D51276"/>
    <w:rsid w:val="00D55E47"/>
    <w:rsid w:val="00D7035F"/>
    <w:rsid w:val="00D815D3"/>
    <w:rsid w:val="00D83E19"/>
    <w:rsid w:val="00D860DE"/>
    <w:rsid w:val="00DA525B"/>
    <w:rsid w:val="00DA634F"/>
    <w:rsid w:val="00DA65AC"/>
    <w:rsid w:val="00DB1913"/>
    <w:rsid w:val="00DC410D"/>
    <w:rsid w:val="00DC5A81"/>
    <w:rsid w:val="00DC68CA"/>
    <w:rsid w:val="00DC7CBA"/>
    <w:rsid w:val="00DD6BBC"/>
    <w:rsid w:val="00DD6C58"/>
    <w:rsid w:val="00DD73B7"/>
    <w:rsid w:val="00DF28BC"/>
    <w:rsid w:val="00DF34B9"/>
    <w:rsid w:val="00E01053"/>
    <w:rsid w:val="00E07ACF"/>
    <w:rsid w:val="00E203B6"/>
    <w:rsid w:val="00E26112"/>
    <w:rsid w:val="00E331A1"/>
    <w:rsid w:val="00E33202"/>
    <w:rsid w:val="00E336A9"/>
    <w:rsid w:val="00E472B1"/>
    <w:rsid w:val="00E50624"/>
    <w:rsid w:val="00E568DF"/>
    <w:rsid w:val="00E64269"/>
    <w:rsid w:val="00E704DF"/>
    <w:rsid w:val="00E82267"/>
    <w:rsid w:val="00E853CE"/>
    <w:rsid w:val="00E867B6"/>
    <w:rsid w:val="00E94DFA"/>
    <w:rsid w:val="00EA010F"/>
    <w:rsid w:val="00EC12F9"/>
    <w:rsid w:val="00EC5811"/>
    <w:rsid w:val="00ED1B63"/>
    <w:rsid w:val="00ED3C1F"/>
    <w:rsid w:val="00ED4085"/>
    <w:rsid w:val="00ED420E"/>
    <w:rsid w:val="00ED6FBE"/>
    <w:rsid w:val="00EE2F57"/>
    <w:rsid w:val="00EF4C34"/>
    <w:rsid w:val="00EF77C6"/>
    <w:rsid w:val="00F01173"/>
    <w:rsid w:val="00F05438"/>
    <w:rsid w:val="00F1361C"/>
    <w:rsid w:val="00F156F0"/>
    <w:rsid w:val="00F160C7"/>
    <w:rsid w:val="00F2408F"/>
    <w:rsid w:val="00F240E9"/>
    <w:rsid w:val="00F36D8F"/>
    <w:rsid w:val="00F417B1"/>
    <w:rsid w:val="00F45853"/>
    <w:rsid w:val="00F602DF"/>
    <w:rsid w:val="00F65AA0"/>
    <w:rsid w:val="00F6629A"/>
    <w:rsid w:val="00F754A1"/>
    <w:rsid w:val="00F81FD9"/>
    <w:rsid w:val="00F841AA"/>
    <w:rsid w:val="00F84A94"/>
    <w:rsid w:val="00F87E96"/>
    <w:rsid w:val="00FA23E8"/>
    <w:rsid w:val="00FC34A6"/>
    <w:rsid w:val="00FD3CC1"/>
    <w:rsid w:val="00FF1E02"/>
    <w:rsid w:val="00FF30B4"/>
    <w:rsid w:val="0A2032A3"/>
    <w:rsid w:val="0B8A37D8"/>
    <w:rsid w:val="10C055FF"/>
    <w:rsid w:val="118107EC"/>
    <w:rsid w:val="11DD6519"/>
    <w:rsid w:val="12A26C55"/>
    <w:rsid w:val="16BB723D"/>
    <w:rsid w:val="18015F3F"/>
    <w:rsid w:val="1BE8440E"/>
    <w:rsid w:val="1D155CEE"/>
    <w:rsid w:val="1FFFAC25"/>
    <w:rsid w:val="20F57F95"/>
    <w:rsid w:val="240371BF"/>
    <w:rsid w:val="25C741E6"/>
    <w:rsid w:val="277A7DF1"/>
    <w:rsid w:val="27842671"/>
    <w:rsid w:val="29FD04D3"/>
    <w:rsid w:val="2ABE7A3E"/>
    <w:rsid w:val="2EFA178C"/>
    <w:rsid w:val="30B46D73"/>
    <w:rsid w:val="319F7F4E"/>
    <w:rsid w:val="38201F69"/>
    <w:rsid w:val="39AE70AB"/>
    <w:rsid w:val="3C0C0783"/>
    <w:rsid w:val="3C9FCB2C"/>
    <w:rsid w:val="3F9F3A96"/>
    <w:rsid w:val="493C27E9"/>
    <w:rsid w:val="496F39ED"/>
    <w:rsid w:val="49FF41D3"/>
    <w:rsid w:val="4BE068DB"/>
    <w:rsid w:val="4BF6002B"/>
    <w:rsid w:val="4ECE2238"/>
    <w:rsid w:val="51DB4B86"/>
    <w:rsid w:val="55333C3E"/>
    <w:rsid w:val="5FEB75A7"/>
    <w:rsid w:val="5FED8ACB"/>
    <w:rsid w:val="64CA39A1"/>
    <w:rsid w:val="6C4A05C8"/>
    <w:rsid w:val="72734D90"/>
    <w:rsid w:val="775FCBE1"/>
    <w:rsid w:val="79E7B28D"/>
    <w:rsid w:val="79FB13B4"/>
    <w:rsid w:val="7D4FFDB2"/>
    <w:rsid w:val="7F9F20EE"/>
    <w:rsid w:val="7FBC1B68"/>
    <w:rsid w:val="7FF7B105"/>
    <w:rsid w:val="9E3A10E2"/>
    <w:rsid w:val="D7F3374B"/>
    <w:rsid w:val="EFF94271"/>
    <w:rsid w:val="F2E1F9D4"/>
    <w:rsid w:val="F7880819"/>
    <w:rsid w:val="FBDFC0FC"/>
    <w:rsid w:val="FCEFE5B2"/>
    <w:rsid w:val="FECD888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Normal Indent"/>
    <w:basedOn w:val="1"/>
    <w:qFormat/>
    <w:uiPriority w:val="0"/>
    <w:pPr>
      <w:suppressAutoHyphens/>
    </w:pPr>
    <w:rPr>
      <w:rFonts w:ascii="Calibri" w:hAnsi="Calibri"/>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invertIfNegative val="0"/>
          <c:dLbls>
            <c:delete val="1"/>
          </c:dLbls>
          <c:cat>
            <c:strRef>
              <c:f>Sheet1!$A$2:$A$3</c:f>
              <c:strCache>
                <c:ptCount val="2"/>
                <c:pt idx="0">
                  <c:v>收入（万元）</c:v>
                </c:pt>
                <c:pt idx="1">
                  <c:v>支出（万元）</c:v>
                </c:pt>
              </c:strCache>
            </c:strRef>
          </c:cat>
          <c:val>
            <c:numRef>
              <c:f>Sheet1!$B$2:$B$3</c:f>
              <c:numCache>
                <c:formatCode>General</c:formatCode>
                <c:ptCount val="2"/>
                <c:pt idx="0">
                  <c:v>190.27</c:v>
                </c:pt>
                <c:pt idx="1">
                  <c:v>246.97</c:v>
                </c:pt>
              </c:numCache>
            </c:numRef>
          </c:val>
        </c:ser>
        <c:ser>
          <c:idx val="1"/>
          <c:order val="1"/>
          <c:tx>
            <c:strRef>
              <c:f>Sheet1!$C$1</c:f>
              <c:strCache>
                <c:ptCount val="1"/>
                <c:pt idx="0">
                  <c:v>2021年</c:v>
                </c:pt>
              </c:strCache>
            </c:strRef>
          </c:tx>
          <c:invertIfNegative val="0"/>
          <c:dLbls>
            <c:delete val="1"/>
          </c:dLbls>
          <c:cat>
            <c:strRef>
              <c:f>Sheet1!$A$2:$A$3</c:f>
              <c:strCache>
                <c:ptCount val="2"/>
                <c:pt idx="0">
                  <c:v>收入（万元）</c:v>
                </c:pt>
                <c:pt idx="1">
                  <c:v>支出（万元）</c:v>
                </c:pt>
              </c:strCache>
            </c:strRef>
          </c:cat>
          <c:val>
            <c:numRef>
              <c:f>Sheet1!$C$2:$C$3</c:f>
              <c:numCache>
                <c:formatCode>General</c:formatCode>
                <c:ptCount val="2"/>
                <c:pt idx="0">
                  <c:v>258.91</c:v>
                </c:pt>
                <c:pt idx="1">
                  <c:v>258.91</c:v>
                </c:pt>
              </c:numCache>
            </c:numRef>
          </c:val>
        </c:ser>
        <c:dLbls>
          <c:showLegendKey val="0"/>
          <c:showVal val="0"/>
          <c:showCatName val="0"/>
          <c:showSerName val="0"/>
          <c:showPercent val="0"/>
          <c:showBubbleSize val="0"/>
        </c:dLbls>
        <c:gapWidth val="150"/>
        <c:axId val="233616896"/>
        <c:axId val="233618432"/>
      </c:barChart>
      <c:catAx>
        <c:axId val="2336168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3618432"/>
        <c:crosses val="autoZero"/>
        <c:auto val="1"/>
        <c:lblAlgn val="ctr"/>
        <c:lblOffset val="100"/>
        <c:noMultiLvlLbl val="0"/>
      </c:catAx>
      <c:valAx>
        <c:axId val="2336184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36168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2021年收入（万元）</c:v>
                </c:pt>
              </c:strCache>
            </c:strRef>
          </c:tx>
          <c:invertIfNegative val="0"/>
          <c:dLbls>
            <c:delete val="1"/>
          </c:dLbls>
          <c:cat>
            <c:strRef>
              <c:f>Sheet1!$A$2:$A$5</c:f>
              <c:strCache>
                <c:ptCount val="4"/>
                <c:pt idx="0">
                  <c:v>本年收入合计</c:v>
                </c:pt>
                <c:pt idx="1">
                  <c:v>一般公共预算财政拨款收入</c:v>
                </c:pt>
                <c:pt idx="2">
                  <c:v>其他收入</c:v>
                </c:pt>
                <c:pt idx="3">
                  <c:v>年初结转和结余</c:v>
                </c:pt>
              </c:strCache>
            </c:strRef>
          </c:cat>
          <c:val>
            <c:numRef>
              <c:f>Sheet1!$B$2:$B$5</c:f>
              <c:numCache>
                <c:formatCode>General</c:formatCode>
                <c:ptCount val="4"/>
                <c:pt idx="0">
                  <c:v>258.91</c:v>
                </c:pt>
                <c:pt idx="1">
                  <c:v>238.73</c:v>
                </c:pt>
                <c:pt idx="2">
                  <c:v>20</c:v>
                </c:pt>
                <c:pt idx="3">
                  <c:v>0.18</c:v>
                </c:pt>
              </c:numCache>
            </c:numRef>
          </c:val>
        </c:ser>
        <c:dLbls>
          <c:showLegendKey val="0"/>
          <c:showVal val="0"/>
          <c:showCatName val="0"/>
          <c:showSerName val="0"/>
          <c:showPercent val="0"/>
          <c:showBubbleSize val="0"/>
        </c:dLbls>
        <c:gapWidth val="150"/>
        <c:axId val="268004352"/>
        <c:axId val="328891008"/>
      </c:barChart>
      <c:catAx>
        <c:axId val="2680043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8891008"/>
        <c:crosses val="autoZero"/>
        <c:auto val="1"/>
        <c:lblAlgn val="ctr"/>
        <c:lblOffset val="100"/>
        <c:noMultiLvlLbl val="0"/>
      </c:catAx>
      <c:valAx>
        <c:axId val="3288910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0043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2021支出（万元）</c:v>
                </c:pt>
              </c:strCache>
            </c:strRef>
          </c:tx>
          <c:invertIfNegative val="0"/>
          <c:dLbls>
            <c:delete val="1"/>
          </c:dLbls>
          <c:cat>
            <c:strRef>
              <c:f>Sheet1!$A$2:$A$4</c:f>
              <c:strCache>
                <c:ptCount val="3"/>
                <c:pt idx="0">
                  <c:v>本年支出</c:v>
                </c:pt>
                <c:pt idx="1">
                  <c:v>基本支出</c:v>
                </c:pt>
                <c:pt idx="2">
                  <c:v>项目支出</c:v>
                </c:pt>
              </c:strCache>
            </c:strRef>
          </c:cat>
          <c:val>
            <c:numRef>
              <c:f>Sheet1!$B$2:$B$4</c:f>
              <c:numCache>
                <c:formatCode>General</c:formatCode>
                <c:ptCount val="3"/>
                <c:pt idx="0">
                  <c:v>258.91</c:v>
                </c:pt>
                <c:pt idx="1">
                  <c:v>219.55</c:v>
                </c:pt>
                <c:pt idx="2">
                  <c:v>39.36</c:v>
                </c:pt>
              </c:numCache>
            </c:numRef>
          </c:val>
        </c:ser>
        <c:dLbls>
          <c:showLegendKey val="0"/>
          <c:showVal val="0"/>
          <c:showCatName val="0"/>
          <c:showSerName val="0"/>
          <c:showPercent val="0"/>
          <c:showBubbleSize val="0"/>
        </c:dLbls>
        <c:gapWidth val="150"/>
        <c:overlap val="100"/>
        <c:axId val="371461120"/>
        <c:axId val="371481600"/>
      </c:barChart>
      <c:catAx>
        <c:axId val="3714611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71481600"/>
        <c:crosses val="autoZero"/>
        <c:auto val="1"/>
        <c:lblAlgn val="ctr"/>
        <c:lblOffset val="100"/>
        <c:noMultiLvlLbl val="0"/>
      </c:catAx>
      <c:valAx>
        <c:axId val="3714816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714611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2021年（万元）</c:v>
                </c:pt>
              </c:strCache>
            </c:strRef>
          </c:tx>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238.91</c:v>
                </c:pt>
                <c:pt idx="1">
                  <c:v>238.91</c:v>
                </c:pt>
              </c:numCache>
            </c:numRef>
          </c:val>
        </c:ser>
        <c:ser>
          <c:idx val="1"/>
          <c:order val="1"/>
          <c:tx>
            <c:strRef>
              <c:f>Sheet1!$C$1</c:f>
              <c:strCache>
                <c:ptCount val="1"/>
                <c:pt idx="0">
                  <c:v>2020年（万元）</c:v>
                </c:pt>
              </c:strCache>
            </c:strRef>
          </c:tx>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185.76</c:v>
                </c:pt>
                <c:pt idx="1">
                  <c:v>185.76</c:v>
                </c:pt>
              </c:numCache>
            </c:numRef>
          </c:val>
        </c:ser>
        <c:dLbls>
          <c:showLegendKey val="0"/>
          <c:showVal val="0"/>
          <c:showCatName val="0"/>
          <c:showSerName val="0"/>
          <c:showPercent val="0"/>
          <c:showBubbleSize val="0"/>
        </c:dLbls>
        <c:gapWidth val="150"/>
        <c:overlap val="100"/>
        <c:axId val="175194880"/>
        <c:axId val="175196416"/>
      </c:barChart>
      <c:catAx>
        <c:axId val="175194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5196416"/>
        <c:crosses val="autoZero"/>
        <c:auto val="1"/>
        <c:lblAlgn val="ctr"/>
        <c:lblOffset val="100"/>
        <c:noMultiLvlLbl val="0"/>
      </c:catAx>
      <c:valAx>
        <c:axId val="175196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519488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2021年</c:v>
                </c:pt>
              </c:strCache>
            </c:strRef>
          </c:tx>
          <c:invertIfNegative val="0"/>
          <c:dLbls>
            <c:delete val="1"/>
          </c:dLbls>
          <c:cat>
            <c:strRef>
              <c:f>Sheet1!$A$2</c:f>
              <c:strCache>
                <c:ptCount val="1"/>
                <c:pt idx="0">
                  <c:v>一般公共预算财政拨款支出</c:v>
                </c:pt>
              </c:strCache>
            </c:strRef>
          </c:cat>
          <c:val>
            <c:numRef>
              <c:f>Sheet1!$B$2</c:f>
              <c:numCache>
                <c:formatCode>General</c:formatCode>
                <c:ptCount val="1"/>
                <c:pt idx="0">
                  <c:v>238.73</c:v>
                </c:pt>
              </c:numCache>
            </c:numRef>
          </c:val>
        </c:ser>
        <c:ser>
          <c:idx val="1"/>
          <c:order val="1"/>
          <c:tx>
            <c:strRef>
              <c:f>Sheet1!$C$1</c:f>
              <c:strCache>
                <c:ptCount val="1"/>
                <c:pt idx="0">
                  <c:v>2020年</c:v>
                </c:pt>
              </c:strCache>
            </c:strRef>
          </c:tx>
          <c:invertIfNegative val="0"/>
          <c:dLbls>
            <c:delete val="1"/>
          </c:dLbls>
          <c:cat>
            <c:strRef>
              <c:f>Sheet1!$A$2</c:f>
              <c:strCache>
                <c:ptCount val="1"/>
                <c:pt idx="0">
                  <c:v>一般公共预算财政拨款支出</c:v>
                </c:pt>
              </c:strCache>
            </c:strRef>
          </c:cat>
          <c:val>
            <c:numRef>
              <c:f>Sheet1!$C$2</c:f>
              <c:numCache>
                <c:formatCode>General</c:formatCode>
                <c:ptCount val="1"/>
                <c:pt idx="0">
                  <c:v>185.76</c:v>
                </c:pt>
              </c:numCache>
            </c:numRef>
          </c:val>
        </c:ser>
        <c:dLbls>
          <c:showLegendKey val="0"/>
          <c:showVal val="0"/>
          <c:showCatName val="0"/>
          <c:showSerName val="0"/>
          <c:showPercent val="0"/>
          <c:showBubbleSize val="0"/>
        </c:dLbls>
        <c:gapWidth val="150"/>
        <c:overlap val="100"/>
        <c:axId val="212687488"/>
        <c:axId val="212693376"/>
      </c:barChart>
      <c:catAx>
        <c:axId val="212687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693376"/>
        <c:crosses val="autoZero"/>
        <c:auto val="1"/>
        <c:lblAlgn val="ctr"/>
        <c:lblOffset val="100"/>
        <c:noMultiLvlLbl val="0"/>
      </c:catAx>
      <c:valAx>
        <c:axId val="212693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68748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2021年一般公共预算财政拨款支出</c:v>
                </c:pt>
              </c:strCache>
            </c:strRef>
          </c:tx>
          <c:explosion val="0"/>
          <c:dPt>
            <c:idx val="0"/>
            <c:bubble3D val="0"/>
          </c:dPt>
          <c:dPt>
            <c:idx val="1"/>
            <c:bubble3D val="0"/>
          </c:dPt>
          <c:dPt>
            <c:idx val="2"/>
            <c:bubble3D val="0"/>
          </c:dPt>
          <c:dLbls>
            <c:delete val="1"/>
          </c:dLbls>
          <c:cat>
            <c:strRef>
              <c:f>Sheet1!$A$2:$A$4</c:f>
              <c:strCache>
                <c:ptCount val="3"/>
                <c:pt idx="0">
                  <c:v>科学技术支出</c:v>
                </c:pt>
                <c:pt idx="1">
                  <c:v>社会保障和就业支出</c:v>
                </c:pt>
                <c:pt idx="2">
                  <c:v>住房保障支出</c:v>
                </c:pt>
              </c:strCache>
            </c:strRef>
          </c:cat>
          <c:val>
            <c:numRef>
              <c:f>Sheet1!$B$2:$B$4</c:f>
              <c:numCache>
                <c:formatCode>General</c:formatCode>
                <c:ptCount val="3"/>
                <c:pt idx="0">
                  <c:v>187.46</c:v>
                </c:pt>
                <c:pt idx="1">
                  <c:v>36.71</c:v>
                </c:pt>
                <c:pt idx="2">
                  <c:v>14.55</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2021年三公经费支出（万元）</c:v>
                </c:pt>
              </c:strCache>
            </c:strRef>
          </c:tx>
          <c:explosion val="0"/>
          <c:dPt>
            <c:idx val="0"/>
            <c:bubble3D val="0"/>
          </c:dPt>
          <c:dPt>
            <c:idx val="1"/>
            <c:bubble3D val="0"/>
          </c:dPt>
          <c:dPt>
            <c:idx val="2"/>
            <c:bubble3D val="0"/>
          </c:dPt>
          <c:dLbls>
            <c:delete val="1"/>
          </c:dLbls>
          <c:cat>
            <c:strRef>
              <c:f>Sheet1!$A$2:$A$4</c:f>
              <c:strCache>
                <c:ptCount val="3"/>
                <c:pt idx="0">
                  <c:v>因公出国经费</c:v>
                </c:pt>
                <c:pt idx="1">
                  <c:v>公务用车购置及运行维护</c:v>
                </c:pt>
                <c:pt idx="2">
                  <c:v>公务接待支出</c:v>
                </c:pt>
              </c:strCache>
            </c:strRef>
          </c:cat>
          <c:val>
            <c:numRef>
              <c:f>Sheet1!$B$2:$B$4</c:f>
              <c:numCache>
                <c:formatCode>General</c:formatCode>
                <c:ptCount val="3"/>
                <c:pt idx="0">
                  <c:v>0</c:v>
                </c:pt>
                <c:pt idx="1">
                  <c:v>1.39</c:v>
                </c:pt>
                <c:pt idx="2">
                  <c:v>0.27</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9102</Words>
  <Characters>11862</Characters>
  <Lines>86</Lines>
  <Paragraphs>24</Paragraphs>
  <TotalTime>12</TotalTime>
  <ScaleCrop>false</ScaleCrop>
  <LinksUpToDate>false</LinksUpToDate>
  <CharactersWithSpaces>11911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企业用户_707365232</cp:lastModifiedBy>
  <cp:lastPrinted>2022-08-07T18:23:00Z</cp:lastPrinted>
  <dcterms:modified xsi:type="dcterms:W3CDTF">2024-04-22T07:41:24Z</dcterms:modified>
  <dc:title>四川省***</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39C0E7FD4C824D2DAD366B18164D5B97_13</vt:lpwstr>
  </property>
</Properties>
</file>