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5"/>
      <w:bookmarkStart w:id="2" w:name="_Toc15396597"/>
      <w:bookmarkStart w:id="3" w:name="_Toc15377193"/>
      <w:bookmarkStart w:id="4" w:name="_Toc15378441"/>
      <w:bookmarkStart w:id="5" w:name="_Toc15377425"/>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598"/>
      <w:bookmarkStart w:id="7" w:name="_Toc15396476"/>
      <w:bookmarkStart w:id="8" w:name="_Toc15377426"/>
      <w:bookmarkStart w:id="9" w:name="_Toc15377194"/>
      <w:bookmarkStart w:id="10" w:name="_Toc15378442"/>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rPr>
        <w:t>攀枝花市生产力促进中心单位决算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公开时间：2022年9月</w:t>
      </w:r>
      <w:r>
        <w:rPr>
          <w:lang w:val="en"/>
        </w:rPr>
        <w:t>14</w:t>
      </w:r>
      <w:r>
        <w:rPr>
          <w:rFonts w:hint="eastAsia"/>
        </w:rPr>
        <w:t>日</w:t>
      </w:r>
    </w:p>
    <w:p/>
    <w:p>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单位概况.................................................4</w:t>
      </w:r>
    </w:p>
    <w:p>
      <w:pPr>
        <w:pStyle w:val="12"/>
        <w:adjustRightInd w:val="0"/>
        <w:snapToGrid w:val="0"/>
        <w:spacing w:line="440" w:lineRule="exact"/>
        <w:jc w:val="left"/>
        <w:rPr>
          <w:sz w:val="24"/>
        </w:rPr>
      </w:pPr>
      <w:r>
        <w:rPr>
          <w:rFonts w:hint="eastAsia"/>
          <w:sz w:val="24"/>
        </w:rPr>
        <w:t>一、职能简介......................................................................................................4</w:t>
      </w:r>
    </w:p>
    <w:p>
      <w:pPr>
        <w:pStyle w:val="12"/>
        <w:adjustRightInd w:val="0"/>
        <w:snapToGrid w:val="0"/>
        <w:spacing w:line="440" w:lineRule="exact"/>
        <w:jc w:val="left"/>
        <w:rPr>
          <w:rFonts w:hint="eastAsia"/>
          <w:sz w:val="24"/>
        </w:rPr>
      </w:pPr>
      <w:r>
        <w:rPr>
          <w:rFonts w:hint="eastAsia" w:asciiTheme="minorEastAsia" w:hAnsiTheme="minorEastAsia" w:eastAsiaTheme="minorEastAsia" w:cstheme="minorEastAsia"/>
          <w:sz w:val="24"/>
        </w:rPr>
        <w:t>二、2021年重点工作完成情况</w:t>
      </w:r>
      <w:r>
        <w:rPr>
          <w:rFonts w:hint="eastAsia"/>
          <w:sz w:val="24"/>
        </w:rPr>
        <w:t>.........................................................................4</w:t>
      </w:r>
    </w:p>
    <w:p>
      <w:pPr>
        <w:rPr>
          <w:sz w:val="24"/>
        </w:rPr>
      </w:pPr>
      <w:r>
        <w:rPr>
          <w:rFonts w:hint="eastAsia"/>
        </w:rPr>
        <w:t xml:space="preserve">    三、机构设置</w:t>
      </w:r>
      <w:r>
        <w:t>…………………………………………………………………</w:t>
      </w:r>
      <w:r>
        <w:rPr>
          <w:rFonts w:hint="eastAsia"/>
        </w:rPr>
        <w:t>.</w:t>
      </w:r>
      <w:r>
        <w:t>…</w:t>
      </w:r>
      <w:r>
        <w:rPr>
          <w:sz w:val="24"/>
        </w:rPr>
        <w:t>……</w:t>
      </w:r>
      <w:r>
        <w:rPr>
          <w:rFonts w:hint="eastAsia"/>
          <w:sz w:val="24"/>
        </w:rPr>
        <w:t>....5</w:t>
      </w:r>
    </w:p>
    <w:p>
      <w:pPr>
        <w:rPr>
          <w:rFonts w:eastAsia="仿宋"/>
          <w:sz w:val="24"/>
        </w:rPr>
      </w:pPr>
      <w:r>
        <w:rPr>
          <w:rFonts w:hint="eastAsia"/>
          <w:sz w:val="24"/>
        </w:rPr>
        <w:t>第二部分 2021年度单位决算情况说明..................................................................6</w:t>
      </w:r>
    </w:p>
    <w:p>
      <w:pPr>
        <w:pStyle w:val="12"/>
        <w:adjustRightInd w:val="0"/>
        <w:snapToGrid w:val="0"/>
        <w:spacing w:line="440" w:lineRule="exact"/>
        <w:jc w:val="left"/>
        <w:rPr>
          <w:rFonts w:ascii="仿宋" w:hAnsi="仿宋" w:cstheme="minorBidi"/>
          <w:sz w:val="24"/>
        </w:rPr>
      </w:pPr>
      <w:r>
        <w:rPr>
          <w:rFonts w:hint="eastAsia"/>
          <w:sz w:val="24"/>
        </w:rPr>
        <w:t>一、收入支出决算总体情况说明......................................................................6</w:t>
      </w:r>
    </w:p>
    <w:p>
      <w:pPr>
        <w:pStyle w:val="12"/>
        <w:adjustRightInd w:val="0"/>
        <w:snapToGrid w:val="0"/>
        <w:spacing w:line="440" w:lineRule="exact"/>
        <w:jc w:val="left"/>
        <w:rPr>
          <w:rFonts w:ascii="仿宋" w:hAnsi="仿宋" w:cstheme="minorBidi"/>
          <w:sz w:val="24"/>
        </w:rPr>
      </w:pPr>
      <w:r>
        <w:rPr>
          <w:rFonts w:hint="eastAsia"/>
          <w:sz w:val="24"/>
        </w:rPr>
        <w:t>二、收入决算情况说明......................................................................................6</w:t>
      </w:r>
    </w:p>
    <w:p>
      <w:pPr>
        <w:pStyle w:val="12"/>
        <w:adjustRightInd w:val="0"/>
        <w:snapToGrid w:val="0"/>
        <w:spacing w:line="440" w:lineRule="exact"/>
        <w:jc w:val="left"/>
        <w:rPr>
          <w:rFonts w:ascii="仿宋" w:hAnsi="仿宋" w:cstheme="minorBidi"/>
          <w:sz w:val="24"/>
        </w:rPr>
      </w:pPr>
      <w:r>
        <w:rPr>
          <w:rFonts w:hint="eastAsia"/>
          <w:sz w:val="24"/>
        </w:rPr>
        <w:t>三、支出决算情况说明......................................................................................7</w:t>
      </w:r>
    </w:p>
    <w:p>
      <w:pPr>
        <w:pStyle w:val="12"/>
        <w:adjustRightInd w:val="0"/>
        <w:snapToGrid w:val="0"/>
        <w:spacing w:line="440" w:lineRule="exact"/>
        <w:jc w:val="left"/>
        <w:rPr>
          <w:rFonts w:ascii="仿宋" w:hAnsi="仿宋" w:cstheme="minorBidi"/>
          <w:sz w:val="24"/>
        </w:rPr>
      </w:pPr>
      <w:r>
        <w:rPr>
          <w:rFonts w:hint="eastAsia"/>
          <w:sz w:val="24"/>
        </w:rPr>
        <w:t>四、财政拨款收入支出决算总体情况说明......................................................8</w:t>
      </w:r>
    </w:p>
    <w:p>
      <w:pPr>
        <w:pStyle w:val="12"/>
        <w:adjustRightInd w:val="0"/>
        <w:snapToGrid w:val="0"/>
        <w:spacing w:line="440" w:lineRule="exact"/>
        <w:jc w:val="left"/>
        <w:rPr>
          <w:rFonts w:ascii="仿宋" w:hAnsi="仿宋" w:cstheme="minorBidi"/>
          <w:sz w:val="24"/>
        </w:rPr>
      </w:pPr>
      <w:r>
        <w:rPr>
          <w:rFonts w:hint="eastAsia"/>
          <w:sz w:val="24"/>
        </w:rPr>
        <w:t>五、一般公共预算财政拨款支出决算情况说明..............................................8</w:t>
      </w:r>
    </w:p>
    <w:p>
      <w:pPr>
        <w:pStyle w:val="12"/>
        <w:adjustRightInd w:val="0"/>
        <w:snapToGrid w:val="0"/>
        <w:spacing w:line="440" w:lineRule="exact"/>
        <w:jc w:val="left"/>
        <w:rPr>
          <w:rFonts w:ascii="仿宋" w:hAnsi="仿宋" w:cstheme="minorBidi"/>
          <w:sz w:val="24"/>
        </w:rPr>
      </w:pPr>
      <w:r>
        <w:rPr>
          <w:rFonts w:hint="eastAsia"/>
          <w:sz w:val="24"/>
        </w:rPr>
        <w:t>六、一般公共预算财政拨款基本支出决算情况说明.....................................11</w:t>
      </w:r>
    </w:p>
    <w:p>
      <w:pPr>
        <w:pStyle w:val="12"/>
        <w:adjustRightInd w:val="0"/>
        <w:snapToGrid w:val="0"/>
        <w:spacing w:line="440" w:lineRule="exact"/>
        <w:jc w:val="left"/>
        <w:rPr>
          <w:rFonts w:ascii="仿宋" w:hAnsi="仿宋" w:cstheme="minorBidi"/>
          <w:sz w:val="24"/>
        </w:rPr>
      </w:pPr>
      <w:r>
        <w:rPr>
          <w:rFonts w:hint="eastAsia"/>
          <w:sz w:val="24"/>
        </w:rPr>
        <w:t>七、“三公”经费财政拨款支出决算情况说明..............................................12</w:t>
      </w:r>
    </w:p>
    <w:p>
      <w:pPr>
        <w:pStyle w:val="12"/>
        <w:adjustRightInd w:val="0"/>
        <w:snapToGrid w:val="0"/>
        <w:spacing w:line="440" w:lineRule="exact"/>
        <w:jc w:val="left"/>
        <w:rPr>
          <w:rFonts w:ascii="仿宋" w:hAnsi="仿宋" w:cstheme="minorBidi"/>
          <w:sz w:val="24"/>
        </w:rPr>
      </w:pPr>
      <w:r>
        <w:rPr>
          <w:rFonts w:hint="eastAsia"/>
          <w:sz w:val="24"/>
        </w:rPr>
        <w:t>八、政府性基金预算支出决算情况说明.........................................................14</w:t>
      </w:r>
    </w:p>
    <w:p>
      <w:pPr>
        <w:pStyle w:val="12"/>
        <w:adjustRightInd w:val="0"/>
        <w:snapToGrid w:val="0"/>
        <w:spacing w:line="440" w:lineRule="exact"/>
        <w:jc w:val="left"/>
        <w:rPr>
          <w:sz w:val="24"/>
        </w:rPr>
      </w:pPr>
      <w:r>
        <w:rPr>
          <w:rFonts w:hint="eastAsia"/>
          <w:sz w:val="24"/>
        </w:rPr>
        <w:t>九、国有资本经营预算支出决算情况说明.....................................................14</w:t>
      </w:r>
    </w:p>
    <w:p>
      <w:pPr>
        <w:pStyle w:val="12"/>
        <w:adjustRightInd w:val="0"/>
        <w:snapToGrid w:val="0"/>
        <w:spacing w:line="440" w:lineRule="exact"/>
        <w:jc w:val="left"/>
        <w:rPr>
          <w:sz w:val="24"/>
        </w:rPr>
      </w:pPr>
      <w:r>
        <w:rPr>
          <w:rFonts w:hint="eastAsia"/>
          <w:sz w:val="24"/>
        </w:rPr>
        <w:t>十、其他重要事项的情况说明.........................................................................14</w:t>
      </w:r>
    </w:p>
    <w:p>
      <w:pPr>
        <w:pStyle w:val="11"/>
        <w:adjustRightInd w:val="0"/>
        <w:snapToGrid w:val="0"/>
        <w:spacing w:before="0" w:line="440" w:lineRule="exact"/>
        <w:jc w:val="left"/>
        <w:rPr>
          <w:sz w:val="24"/>
        </w:rPr>
      </w:pPr>
      <w:r>
        <w:rPr>
          <w:rFonts w:hint="eastAsia"/>
          <w:sz w:val="24"/>
        </w:rPr>
        <w:t>第三部分</w:t>
      </w:r>
      <w:r>
        <w:rPr>
          <w:sz w:val="24"/>
        </w:rPr>
        <w:t xml:space="preserve"> </w:t>
      </w:r>
      <w:r>
        <w:rPr>
          <w:rFonts w:hint="eastAsia"/>
          <w:sz w:val="24"/>
        </w:rPr>
        <w:t>名词解释.................................................16</w:t>
      </w:r>
    </w:p>
    <w:p>
      <w:pPr>
        <w:pStyle w:val="11"/>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附件.....................................................18</w:t>
      </w:r>
    </w:p>
    <w:p>
      <w:pPr>
        <w:pStyle w:val="11"/>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附表.....................................................19</w:t>
      </w:r>
    </w:p>
    <w:p>
      <w:pPr>
        <w:pStyle w:val="12"/>
        <w:adjustRightInd w:val="0"/>
        <w:snapToGrid w:val="0"/>
        <w:spacing w:line="440" w:lineRule="exact"/>
        <w:jc w:val="left"/>
        <w:rPr>
          <w:sz w:val="24"/>
        </w:rPr>
      </w:pPr>
      <w:r>
        <w:rPr>
          <w:rFonts w:hint="eastAsia"/>
          <w:sz w:val="24"/>
        </w:rPr>
        <w:t>一、收入支出决算总表.....................................................................................19</w:t>
      </w:r>
    </w:p>
    <w:p>
      <w:pPr>
        <w:pStyle w:val="12"/>
        <w:adjustRightInd w:val="0"/>
        <w:snapToGrid w:val="0"/>
        <w:spacing w:line="440" w:lineRule="exact"/>
        <w:jc w:val="left"/>
        <w:rPr>
          <w:sz w:val="24"/>
        </w:rPr>
      </w:pPr>
      <w:r>
        <w:rPr>
          <w:rFonts w:hint="eastAsia"/>
          <w:sz w:val="24"/>
        </w:rPr>
        <w:t>二、收入决算表.................................................................................................19</w:t>
      </w:r>
    </w:p>
    <w:p>
      <w:pPr>
        <w:pStyle w:val="12"/>
        <w:adjustRightInd w:val="0"/>
        <w:snapToGrid w:val="0"/>
        <w:spacing w:line="440" w:lineRule="exact"/>
        <w:jc w:val="left"/>
        <w:rPr>
          <w:sz w:val="24"/>
        </w:rPr>
      </w:pPr>
      <w:r>
        <w:rPr>
          <w:rFonts w:hint="eastAsia"/>
          <w:sz w:val="24"/>
        </w:rPr>
        <w:t>三、支出决算表..................................................................................................19</w:t>
      </w:r>
    </w:p>
    <w:p>
      <w:pPr>
        <w:pStyle w:val="12"/>
        <w:adjustRightInd w:val="0"/>
        <w:snapToGrid w:val="0"/>
        <w:spacing w:line="440" w:lineRule="exact"/>
        <w:jc w:val="left"/>
        <w:rPr>
          <w:sz w:val="24"/>
        </w:rPr>
      </w:pPr>
      <w:r>
        <w:rPr>
          <w:rFonts w:hint="eastAsia"/>
          <w:sz w:val="24"/>
        </w:rPr>
        <w:t>四、财政拨款收入支出决算总表......................................................................19</w:t>
      </w:r>
    </w:p>
    <w:p>
      <w:pPr>
        <w:pStyle w:val="12"/>
        <w:adjustRightInd w:val="0"/>
        <w:snapToGrid w:val="0"/>
        <w:spacing w:line="440" w:lineRule="exact"/>
        <w:jc w:val="left"/>
        <w:rPr>
          <w:sz w:val="24"/>
        </w:rPr>
      </w:pPr>
      <w:r>
        <w:rPr>
          <w:rFonts w:hint="eastAsia"/>
          <w:sz w:val="24"/>
        </w:rPr>
        <w:t>五、财政拨款支出决算明细表..........................................................................19</w:t>
      </w:r>
    </w:p>
    <w:p>
      <w:pPr>
        <w:pStyle w:val="12"/>
        <w:adjustRightInd w:val="0"/>
        <w:snapToGrid w:val="0"/>
        <w:spacing w:line="440" w:lineRule="exact"/>
        <w:jc w:val="left"/>
        <w:rPr>
          <w:sz w:val="24"/>
        </w:rPr>
      </w:pPr>
      <w:r>
        <w:rPr>
          <w:rFonts w:hint="eastAsia"/>
          <w:sz w:val="24"/>
        </w:rPr>
        <w:t>六、一般公共预算财政拨款支出决算表..........................................................19</w:t>
      </w:r>
    </w:p>
    <w:p>
      <w:pPr>
        <w:pStyle w:val="12"/>
        <w:adjustRightInd w:val="0"/>
        <w:snapToGrid w:val="0"/>
        <w:spacing w:line="440" w:lineRule="exact"/>
        <w:jc w:val="left"/>
        <w:rPr>
          <w:sz w:val="24"/>
        </w:rPr>
      </w:pPr>
      <w:r>
        <w:rPr>
          <w:rFonts w:hint="eastAsia"/>
          <w:sz w:val="24"/>
        </w:rPr>
        <w:t>七、一般公共预算财政拨款支出决算明细表..................................................19</w:t>
      </w:r>
    </w:p>
    <w:p>
      <w:pPr>
        <w:pStyle w:val="12"/>
        <w:adjustRightInd w:val="0"/>
        <w:snapToGrid w:val="0"/>
        <w:spacing w:line="440" w:lineRule="exact"/>
        <w:jc w:val="left"/>
        <w:rPr>
          <w:sz w:val="24"/>
        </w:rPr>
      </w:pPr>
      <w:r>
        <w:rPr>
          <w:rFonts w:hint="eastAsia"/>
          <w:sz w:val="24"/>
        </w:rPr>
        <w:t>八、一般公共预算财政拨款基本支出决算表..................................................19</w:t>
      </w:r>
    </w:p>
    <w:p>
      <w:pPr>
        <w:pStyle w:val="12"/>
        <w:adjustRightInd w:val="0"/>
        <w:snapToGrid w:val="0"/>
        <w:spacing w:line="440" w:lineRule="exact"/>
        <w:jc w:val="left"/>
        <w:rPr>
          <w:sz w:val="24"/>
        </w:rPr>
      </w:pPr>
      <w:r>
        <w:rPr>
          <w:rFonts w:hint="eastAsia"/>
          <w:sz w:val="24"/>
        </w:rPr>
        <w:t>九、一般公共预算财政拨款项目支出决算表..................................................19十、一般公共预算财政拨款“三公”经费支出决算表.................................19</w:t>
      </w:r>
    </w:p>
    <w:p>
      <w:pPr>
        <w:pStyle w:val="12"/>
        <w:adjustRightInd w:val="0"/>
        <w:snapToGrid w:val="0"/>
        <w:spacing w:line="440" w:lineRule="exact"/>
        <w:jc w:val="left"/>
        <w:rPr>
          <w:sz w:val="24"/>
        </w:rPr>
      </w:pPr>
      <w:r>
        <w:rPr>
          <w:rFonts w:hint="eastAsia"/>
          <w:sz w:val="24"/>
        </w:rPr>
        <w:t>十一、政府性基金预算财政拨款收入支出决算表.........................................19</w:t>
      </w:r>
    </w:p>
    <w:p>
      <w:pPr>
        <w:pStyle w:val="12"/>
        <w:adjustRightInd w:val="0"/>
        <w:snapToGrid w:val="0"/>
        <w:spacing w:line="440" w:lineRule="exact"/>
        <w:jc w:val="left"/>
        <w:rPr>
          <w:sz w:val="24"/>
        </w:rPr>
      </w:pPr>
      <w:r>
        <w:rPr>
          <w:rFonts w:hint="eastAsia"/>
          <w:sz w:val="24"/>
        </w:rPr>
        <w:t>十二、政府性基金预算财政拨款“三公”经费支出决算表.........................19</w:t>
      </w:r>
    </w:p>
    <w:p>
      <w:pPr>
        <w:pStyle w:val="12"/>
        <w:adjustRightInd w:val="0"/>
        <w:snapToGrid w:val="0"/>
        <w:spacing w:line="440" w:lineRule="exact"/>
        <w:jc w:val="left"/>
        <w:rPr>
          <w:sz w:val="24"/>
        </w:rPr>
      </w:pPr>
      <w:r>
        <w:rPr>
          <w:rFonts w:hint="eastAsia"/>
          <w:sz w:val="24"/>
        </w:rPr>
        <w:t>十三、国有资本经营预算财政拨款收入支出决算表.....................................19</w:t>
      </w:r>
    </w:p>
    <w:p>
      <w:pPr>
        <w:pStyle w:val="12"/>
        <w:adjustRightInd w:val="0"/>
        <w:snapToGrid w:val="0"/>
        <w:spacing w:line="440" w:lineRule="exact"/>
        <w:jc w:val="left"/>
        <w:rPr>
          <w:sz w:val="24"/>
        </w:rPr>
      </w:pPr>
      <w:r>
        <w:rPr>
          <w:rFonts w:hint="eastAsia"/>
          <w:sz w:val="24"/>
        </w:rPr>
        <w:t>十四、国有资本经营预算财政拨款支出决算表............................................ 19</w:t>
      </w:r>
    </w:p>
    <w:p>
      <w:pPr>
        <w:pStyle w:val="12"/>
        <w:adjustRightInd w:val="0"/>
        <w:snapToGrid w:val="0"/>
        <w:spacing w:line="500" w:lineRule="exact"/>
        <w:ind w:left="0" w:leftChars="0"/>
        <w:jc w:val="left"/>
        <w:rPr>
          <w:rFonts w:ascii="仿宋_GB2312" w:eastAsia="仿宋_GB2312"/>
          <w:sz w:val="24"/>
        </w:rPr>
      </w:pPr>
    </w:p>
    <w:p>
      <w:pPr>
        <w:widowControl/>
        <w:spacing w:line="500" w:lineRule="exact"/>
        <w:jc w:val="left"/>
        <w:rPr>
          <w:rFonts w:ascii="仿宋_GB2312" w:hAnsi="仿宋" w:eastAsia="仿宋_GB2312"/>
          <w:bCs/>
          <w:kern w:val="44"/>
          <w:sz w:val="32"/>
          <w:szCs w:val="32"/>
        </w:rPr>
      </w:pPr>
      <w:bookmarkStart w:id="12" w:name="_Toc15377196"/>
      <w:bookmarkStart w:id="13" w:name="_Toc15396599"/>
      <w:r>
        <w:rPr>
          <w:rFonts w:hint="eastAsia" w:ascii="仿宋_GB2312" w:hAnsi="仿宋" w:eastAsia="仿宋_GB2312"/>
          <w:b/>
          <w:sz w:val="32"/>
          <w:szCs w:val="32"/>
        </w:rPr>
        <w:br w:type="page"/>
      </w:r>
    </w:p>
    <w:p>
      <w:pPr>
        <w:pStyle w:val="3"/>
        <w:jc w:val="center"/>
        <w:rPr>
          <w:rFonts w:ascii="黑体" w:hAnsi="黑体" w:eastAsia="黑体"/>
          <w:bCs w:val="0"/>
        </w:rPr>
      </w:pPr>
      <w:r>
        <w:rPr>
          <w:rFonts w:hint="eastAsia" w:ascii="黑体" w:hAnsi="黑体" w:eastAsia="黑体"/>
          <w:b w:val="0"/>
        </w:rPr>
        <w:t>第一部分 单位</w:t>
      </w:r>
      <w:r>
        <w:rPr>
          <w:rStyle w:val="25"/>
          <w:rFonts w:hint="eastAsia" w:ascii="黑体" w:hAnsi="黑体" w:eastAsia="黑体"/>
          <w:b w:val="0"/>
          <w:bCs w:val="0"/>
        </w:rPr>
        <w:t>概况</w:t>
      </w:r>
      <w:bookmarkEnd w:id="12"/>
      <w:bookmarkEnd w:id="13"/>
    </w:p>
    <w:p>
      <w:pPr>
        <w:pStyle w:val="4"/>
        <w:numPr>
          <w:ilvl w:val="0"/>
          <w:numId w:val="1"/>
        </w:numPr>
        <w:spacing w:before="0" w:after="0" w:line="580" w:lineRule="exact"/>
        <w:rPr>
          <w:rStyle w:val="26"/>
          <w:rFonts w:ascii="黑体" w:hAnsi="黑体" w:eastAsia="黑体"/>
          <w:b w:val="0"/>
          <w:bCs w:val="0"/>
        </w:rPr>
      </w:pPr>
      <w:bookmarkStart w:id="14" w:name="_Toc15396600"/>
      <w:bookmarkStart w:id="15" w:name="_Toc15377197"/>
      <w:r>
        <w:rPr>
          <w:rFonts w:hint="eastAsia" w:ascii="黑体" w:hAnsi="黑体" w:eastAsia="黑体"/>
          <w:b w:val="0"/>
        </w:rPr>
        <w:t>攀枝花市生产力促进中心</w:t>
      </w:r>
      <w:r>
        <w:rPr>
          <w:rStyle w:val="26"/>
          <w:rFonts w:hint="eastAsia" w:ascii="黑体" w:hAnsi="黑体" w:eastAsia="黑体"/>
          <w:b w:val="0"/>
          <w:bCs w:val="0"/>
        </w:rPr>
        <w:t>职能简介</w:t>
      </w:r>
    </w:p>
    <w:p>
      <w:pPr>
        <w:pStyle w:val="4"/>
        <w:spacing w:before="0" w:after="0" w:line="580" w:lineRule="exact"/>
        <w:ind w:firstLine="627" w:firstLineChars="196"/>
        <w:rPr>
          <w:rFonts w:ascii="仿宋_GB2312" w:hAnsi="黑体" w:eastAsia="仿宋_GB2312"/>
          <w:b w:val="0"/>
          <w:bCs w:val="0"/>
        </w:rPr>
      </w:pPr>
      <w:r>
        <w:rPr>
          <w:rFonts w:hint="eastAsia" w:ascii="仿宋_GB2312" w:eastAsia="仿宋_GB2312"/>
          <w:b w:val="0"/>
        </w:rPr>
        <w:t>攀枝花市生产力促进中心是于1999年12月经四川省科技厅、攀枝花市人民政府批准成立，是不以盈利为目的科技服务机构，隶属于攀枝花市科学技术局。我中心主要任务是在市攀枝花市科学技术局的指导、支持下为中小企业提供科技服务，扶持中小企业技术创新、成果转化，以促进大众创业、万众创新为主线，以推进双创工作、科技型中小企业评价、高企培育、实施创新券、技术转移转化等为抓手。努力架设企业与科技界、企业与政府、企业与市场的信息桥梁，提高中小企业的科技水平、管理水平和经济效益。中心本着“背靠政府、面向社会、服务企业”的原则，为本地区中小企业提供优质服务。坚持“急企业之所急、想企业之所想、解企业之所忧”的服务宗旨，用心用智促进企业全面发展。</w:t>
      </w:r>
    </w:p>
    <w:p>
      <w:pPr>
        <w:pStyle w:val="4"/>
        <w:spacing w:before="0" w:after="0" w:line="580" w:lineRule="exact"/>
        <w:rPr>
          <w:rFonts w:ascii="黑体" w:hAnsi="黑体" w:eastAsia="黑体"/>
          <w:b w:val="0"/>
        </w:rPr>
      </w:pPr>
      <w:r>
        <w:rPr>
          <w:rFonts w:hint="eastAsia" w:ascii="黑体" w:hAnsi="黑体" w:eastAsia="黑体"/>
          <w:b w:val="0"/>
        </w:rPr>
        <w:t>二、2021年重点工作</w:t>
      </w:r>
      <w:bookmarkEnd w:id="14"/>
      <w:bookmarkEnd w:id="15"/>
      <w:r>
        <w:rPr>
          <w:rFonts w:hint="eastAsia" w:ascii="黑体" w:hAnsi="黑体" w:eastAsia="黑体"/>
          <w:b w:val="0"/>
        </w:rPr>
        <w:t>完成情况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2021年主要围绕推进成渝经济圈建设，攀枝花“两城”建设和市科技局重点目标积极开展工作。</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1.组织实施高新技术企业倍增行动计划。围绕目标任务，组织国家高新技术企业的培育和申报工作。积极与钒钛高新技术产业开发区、县（区）</w:t>
      </w:r>
      <w:r>
        <w:rPr>
          <w:rFonts w:ascii="仿宋_GB2312" w:eastAsia="仿宋_GB2312"/>
          <w:sz w:val="32"/>
          <w:szCs w:val="32"/>
          <w:lang w:val="en"/>
        </w:rPr>
        <w:t>科技</w:t>
      </w:r>
      <w:r>
        <w:rPr>
          <w:rFonts w:hint="eastAsia" w:ascii="仿宋_GB2312" w:eastAsia="仿宋_GB2312"/>
          <w:sz w:val="32"/>
          <w:szCs w:val="32"/>
        </w:rPr>
        <w:t>主管部门对接，积极组织动员企业申报。逐步建立企业信息档案。</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2.组织开展全市科技型中小企业评价工作。组织科技型中小企业评价培训会，对企业进行培训。组织企业进入国家科技部科技型中小企业评价服务网络系统开展评价工作。</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3.积极推进双创工作。组织我市企业参加第十届中国创新创业大赛，引导企业开展并参与有关创新活动。</w:t>
      </w:r>
    </w:p>
    <w:p>
      <w:pPr>
        <w:spacing w:line="580" w:lineRule="exact"/>
        <w:ind w:left="-2" w:leftChars="-1" w:firstLine="640" w:firstLineChars="200"/>
        <w:rPr>
          <w:rFonts w:ascii="仿宋_GB2312" w:eastAsia="仿宋_GB2312"/>
          <w:sz w:val="32"/>
          <w:szCs w:val="32"/>
        </w:rPr>
      </w:pPr>
      <w:r>
        <w:rPr>
          <w:rFonts w:hint="eastAsia" w:ascii="仿宋_GB2312" w:eastAsia="仿宋_GB2312"/>
          <w:sz w:val="32"/>
          <w:szCs w:val="32"/>
        </w:rPr>
        <w:t>4.组织开展2021年创新卷补贴实施工作。组织开展创新券的申领、补贴工作。</w:t>
      </w:r>
    </w:p>
    <w:p>
      <w:pPr>
        <w:spacing w:line="580" w:lineRule="exact"/>
        <w:ind w:left="-2" w:leftChars="-1" w:firstLine="640" w:firstLineChars="200"/>
        <w:rPr>
          <w:rFonts w:ascii="仿宋_GB2312" w:eastAsia="仿宋_GB2312"/>
          <w:sz w:val="32"/>
          <w:szCs w:val="32"/>
        </w:rPr>
      </w:pPr>
      <w:r>
        <w:rPr>
          <w:rFonts w:hint="eastAsia" w:ascii="仿宋_GB2312" w:eastAsia="仿宋_GB2312"/>
          <w:sz w:val="32"/>
          <w:szCs w:val="32"/>
        </w:rPr>
        <w:t>5.组织技术合同的认定登记工作。围绕目标任务，组织全市技术合同认定登记工作，</w:t>
      </w:r>
    </w:p>
    <w:p>
      <w:pPr>
        <w:spacing w:line="580" w:lineRule="exact"/>
        <w:ind w:left="-2" w:leftChars="-1" w:firstLine="640" w:firstLineChars="200"/>
        <w:rPr>
          <w:rFonts w:ascii="仿宋_GB2312" w:eastAsia="仿宋_GB2312"/>
          <w:sz w:val="32"/>
          <w:szCs w:val="32"/>
        </w:rPr>
      </w:pPr>
      <w:r>
        <w:rPr>
          <w:rFonts w:hint="eastAsia" w:ascii="仿宋_GB2312" w:eastAsia="仿宋_GB2312"/>
          <w:sz w:val="32"/>
          <w:szCs w:val="32"/>
        </w:rPr>
        <w:t>6.科技金融工作，组织“天府科创贷”攀枝花专题融资培训会，推进“天府科创贷”的申报工作。</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7.组织修订“技术交易管理办法”，并按修订后的办法，组织实施技术交易补贴。</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8.配合四川大学技术转移中心攀枝花分中心工作，组织四川大学与攀枝花市校市合作专项资金项目的申报，已立项项目的中期检查等工作。</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9.组织开展2021年度火炬计划统计工作。</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10.组织开展科普宣传及相关统计工作。</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11.做好科创通网站的信息发布、运行及维护工作。</w:t>
      </w:r>
    </w:p>
    <w:p>
      <w:pPr>
        <w:spacing w:line="600" w:lineRule="exact"/>
        <w:ind w:firstLine="640" w:firstLineChars="200"/>
        <w:rPr>
          <w:rFonts w:hint="eastAsia" w:ascii="黑体" w:hAnsi="黑体" w:eastAsia="黑体" w:cstheme="majorBidi"/>
          <w:bCs/>
          <w:sz w:val="32"/>
          <w:szCs w:val="32"/>
        </w:rPr>
      </w:pPr>
      <w:r>
        <w:rPr>
          <w:rFonts w:hint="eastAsia" w:ascii="黑体" w:hAnsi="黑体" w:eastAsia="黑体" w:cstheme="majorBidi"/>
          <w:bCs/>
          <w:sz w:val="32"/>
          <w:szCs w:val="32"/>
        </w:rPr>
        <w:t>三、机构设置</w:t>
      </w:r>
    </w:p>
    <w:p>
      <w:pPr>
        <w:pStyle w:val="6"/>
        <w:spacing w:line="56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攀枝花市</w:t>
      </w:r>
      <w:r>
        <w:rPr>
          <w:rFonts w:hint="eastAsia" w:ascii="Times New Roman" w:hAnsi="Times New Roman" w:eastAsia="仿宋_GB2312"/>
          <w:sz w:val="32"/>
          <w:szCs w:val="32"/>
        </w:rPr>
        <w:t>生产力促进</w:t>
      </w:r>
      <w:r>
        <w:rPr>
          <w:rFonts w:ascii="Times New Roman" w:hAnsi="Times New Roman" w:eastAsia="仿宋_GB2312"/>
          <w:sz w:val="32"/>
          <w:szCs w:val="32"/>
        </w:rPr>
        <w:t>中心</w:t>
      </w:r>
      <w:r>
        <w:rPr>
          <w:rFonts w:hint="eastAsia" w:ascii="Times New Roman" w:hAnsi="Times New Roman" w:eastAsia="仿宋_GB2312"/>
          <w:sz w:val="32"/>
          <w:szCs w:val="32"/>
        </w:rPr>
        <w:t>属攀枝花市科学技术局部门下属的二级预算单位，下设独立编制机构1个，其中行政机构0个，参照公务员法管理的事业机构0个，其他事业机构1个。</w:t>
      </w:r>
    </w:p>
    <w:p>
      <w:pPr>
        <w:pStyle w:val="6"/>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纳入2021年度单位决算编制范围的独立编制机构包括：</w:t>
      </w:r>
      <w:r>
        <w:rPr>
          <w:rFonts w:ascii="Times New Roman" w:hAnsi="Times New Roman" w:eastAsia="仿宋_GB2312"/>
          <w:sz w:val="32"/>
          <w:szCs w:val="32"/>
        </w:rPr>
        <w:t>攀枝花市</w:t>
      </w:r>
      <w:r>
        <w:rPr>
          <w:rFonts w:hint="eastAsia" w:ascii="Times New Roman" w:hAnsi="Times New Roman" w:eastAsia="仿宋_GB2312"/>
          <w:sz w:val="32"/>
          <w:szCs w:val="32"/>
        </w:rPr>
        <w:t>生产力促进</w:t>
      </w:r>
      <w:r>
        <w:rPr>
          <w:rFonts w:ascii="Times New Roman" w:hAnsi="Times New Roman" w:eastAsia="仿宋_GB2312"/>
          <w:sz w:val="32"/>
          <w:szCs w:val="32"/>
        </w:rPr>
        <w:t>中心</w:t>
      </w:r>
      <w:bookmarkStart w:id="16" w:name="_Toc15377204"/>
      <w:bookmarkStart w:id="17" w:name="_Toc15396602"/>
      <w:r>
        <w:rPr>
          <w:rFonts w:hint="eastAsia" w:ascii="Times New Roman" w:hAnsi="Times New Roman" w:eastAsia="仿宋_GB2312"/>
          <w:sz w:val="32"/>
          <w:szCs w:val="32"/>
        </w:rPr>
        <w:t>。</w:t>
      </w:r>
      <w:r>
        <w:rPr>
          <w:rFonts w:hint="eastAsia" w:ascii="黑体" w:hAnsi="黑体" w:eastAsia="黑体"/>
        </w:rPr>
        <w:br w:type="page"/>
      </w:r>
    </w:p>
    <w:p>
      <w:pPr>
        <w:pStyle w:val="3"/>
        <w:ind w:right="440"/>
        <w:jc w:val="center"/>
        <w:rPr>
          <w:rFonts w:ascii="黑体" w:hAnsi="黑体" w:eastAsia="黑体"/>
          <w:b w:val="0"/>
        </w:rPr>
      </w:pPr>
      <w:r>
        <w:rPr>
          <w:rFonts w:hint="eastAsia" w:ascii="黑体" w:hAnsi="黑体" w:eastAsia="黑体"/>
          <w:b w:val="0"/>
        </w:rPr>
        <w:t>第二部分 2021年度</w:t>
      </w:r>
      <w:r>
        <w:rPr>
          <w:rStyle w:val="25"/>
          <w:rFonts w:hint="eastAsia" w:ascii="黑体" w:hAnsi="黑体" w:eastAsia="黑体"/>
          <w:b w:val="0"/>
          <w:bCs/>
        </w:rPr>
        <w:t>单位决算情况说明</w:t>
      </w:r>
      <w:bookmarkEnd w:id="16"/>
      <w:bookmarkEnd w:id="17"/>
    </w:p>
    <w:p>
      <w:pPr>
        <w:pStyle w:val="24"/>
        <w:numPr>
          <w:ilvl w:val="0"/>
          <w:numId w:val="2"/>
        </w:numPr>
        <w:spacing w:line="600" w:lineRule="exact"/>
        <w:ind w:firstLineChars="0"/>
        <w:outlineLvl w:val="1"/>
        <w:rPr>
          <w:rStyle w:val="26"/>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6"/>
          <w:rFonts w:hint="eastAsia" w:ascii="黑体" w:hAnsi="黑体" w:eastAsia="黑体"/>
          <w:b w:val="0"/>
        </w:rPr>
        <w:t>入支出决算总体情况说明</w:t>
      </w:r>
      <w:bookmarkEnd w:id="18"/>
      <w:bookmarkEnd w:id="19"/>
    </w:p>
    <w:p>
      <w:pPr>
        <w:spacing w:line="600" w:lineRule="exact"/>
        <w:ind w:firstLine="640"/>
        <w:rPr>
          <w:rFonts w:hint="eastAsia" w:ascii="仿宋_GB2312" w:hAnsi="仿宋" w:eastAsia="仿宋_GB2312"/>
          <w:sz w:val="32"/>
          <w:szCs w:val="32"/>
        </w:rPr>
      </w:pPr>
      <w:r>
        <w:rPr>
          <w:rFonts w:hint="eastAsia" w:ascii="仿宋_GB2312" w:hAnsi="仿宋" w:eastAsia="仿宋_GB2312"/>
          <w:sz w:val="32"/>
          <w:szCs w:val="32"/>
        </w:rPr>
        <w:t>2021年度收、支总计237.9万元。与2020年相比收入减少53.00万元,下降18%,与2020年相比支出减少53.00万元,下降18%。主要变动原因是</w:t>
      </w:r>
      <w:r>
        <w:rPr>
          <w:rFonts w:hint="eastAsia" w:ascii="仿宋_GB2312" w:hAnsi="仿宋" w:eastAsia="仿宋_GB2312"/>
          <w:sz w:val="32"/>
          <w:szCs w:val="32"/>
          <w:lang w:eastAsia="zh-CN"/>
        </w:rPr>
        <w:t>项目支出</w:t>
      </w:r>
      <w:bookmarkStart w:id="67" w:name="_GoBack"/>
      <w:bookmarkEnd w:id="67"/>
      <w:r>
        <w:rPr>
          <w:rFonts w:hint="eastAsia" w:ascii="仿宋_GB2312" w:hAnsi="仿宋" w:eastAsia="仿宋_GB2312"/>
          <w:sz w:val="32"/>
          <w:szCs w:val="32"/>
        </w:rPr>
        <w:t>减少。</w:t>
      </w:r>
    </w:p>
    <w:p>
      <w:pPr>
        <w:pStyle w:val="2"/>
      </w:pPr>
    </w:p>
    <w:p>
      <w:pPr>
        <w:pStyle w:val="2"/>
        <w:spacing w:beforeLines="0"/>
      </w:pPr>
      <w:r>
        <w:rPr>
          <w:rFonts w:hint="eastAsia"/>
        </w:rPr>
        <w:drawing>
          <wp:inline distT="0" distB="0" distL="0" distR="0">
            <wp:extent cx="4989195" cy="2533650"/>
            <wp:effectExtent l="4445" t="4445" r="16510"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（图1：收、支决算总计变动情况图）（柱状图）</w:t>
      </w:r>
    </w:p>
    <w:p>
      <w:pPr>
        <w:pStyle w:val="24"/>
        <w:numPr>
          <w:ilvl w:val="0"/>
          <w:numId w:val="2"/>
        </w:numPr>
        <w:spacing w:line="600" w:lineRule="exact"/>
        <w:ind w:firstLineChars="0"/>
        <w:outlineLvl w:val="1"/>
        <w:rPr>
          <w:rStyle w:val="26"/>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6"/>
          <w:rFonts w:hint="eastAsia" w:ascii="黑体" w:hAnsi="黑体" w:eastAsia="黑体"/>
          <w:b w:val="0"/>
        </w:rPr>
        <w:t>入决算情况说明</w:t>
      </w:r>
      <w:bookmarkEnd w:id="20"/>
      <w:bookmarkEnd w:id="21"/>
    </w:p>
    <w:p>
      <w:pPr>
        <w:spacing w:line="600" w:lineRule="exact"/>
        <w:ind w:firstLine="640" w:firstLineChars="200"/>
        <w:outlineLvl w:val="1"/>
        <w:rPr>
          <w:rFonts w:ascii="仿宋_GB2312" w:hAnsi="仿宋" w:eastAsia="仿宋_GB2312"/>
          <w:sz w:val="32"/>
          <w:szCs w:val="32"/>
        </w:rPr>
      </w:pPr>
      <w:r>
        <w:rPr>
          <w:rFonts w:hint="eastAsia" w:ascii="仿宋_GB2312" w:hAnsi="仿宋" w:eastAsia="仿宋_GB2312"/>
          <w:sz w:val="32"/>
          <w:szCs w:val="32"/>
        </w:rPr>
        <w:t>2021年本年收入合计237.9万元，其中：一般公共预算财政拨款收入207.19万元，占87%；政府性基金预算财政拨款收入0万元，占0%；国有资本经营预算财政拨款收入0万元，占0%；上级补助收入0万元，占0%；事业收入0万元，占0%；经营收入0万元，占0%；附属单位上缴收入0万元，占0%；其他收入0万元，占0%。</w:t>
      </w:r>
    </w:p>
    <w:p>
      <w:pPr>
        <w:pStyle w:val="2"/>
        <w:spacing w:before="93"/>
      </w:pPr>
      <w:r>
        <w:rPr>
          <w:rFonts w:hint="eastAsia"/>
        </w:rPr>
        <w:drawing>
          <wp:inline distT="0" distB="0" distL="0" distR="0">
            <wp:extent cx="5274310" cy="3076575"/>
            <wp:effectExtent l="19050" t="0" r="2159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jc w:val="center"/>
        <w:rPr>
          <w:rFonts w:ascii="仿宋" w:hAnsi="仿宋" w:eastAsia="仿宋"/>
          <w:sz w:val="32"/>
          <w:szCs w:val="32"/>
        </w:rPr>
      </w:pPr>
      <w:r>
        <w:rPr>
          <w:rFonts w:hint="eastAsia" w:ascii="仿宋" w:hAnsi="仿宋" w:eastAsia="仿宋"/>
          <w:sz w:val="32"/>
          <w:szCs w:val="32"/>
        </w:rPr>
        <w:t>（图2：收入决算结构图）（饼状图）</w:t>
      </w:r>
    </w:p>
    <w:p>
      <w:pPr>
        <w:pStyle w:val="24"/>
        <w:numPr>
          <w:ilvl w:val="0"/>
          <w:numId w:val="2"/>
        </w:numPr>
        <w:spacing w:line="600" w:lineRule="exact"/>
        <w:ind w:firstLineChars="0"/>
        <w:outlineLvl w:val="1"/>
        <w:rPr>
          <w:rStyle w:val="26"/>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6"/>
          <w:rFonts w:hint="eastAsia" w:ascii="黑体" w:hAnsi="黑体" w:eastAsia="黑体"/>
          <w:b w:val="0"/>
        </w:rPr>
        <w:t>出决算情况说明</w:t>
      </w:r>
      <w:bookmarkEnd w:id="22"/>
      <w:bookmarkEnd w:id="23"/>
    </w:p>
    <w:p>
      <w:pPr>
        <w:spacing w:line="600" w:lineRule="exact"/>
        <w:ind w:firstLine="640" w:firstLineChars="200"/>
        <w:outlineLvl w:val="1"/>
        <w:rPr>
          <w:rFonts w:ascii="仿宋_GB2312" w:hAnsi="仿宋" w:eastAsia="仿宋_GB2312"/>
          <w:sz w:val="32"/>
          <w:szCs w:val="32"/>
        </w:rPr>
      </w:pPr>
      <w:r>
        <w:rPr>
          <w:rFonts w:hint="eastAsia" w:ascii="仿宋_GB2312" w:hAnsi="仿宋" w:eastAsia="仿宋_GB2312"/>
          <w:sz w:val="32"/>
          <w:szCs w:val="32"/>
        </w:rPr>
        <w:t>2021年本年支出合计233.47万元，其中：基本支出204.63万元，占88%；项目支出28.85万元，占12%；上缴上级支出0万元，占0%；经营支出0万元，占0%；对附属单位补助支出0万元，占0%。</w:t>
      </w:r>
    </w:p>
    <w:p>
      <w:pPr>
        <w:ind w:firstLine="641"/>
        <w:rPr>
          <w:rFonts w:ascii="仿宋" w:hAnsi="仿宋" w:eastAsia="仿宋"/>
          <w:sz w:val="32"/>
          <w:szCs w:val="32"/>
          <w:shd w:val="pct10" w:color="auto" w:fill="FFFFFF"/>
        </w:rPr>
      </w:pPr>
      <w:r>
        <w:rPr>
          <w:rFonts w:ascii="仿宋" w:hAnsi="仿宋" w:eastAsia="仿宋"/>
          <w:sz w:val="32"/>
          <w:szCs w:val="32"/>
          <w:shd w:val="pct10" w:color="auto" w:fill="FFFFFF"/>
        </w:rPr>
        <w:drawing>
          <wp:inline distT="0" distB="0" distL="0" distR="0">
            <wp:extent cx="4541520" cy="2800985"/>
            <wp:effectExtent l="4445" t="4445" r="6985" b="1397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outlineLvl w:val="1"/>
        <w:rPr>
          <w:rStyle w:val="26"/>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24"/>
      <w:bookmarkEnd w:id="25"/>
    </w:p>
    <w:p>
      <w:pPr>
        <w:spacing w:line="600" w:lineRule="exact"/>
        <w:ind w:firstLine="641"/>
        <w:rPr>
          <w:rFonts w:hint="eastAsia" w:ascii="仿宋_GB2312" w:hAnsi="仿宋" w:eastAsia="仿宋_GB2312"/>
          <w:sz w:val="32"/>
          <w:szCs w:val="32"/>
        </w:rPr>
      </w:pPr>
      <w:r>
        <w:rPr>
          <w:rFonts w:hint="eastAsia" w:ascii="仿宋_GB2312" w:hAnsi="仿宋" w:eastAsia="仿宋_GB2312"/>
          <w:sz w:val="32"/>
          <w:szCs w:val="32"/>
        </w:rPr>
        <w:t>2021年财政拨款收、支总计237.9万元。与2020年相比收入16.34万元，下降6%，与2020年相比支出减少16.34万元，下降6%，主要变动原因是</w:t>
      </w:r>
      <w:r>
        <w:rPr>
          <w:rFonts w:hint="eastAsia" w:ascii="仿宋_GB2312" w:hAnsi="仿宋" w:eastAsia="仿宋_GB2312"/>
          <w:sz w:val="32"/>
          <w:szCs w:val="32"/>
          <w:lang w:eastAsia="zh-CN"/>
        </w:rPr>
        <w:t>项目支出</w:t>
      </w:r>
      <w:r>
        <w:rPr>
          <w:rFonts w:hint="eastAsia" w:ascii="仿宋_GB2312" w:hAnsi="仿宋" w:eastAsia="仿宋_GB2312"/>
          <w:sz w:val="32"/>
          <w:szCs w:val="32"/>
        </w:rPr>
        <w:t>减少。</w:t>
      </w:r>
    </w:p>
    <w:p>
      <w:pPr>
        <w:pStyle w:val="2"/>
      </w:pPr>
    </w:p>
    <w:p>
      <w:pPr>
        <w:pStyle w:val="2"/>
        <w:spacing w:before="93"/>
      </w:pPr>
      <w:r>
        <w:drawing>
          <wp:inline distT="0" distB="0" distL="0" distR="0">
            <wp:extent cx="4438650" cy="2743200"/>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firstLineChars="200"/>
        <w:outlineLvl w:val="1"/>
        <w:rPr>
          <w:rStyle w:val="26"/>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26"/>
      <w:bookmarkEnd w:id="27"/>
    </w:p>
    <w:p>
      <w:pPr>
        <w:spacing w:line="600" w:lineRule="exact"/>
        <w:ind w:firstLine="642" w:firstLineChars="200"/>
        <w:outlineLvl w:val="2"/>
        <w:rPr>
          <w:rFonts w:ascii="仿宋_GB2312" w:hAnsi="仿宋" w:eastAsia="仿宋_GB2312"/>
          <w:b/>
          <w:sz w:val="32"/>
          <w:szCs w:val="32"/>
        </w:rPr>
      </w:pPr>
      <w:bookmarkStart w:id="28" w:name="_Toc15377210"/>
      <w:r>
        <w:rPr>
          <w:rFonts w:hint="eastAsia" w:ascii="仿宋_GB2312" w:hAnsi="仿宋" w:eastAsia="仿宋_GB2312"/>
          <w:b/>
          <w:sz w:val="32"/>
          <w:szCs w:val="32"/>
        </w:rPr>
        <w:t>（一）一般公共预算财政拨款支出决算总体情况</w:t>
      </w:r>
      <w:bookmarkEnd w:id="28"/>
    </w:p>
    <w:p>
      <w:pPr>
        <w:spacing w:line="600" w:lineRule="exact"/>
        <w:ind w:firstLine="640"/>
        <w:rPr>
          <w:rFonts w:ascii="仿宋_GB2312" w:hAnsi="仿宋" w:eastAsia="仿宋_GB2312"/>
          <w:sz w:val="32"/>
          <w:szCs w:val="32"/>
        </w:rPr>
      </w:pPr>
      <w:r>
        <w:rPr>
          <w:rFonts w:hint="eastAsia" w:ascii="仿宋_GB2312" w:hAnsi="仿宋" w:eastAsia="仿宋_GB2312"/>
          <w:sz w:val="32"/>
          <w:szCs w:val="32"/>
        </w:rPr>
        <w:t>2021年一般公共预算财政拨款支出210.19万元，占本年支出合计的88.35%。与2020年相比，一般公共预算财政拨款支出减少17.22万元，下降7.57%。主要变动原因是</w:t>
      </w:r>
      <w:r>
        <w:rPr>
          <w:rFonts w:hint="eastAsia" w:ascii="仿宋_GB2312" w:hAnsi="仿宋" w:eastAsia="仿宋_GB2312"/>
          <w:sz w:val="32"/>
          <w:szCs w:val="32"/>
          <w:lang w:eastAsia="zh-CN"/>
        </w:rPr>
        <w:t>项目支出</w:t>
      </w:r>
      <w:r>
        <w:rPr>
          <w:rFonts w:hint="eastAsia" w:ascii="仿宋_GB2312" w:hAnsi="仿宋" w:eastAsia="仿宋_GB2312"/>
          <w:sz w:val="32"/>
          <w:szCs w:val="32"/>
        </w:rPr>
        <w:t>减少。</w:t>
      </w:r>
    </w:p>
    <w:p>
      <w:pPr>
        <w:ind w:firstLine="640" w:firstLineChars="200"/>
        <w:rPr>
          <w:rFonts w:ascii="仿宋" w:hAnsi="仿宋" w:eastAsia="仿宋"/>
          <w:sz w:val="32"/>
          <w:szCs w:val="32"/>
        </w:rPr>
      </w:pPr>
      <w:r>
        <w:rPr>
          <w:rFonts w:hint="eastAsia" w:ascii="仿宋" w:hAnsi="仿宋" w:eastAsia="仿宋"/>
          <w:sz w:val="32"/>
          <w:szCs w:val="32"/>
        </w:rPr>
        <w:drawing>
          <wp:inline distT="0" distB="0" distL="0" distR="0">
            <wp:extent cx="5274310" cy="3076575"/>
            <wp:effectExtent l="19050" t="0" r="2159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（图5：一般公共预算财政拨款支出决算变动情况）（柱状图）</w:t>
      </w:r>
    </w:p>
    <w:p>
      <w:pPr>
        <w:spacing w:line="600" w:lineRule="exact"/>
        <w:ind w:firstLine="642" w:firstLineChars="200"/>
        <w:outlineLvl w:val="2"/>
        <w:rPr>
          <w:rFonts w:ascii="仿宋_GB2312" w:hAnsi="仿宋" w:eastAsia="仿宋_GB2312"/>
          <w:b/>
          <w:sz w:val="32"/>
          <w:szCs w:val="32"/>
        </w:rPr>
      </w:pPr>
      <w:bookmarkStart w:id="29" w:name="_Toc15377211"/>
      <w:r>
        <w:rPr>
          <w:rFonts w:hint="eastAsia" w:ascii="仿宋_GB2312" w:hAnsi="仿宋" w:eastAsia="仿宋_GB2312"/>
          <w:b/>
          <w:sz w:val="32"/>
          <w:szCs w:val="32"/>
        </w:rPr>
        <w:t>（二）一般公共预算财政拨款支出决算结构情况</w:t>
      </w:r>
      <w:bookmarkEnd w:id="29"/>
    </w:p>
    <w:p>
      <w:pPr>
        <w:spacing w:line="600" w:lineRule="exact"/>
        <w:ind w:firstLine="641"/>
        <w:rPr>
          <w:rFonts w:ascii="仿宋_GB2312" w:hAnsi="仿宋" w:eastAsia="仿宋_GB2312"/>
          <w:b/>
          <w:sz w:val="32"/>
          <w:szCs w:val="32"/>
        </w:rPr>
      </w:pPr>
      <w:r>
        <w:rPr>
          <w:rFonts w:hint="eastAsia" w:ascii="仿宋_GB2312" w:hAnsi="仿宋" w:eastAsia="仿宋_GB2312"/>
          <w:sz w:val="32"/>
          <w:szCs w:val="32"/>
        </w:rPr>
        <w:t>2021年一般公共预算财政拨款支出210.19万元，主要用于以下方面:</w:t>
      </w:r>
      <w:r>
        <w:rPr>
          <w:rFonts w:hint="eastAsia" w:ascii="仿宋_GB2312" w:hAnsi="仿宋" w:eastAsia="仿宋_GB2312"/>
          <w:b/>
          <w:sz w:val="32"/>
          <w:szCs w:val="32"/>
        </w:rPr>
        <w:t>一般公共服务（类）</w:t>
      </w:r>
      <w:r>
        <w:rPr>
          <w:rFonts w:hint="eastAsia" w:ascii="仿宋_GB2312" w:hAnsi="仿宋" w:eastAsia="仿宋_GB2312"/>
          <w:sz w:val="32"/>
          <w:szCs w:val="32"/>
        </w:rPr>
        <w:t>支出0万元，占0%；</w:t>
      </w:r>
      <w:r>
        <w:rPr>
          <w:rFonts w:hint="eastAsia" w:ascii="仿宋_GB2312" w:hAnsi="仿宋" w:eastAsia="仿宋_GB2312"/>
          <w:b/>
          <w:sz w:val="32"/>
          <w:szCs w:val="32"/>
        </w:rPr>
        <w:t>教育支出（类）</w:t>
      </w:r>
      <w:r>
        <w:rPr>
          <w:rFonts w:hint="eastAsia" w:ascii="仿宋_GB2312" w:hAnsi="仿宋" w:eastAsia="仿宋_GB2312"/>
          <w:sz w:val="32"/>
          <w:szCs w:val="32"/>
        </w:rPr>
        <w:t>0万元，占0%；</w:t>
      </w:r>
      <w:r>
        <w:rPr>
          <w:rFonts w:hint="eastAsia" w:ascii="仿宋_GB2312" w:hAnsi="仿宋" w:eastAsia="仿宋_GB2312"/>
          <w:b/>
          <w:sz w:val="32"/>
          <w:szCs w:val="32"/>
        </w:rPr>
        <w:t>科学技术（类）</w:t>
      </w:r>
      <w:r>
        <w:rPr>
          <w:rFonts w:hint="eastAsia" w:ascii="仿宋_GB2312" w:hAnsi="仿宋" w:eastAsia="仿宋_GB2312"/>
          <w:sz w:val="32"/>
          <w:szCs w:val="32"/>
        </w:rPr>
        <w:t>支出158.11万元，占74.86%；</w:t>
      </w:r>
      <w:r>
        <w:rPr>
          <w:rFonts w:hint="eastAsia" w:ascii="仿宋_GB2312" w:hAnsi="仿宋" w:eastAsia="仿宋_GB2312"/>
          <w:b/>
          <w:bCs/>
          <w:sz w:val="32"/>
          <w:szCs w:val="32"/>
        </w:rPr>
        <w:t>文化旅游体育与传媒（类）支出0万元，占0%</w:t>
      </w:r>
      <w:r>
        <w:rPr>
          <w:rFonts w:hint="eastAsia" w:ascii="仿宋_GB2312" w:hAnsi="仿宋" w:eastAsia="仿宋_GB2312"/>
          <w:sz w:val="32"/>
          <w:szCs w:val="32"/>
        </w:rPr>
        <w:t>；</w:t>
      </w:r>
      <w:r>
        <w:rPr>
          <w:rFonts w:hint="eastAsia" w:ascii="仿宋_GB2312" w:hAnsi="仿宋" w:eastAsia="仿宋_GB2312"/>
          <w:b/>
          <w:sz w:val="32"/>
          <w:szCs w:val="32"/>
        </w:rPr>
        <w:t>社会保障和就业（类）</w:t>
      </w:r>
      <w:r>
        <w:rPr>
          <w:rFonts w:hint="eastAsia" w:ascii="仿宋_GB2312" w:hAnsi="仿宋" w:eastAsia="仿宋_GB2312"/>
          <w:sz w:val="32"/>
          <w:szCs w:val="32"/>
        </w:rPr>
        <w:t>支出40.28万元，占19.44%；</w:t>
      </w:r>
      <w:r>
        <w:rPr>
          <w:rFonts w:hint="eastAsia" w:ascii="仿宋_GB2312" w:hAnsi="仿宋" w:eastAsia="仿宋_GB2312"/>
          <w:b/>
          <w:bCs/>
          <w:sz w:val="32"/>
          <w:szCs w:val="32"/>
        </w:rPr>
        <w:t>卫生健康支出</w:t>
      </w:r>
      <w:r>
        <w:rPr>
          <w:rFonts w:hint="eastAsia" w:ascii="仿宋_GB2312" w:hAnsi="仿宋" w:eastAsia="仿宋_GB2312"/>
          <w:sz w:val="32"/>
          <w:szCs w:val="32"/>
        </w:rPr>
        <w:t>0万元，占0%；住房保障支出11.80万元，占5.70%。</w:t>
      </w:r>
    </w:p>
    <w:p>
      <w:pPr>
        <w:pStyle w:val="2"/>
        <w:spacing w:before="93"/>
      </w:pPr>
      <w:r>
        <w:drawing>
          <wp:inline distT="0" distB="0" distL="0" distR="0">
            <wp:extent cx="5274310" cy="3076575"/>
            <wp:effectExtent l="19050" t="0" r="2159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rPr>
          <w:rFonts w:ascii="仿宋" w:hAnsi="仿宋" w:eastAsia="仿宋"/>
          <w:sz w:val="32"/>
          <w:szCs w:val="32"/>
        </w:rPr>
      </w:pP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（图6：一般公共预算财政拨款支出决算结构）（饼状图）</w:t>
      </w:r>
    </w:p>
    <w:p>
      <w:pPr>
        <w:spacing w:line="600" w:lineRule="exact"/>
        <w:ind w:firstLine="642" w:firstLineChars="200"/>
        <w:outlineLvl w:val="2"/>
        <w:rPr>
          <w:rFonts w:ascii="仿宋_GB2312" w:hAnsi="仿宋" w:eastAsia="仿宋_GB2312"/>
          <w:b/>
          <w:sz w:val="32"/>
          <w:szCs w:val="32"/>
        </w:rPr>
      </w:pPr>
      <w:bookmarkStart w:id="30" w:name="_Toc15377212"/>
      <w:r>
        <w:rPr>
          <w:rFonts w:hint="eastAsia" w:ascii="仿宋_GB2312" w:hAnsi="仿宋" w:eastAsia="仿宋_GB2312"/>
          <w:b/>
          <w:sz w:val="32"/>
          <w:szCs w:val="32"/>
        </w:rPr>
        <w:t>（三）一般公共预算财政拨款支出决算具体情况</w:t>
      </w:r>
      <w:bookmarkEnd w:id="30"/>
    </w:p>
    <w:p>
      <w:pPr>
        <w:spacing w:line="600" w:lineRule="exact"/>
        <w:ind w:firstLine="642" w:firstLineChars="200"/>
        <w:outlineLvl w:val="2"/>
        <w:rPr>
          <w:rFonts w:ascii="仿宋_GB2312" w:hAnsi="仿宋" w:eastAsia="仿宋_GB2312"/>
          <w:sz w:val="32"/>
          <w:szCs w:val="32"/>
        </w:rPr>
      </w:pPr>
      <w:bookmarkStart w:id="31" w:name="_Toc15377213"/>
      <w:bookmarkStart w:id="32" w:name="_Toc15377444"/>
      <w:bookmarkStart w:id="33" w:name="_Toc15378460"/>
      <w:r>
        <w:rPr>
          <w:rFonts w:hint="eastAsia" w:ascii="仿宋_GB2312" w:hAnsi="仿宋" w:eastAsia="仿宋_GB2312"/>
          <w:b/>
          <w:sz w:val="32"/>
          <w:szCs w:val="32"/>
        </w:rPr>
        <w:t>2021年一般公共预算支出决算数为210.19</w:t>
      </w:r>
      <w:r>
        <w:rPr>
          <w:rFonts w:hint="eastAsia" w:ascii="仿宋_GB2312" w:hAnsi="仿宋" w:eastAsia="仿宋_GB2312"/>
          <w:sz w:val="32"/>
          <w:szCs w:val="32"/>
        </w:rPr>
        <w:t>，</w:t>
      </w:r>
      <w:r>
        <w:rPr>
          <w:rStyle w:val="15"/>
          <w:rFonts w:hint="eastAsia" w:ascii="仿宋_GB2312" w:hAnsi="仿宋" w:eastAsia="仿宋_GB2312"/>
          <w:bCs/>
          <w:sz w:val="32"/>
          <w:szCs w:val="32"/>
        </w:rPr>
        <w:t>完成预算100%。其中：</w:t>
      </w:r>
      <w:bookmarkEnd w:id="31"/>
      <w:bookmarkEnd w:id="32"/>
      <w:bookmarkEnd w:id="33"/>
    </w:p>
    <w:p>
      <w:pPr>
        <w:spacing w:line="600" w:lineRule="exact"/>
        <w:ind w:firstLine="642" w:firstLineChars="200"/>
        <w:rPr>
          <w:rFonts w:ascii="仿宋_GB2312" w:hAnsi="仿宋" w:eastAsia="仿宋_GB2312"/>
          <w:b/>
          <w:sz w:val="32"/>
          <w:szCs w:val="32"/>
        </w:rPr>
      </w:pPr>
      <w:r>
        <w:rPr>
          <w:rStyle w:val="15"/>
          <w:rFonts w:hint="eastAsia" w:ascii="仿宋_GB2312" w:hAnsi="仿宋" w:eastAsia="仿宋_GB2312"/>
          <w:bCs/>
          <w:sz w:val="32"/>
          <w:szCs w:val="32"/>
        </w:rPr>
        <w:t>1.科学技术（类）科技条件与服务（款）机构运行（项）:</w:t>
      </w:r>
      <w:r>
        <w:rPr>
          <w:rStyle w:val="15"/>
          <w:rFonts w:hint="eastAsia" w:ascii="仿宋_GB2312" w:hAnsi="仿宋" w:eastAsia="仿宋_GB2312"/>
          <w:b w:val="0"/>
          <w:bCs/>
          <w:sz w:val="32"/>
          <w:szCs w:val="32"/>
        </w:rPr>
        <w:t>支出决算为148.05万元，完成预算100%；</w:t>
      </w:r>
      <w:r>
        <w:rPr>
          <w:rStyle w:val="15"/>
          <w:rFonts w:hint="eastAsia" w:ascii="仿宋_GB2312" w:hAnsi="仿宋" w:eastAsia="仿宋_GB2312"/>
          <w:bCs/>
          <w:sz w:val="32"/>
          <w:szCs w:val="32"/>
        </w:rPr>
        <w:t>科技条件与服务（款）其他科技条件与服务支出（项）:</w:t>
      </w:r>
      <w:r>
        <w:rPr>
          <w:rStyle w:val="15"/>
          <w:rFonts w:hint="eastAsia" w:ascii="仿宋_GB2312" w:hAnsi="仿宋" w:eastAsia="仿宋_GB2312"/>
          <w:b w:val="0"/>
          <w:bCs/>
          <w:sz w:val="32"/>
          <w:szCs w:val="32"/>
        </w:rPr>
        <w:t>支出决算为4.5万元，完成预算100%；</w:t>
      </w:r>
      <w:r>
        <w:rPr>
          <w:rStyle w:val="15"/>
          <w:rFonts w:hint="eastAsia" w:ascii="仿宋_GB2312" w:hAnsi="仿宋" w:eastAsia="仿宋_GB2312"/>
          <w:bCs/>
          <w:sz w:val="32"/>
          <w:szCs w:val="32"/>
        </w:rPr>
        <w:t>其他科学技术支出（款）其他科学技术支出（项）:</w:t>
      </w:r>
      <w:r>
        <w:rPr>
          <w:rStyle w:val="15"/>
          <w:rFonts w:hint="eastAsia" w:ascii="仿宋_GB2312" w:hAnsi="仿宋" w:eastAsia="仿宋_GB2312"/>
          <w:b w:val="0"/>
          <w:bCs/>
          <w:sz w:val="32"/>
          <w:szCs w:val="32"/>
        </w:rPr>
        <w:t>支出决算为5.56万元，完成预算100%，</w:t>
      </w:r>
      <w:r>
        <w:rPr>
          <w:rStyle w:val="15"/>
          <w:rFonts w:eastAsia="仿宋"/>
          <w:b w:val="0"/>
          <w:bCs/>
          <w:color w:val="000000"/>
          <w:sz w:val="32"/>
          <w:szCs w:val="32"/>
        </w:rPr>
        <w:t>决算数</w:t>
      </w:r>
      <w:r>
        <w:rPr>
          <w:rStyle w:val="15"/>
          <w:rFonts w:hint="eastAsia" w:eastAsia="仿宋"/>
          <w:b w:val="0"/>
          <w:bCs/>
          <w:color w:val="000000"/>
          <w:sz w:val="32"/>
          <w:szCs w:val="32"/>
        </w:rPr>
        <w:t>与</w:t>
      </w:r>
      <w:r>
        <w:rPr>
          <w:rStyle w:val="15"/>
          <w:rFonts w:eastAsia="仿宋"/>
          <w:b w:val="0"/>
          <w:bCs/>
          <w:color w:val="000000"/>
          <w:sz w:val="32"/>
          <w:szCs w:val="32"/>
        </w:rPr>
        <w:t>预算数</w:t>
      </w:r>
      <w:r>
        <w:rPr>
          <w:rStyle w:val="15"/>
          <w:rFonts w:hint="eastAsia" w:eastAsia="仿宋"/>
          <w:b w:val="0"/>
          <w:bCs/>
          <w:color w:val="000000"/>
          <w:sz w:val="32"/>
          <w:szCs w:val="32"/>
        </w:rPr>
        <w:t>持</w:t>
      </w:r>
      <w:r>
        <w:rPr>
          <w:rStyle w:val="15"/>
          <w:rFonts w:hint="eastAsia" w:eastAsia="仿宋" w:asciiTheme="minorHAnsi" w:hAnsiTheme="minorHAnsi" w:cstheme="minorBidi"/>
          <w:b w:val="0"/>
          <w:bCs/>
          <w:color w:val="000000"/>
          <w:sz w:val="32"/>
          <w:szCs w:val="32"/>
        </w:rPr>
        <w:t>平</w:t>
      </w:r>
      <w:r>
        <w:rPr>
          <w:rStyle w:val="15"/>
          <w:rFonts w:hint="eastAsia" w:ascii="仿宋_GB2312" w:hAnsi="仿宋" w:eastAsia="仿宋_GB2312"/>
          <w:b w:val="0"/>
          <w:bCs/>
          <w:sz w:val="32"/>
          <w:szCs w:val="32"/>
        </w:rPr>
        <w:t>。</w:t>
      </w:r>
    </w:p>
    <w:p>
      <w:pPr>
        <w:spacing w:line="600" w:lineRule="exact"/>
        <w:ind w:firstLine="642" w:firstLineChars="200"/>
        <w:rPr>
          <w:rFonts w:ascii="仿宋_GB2312" w:hAnsi="仿宋" w:eastAsia="仿宋_GB2312"/>
          <w:b/>
          <w:sz w:val="32"/>
          <w:szCs w:val="32"/>
        </w:rPr>
      </w:pPr>
      <w:r>
        <w:rPr>
          <w:rStyle w:val="15"/>
          <w:rFonts w:hint="eastAsia" w:ascii="仿宋_GB2312" w:hAnsi="仿宋" w:eastAsia="仿宋_GB2312"/>
          <w:bCs/>
          <w:sz w:val="32"/>
          <w:szCs w:val="32"/>
        </w:rPr>
        <w:t>2.社会保障和就业（类）行政事业单位养老支出（款）事业单位离退休（项）：</w:t>
      </w:r>
      <w:r>
        <w:rPr>
          <w:rStyle w:val="15"/>
          <w:rFonts w:hint="eastAsia" w:ascii="仿宋_GB2312" w:hAnsi="仿宋" w:eastAsia="仿宋_GB2312"/>
          <w:b w:val="0"/>
          <w:bCs/>
          <w:sz w:val="32"/>
          <w:szCs w:val="32"/>
        </w:rPr>
        <w:t>支出决算为27.91万元，完成预算100%；</w:t>
      </w:r>
      <w:r>
        <w:rPr>
          <w:rStyle w:val="15"/>
          <w:rFonts w:hint="eastAsia" w:ascii="仿宋_GB2312" w:hAnsi="仿宋" w:eastAsia="仿宋_GB2312"/>
          <w:bCs/>
          <w:sz w:val="32"/>
          <w:szCs w:val="32"/>
        </w:rPr>
        <w:t>行政事业单位养老支出（款）机关事业单位基本养老保险缴费支出（项）:</w:t>
      </w:r>
      <w:r>
        <w:rPr>
          <w:rStyle w:val="15"/>
          <w:rFonts w:hint="eastAsia" w:ascii="仿宋_GB2312" w:hAnsi="仿宋" w:eastAsia="仿宋_GB2312"/>
          <w:b w:val="0"/>
          <w:bCs/>
          <w:sz w:val="32"/>
          <w:szCs w:val="32"/>
        </w:rPr>
        <w:t>支出决算为12.37万元，完成预算100%，</w:t>
      </w:r>
      <w:r>
        <w:rPr>
          <w:rStyle w:val="15"/>
          <w:rFonts w:eastAsia="仿宋"/>
          <w:b w:val="0"/>
          <w:bCs/>
          <w:color w:val="000000"/>
          <w:sz w:val="32"/>
          <w:szCs w:val="32"/>
        </w:rPr>
        <w:t>决算数</w:t>
      </w:r>
      <w:r>
        <w:rPr>
          <w:rStyle w:val="15"/>
          <w:rFonts w:hint="eastAsia" w:eastAsia="仿宋"/>
          <w:b w:val="0"/>
          <w:bCs/>
          <w:color w:val="000000"/>
          <w:sz w:val="32"/>
          <w:szCs w:val="32"/>
        </w:rPr>
        <w:t>与</w:t>
      </w:r>
      <w:r>
        <w:rPr>
          <w:rStyle w:val="15"/>
          <w:rFonts w:eastAsia="仿宋"/>
          <w:b w:val="0"/>
          <w:bCs/>
          <w:color w:val="000000"/>
          <w:sz w:val="32"/>
          <w:szCs w:val="32"/>
        </w:rPr>
        <w:t>预算数</w:t>
      </w:r>
      <w:r>
        <w:rPr>
          <w:rStyle w:val="15"/>
          <w:rFonts w:hint="eastAsia" w:eastAsia="仿宋"/>
          <w:b w:val="0"/>
          <w:bCs/>
          <w:color w:val="000000"/>
          <w:sz w:val="32"/>
          <w:szCs w:val="32"/>
        </w:rPr>
        <w:t>持</w:t>
      </w:r>
      <w:r>
        <w:rPr>
          <w:rStyle w:val="15"/>
          <w:rFonts w:hint="eastAsia" w:eastAsia="仿宋" w:asciiTheme="minorHAnsi" w:hAnsiTheme="minorHAnsi" w:cstheme="minorBidi"/>
          <w:b w:val="0"/>
          <w:bCs/>
          <w:color w:val="000000"/>
          <w:sz w:val="32"/>
          <w:szCs w:val="32"/>
        </w:rPr>
        <w:t>平</w:t>
      </w:r>
      <w:r>
        <w:rPr>
          <w:rStyle w:val="15"/>
          <w:rFonts w:hint="eastAsia" w:ascii="仿宋_GB2312" w:hAnsi="仿宋" w:eastAsia="仿宋_GB2312"/>
          <w:b w:val="0"/>
          <w:bCs/>
          <w:sz w:val="32"/>
          <w:szCs w:val="32"/>
        </w:rPr>
        <w:t>。</w:t>
      </w:r>
    </w:p>
    <w:p>
      <w:pPr>
        <w:spacing w:line="600" w:lineRule="exact"/>
        <w:ind w:firstLine="642" w:firstLineChars="200"/>
        <w:rPr>
          <w:rStyle w:val="15"/>
          <w:b w:val="0"/>
          <w:sz w:val="32"/>
          <w:szCs w:val="32"/>
        </w:rPr>
      </w:pPr>
      <w:r>
        <w:rPr>
          <w:rStyle w:val="15"/>
          <w:rFonts w:hint="eastAsia" w:ascii="仿宋_GB2312" w:hAnsi="仿宋" w:eastAsia="仿宋_GB2312"/>
          <w:bCs/>
          <w:sz w:val="32"/>
          <w:szCs w:val="32"/>
        </w:rPr>
        <w:t>3</w:t>
      </w:r>
      <w:r>
        <w:rPr>
          <w:rFonts w:hint="eastAsia" w:ascii="仿宋_GB2312" w:hAnsi="仿宋" w:eastAsia="仿宋_GB2312"/>
          <w:b/>
          <w:bCs/>
          <w:sz w:val="32"/>
          <w:szCs w:val="32"/>
        </w:rPr>
        <w:t>.住房保障支出（类）住房改革支出（款）住房公积金（项）：</w:t>
      </w:r>
      <w:r>
        <w:rPr>
          <w:rStyle w:val="15"/>
          <w:rFonts w:hint="eastAsia" w:ascii="仿宋_GB2312" w:hAnsi="仿宋" w:eastAsia="仿宋_GB2312"/>
          <w:b w:val="0"/>
          <w:bCs/>
          <w:sz w:val="32"/>
          <w:szCs w:val="32"/>
        </w:rPr>
        <w:t>支出决算为11.80.万元，完成预算100%，</w:t>
      </w:r>
      <w:r>
        <w:rPr>
          <w:rStyle w:val="15"/>
          <w:rFonts w:eastAsia="仿宋"/>
          <w:b w:val="0"/>
          <w:bCs/>
          <w:color w:val="000000"/>
          <w:sz w:val="32"/>
          <w:szCs w:val="32"/>
        </w:rPr>
        <w:t>决算数</w:t>
      </w:r>
      <w:r>
        <w:rPr>
          <w:rStyle w:val="15"/>
          <w:rFonts w:hint="eastAsia" w:eastAsia="仿宋"/>
          <w:b w:val="0"/>
          <w:bCs/>
          <w:color w:val="000000"/>
          <w:sz w:val="32"/>
          <w:szCs w:val="32"/>
        </w:rPr>
        <w:t>与</w:t>
      </w:r>
      <w:r>
        <w:rPr>
          <w:rStyle w:val="15"/>
          <w:rFonts w:eastAsia="仿宋"/>
          <w:b w:val="0"/>
          <w:bCs/>
          <w:color w:val="000000"/>
          <w:sz w:val="32"/>
          <w:szCs w:val="32"/>
        </w:rPr>
        <w:t>预算数</w:t>
      </w:r>
      <w:r>
        <w:rPr>
          <w:rStyle w:val="15"/>
          <w:rFonts w:hint="eastAsia" w:eastAsia="仿宋"/>
          <w:b w:val="0"/>
          <w:bCs/>
          <w:color w:val="000000"/>
          <w:sz w:val="32"/>
          <w:szCs w:val="32"/>
        </w:rPr>
        <w:t>持</w:t>
      </w:r>
      <w:r>
        <w:rPr>
          <w:rStyle w:val="15"/>
          <w:rFonts w:hint="eastAsia" w:eastAsia="仿宋" w:asciiTheme="minorHAnsi" w:hAnsiTheme="minorHAnsi" w:cstheme="minorBidi"/>
          <w:b w:val="0"/>
          <w:bCs/>
          <w:color w:val="000000"/>
          <w:sz w:val="32"/>
          <w:szCs w:val="32"/>
        </w:rPr>
        <w:t>平</w:t>
      </w:r>
      <w:r>
        <w:rPr>
          <w:rStyle w:val="15"/>
          <w:rFonts w:hint="eastAsia" w:ascii="仿宋_GB2312" w:hAnsi="仿宋" w:eastAsia="仿宋_GB2312"/>
          <w:b w:val="0"/>
          <w:bCs/>
          <w:sz w:val="32"/>
          <w:szCs w:val="32"/>
        </w:rPr>
        <w:t>。</w:t>
      </w:r>
    </w:p>
    <w:p>
      <w:pPr>
        <w:tabs>
          <w:tab w:val="right" w:pos="8306"/>
        </w:tabs>
        <w:spacing w:line="600" w:lineRule="exact"/>
        <w:ind w:firstLine="640"/>
        <w:outlineLvl w:val="1"/>
        <w:rPr>
          <w:rStyle w:val="26"/>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34"/>
      <w:bookmarkEnd w:id="35"/>
      <w:r>
        <w:rPr>
          <w:rStyle w:val="26"/>
          <w:rFonts w:ascii="黑体" w:hAnsi="黑体" w:eastAsia="黑体"/>
          <w:b w:val="0"/>
        </w:rPr>
        <w:tab/>
      </w:r>
    </w:p>
    <w:p>
      <w:pPr>
        <w:spacing w:line="600" w:lineRule="exact"/>
        <w:ind w:firstLine="646"/>
        <w:rPr>
          <w:rFonts w:ascii="仿宋_GB2312" w:hAnsi="仿宋" w:eastAsia="仿宋_GB2312"/>
          <w:sz w:val="32"/>
          <w:szCs w:val="32"/>
        </w:rPr>
      </w:pPr>
      <w:r>
        <w:rPr>
          <w:rFonts w:hint="eastAsia" w:ascii="仿宋_GB2312" w:hAnsi="仿宋" w:eastAsia="仿宋_GB2312"/>
          <w:sz w:val="32"/>
          <w:szCs w:val="32"/>
        </w:rPr>
        <w:t>2021年一般公共预算财政拨款基本支出204.62万元，其中：</w:t>
      </w:r>
    </w:p>
    <w:p>
      <w:pPr>
        <w:spacing w:line="600" w:lineRule="exact"/>
        <w:ind w:firstLine="646"/>
        <w:rPr>
          <w:rFonts w:ascii="仿宋_GB2312" w:hAnsi="仿宋" w:eastAsia="仿宋_GB2312"/>
          <w:sz w:val="32"/>
          <w:szCs w:val="32"/>
        </w:rPr>
      </w:pPr>
      <w:r>
        <w:rPr>
          <w:rFonts w:hint="eastAsia" w:ascii="仿宋_GB2312" w:hAnsi="仿宋" w:eastAsia="仿宋_GB2312"/>
          <w:sz w:val="32"/>
          <w:szCs w:val="32"/>
        </w:rPr>
        <w:t>人员经费184.60万元，主要包括：基本工资</w:t>
      </w:r>
      <w:r>
        <w:rPr>
          <w:rFonts w:ascii="仿宋_GB2312" w:hAnsi="仿宋" w:eastAsia="仿宋_GB2312"/>
          <w:sz w:val="32"/>
          <w:szCs w:val="32"/>
        </w:rPr>
        <w:t>40.3万元</w:t>
      </w:r>
      <w:r>
        <w:rPr>
          <w:rFonts w:hint="eastAsia" w:ascii="仿宋_GB2312" w:hAnsi="仿宋" w:eastAsia="仿宋_GB2312"/>
          <w:sz w:val="32"/>
          <w:szCs w:val="32"/>
        </w:rPr>
        <w:t>、津贴补贴</w:t>
      </w:r>
      <w:r>
        <w:rPr>
          <w:rFonts w:ascii="仿宋_GB2312" w:hAnsi="仿宋" w:eastAsia="仿宋_GB2312"/>
          <w:sz w:val="32"/>
          <w:szCs w:val="32"/>
        </w:rPr>
        <w:t>7.45万元</w:t>
      </w:r>
      <w:r>
        <w:rPr>
          <w:rFonts w:hint="eastAsia" w:ascii="仿宋_GB2312" w:hAnsi="仿宋" w:eastAsia="仿宋_GB2312"/>
          <w:sz w:val="32"/>
          <w:szCs w:val="32"/>
        </w:rPr>
        <w:t>、奖金0万元、伙食补助费0万元、绩效工资</w:t>
      </w:r>
      <w:r>
        <w:rPr>
          <w:rFonts w:ascii="仿宋_GB2312" w:hAnsi="仿宋" w:eastAsia="仿宋_GB2312"/>
          <w:sz w:val="32"/>
          <w:szCs w:val="32"/>
        </w:rPr>
        <w:t>70.82万元</w:t>
      </w:r>
      <w:r>
        <w:rPr>
          <w:rFonts w:hint="eastAsia" w:ascii="仿宋_GB2312" w:hAnsi="仿宋" w:eastAsia="仿宋_GB2312"/>
          <w:sz w:val="32"/>
          <w:szCs w:val="32"/>
        </w:rPr>
        <w:t>、机关事业单位基本养老保险缴费</w:t>
      </w:r>
      <w:r>
        <w:rPr>
          <w:rFonts w:ascii="仿宋_GB2312" w:hAnsi="仿宋" w:eastAsia="仿宋_GB2312"/>
          <w:sz w:val="32"/>
          <w:szCs w:val="32"/>
        </w:rPr>
        <w:t>12.37万元</w:t>
      </w:r>
      <w:r>
        <w:rPr>
          <w:rFonts w:hint="eastAsia" w:ascii="仿宋_GB2312" w:hAnsi="仿宋" w:eastAsia="仿宋_GB2312"/>
          <w:sz w:val="32"/>
          <w:szCs w:val="32"/>
        </w:rPr>
        <w:t>、职业年金缴费0万元、职工基本医疗保险缴费7.75</w:t>
      </w:r>
      <w:r>
        <w:rPr>
          <w:rFonts w:ascii="仿宋_GB2312" w:hAnsi="仿宋" w:eastAsia="仿宋_GB2312"/>
          <w:sz w:val="32"/>
          <w:szCs w:val="32"/>
        </w:rPr>
        <w:t>万元</w:t>
      </w:r>
      <w:r>
        <w:rPr>
          <w:rFonts w:hint="eastAsia" w:ascii="仿宋_GB2312" w:hAnsi="仿宋" w:eastAsia="仿宋_GB2312"/>
          <w:sz w:val="32"/>
          <w:szCs w:val="32"/>
        </w:rPr>
        <w:t>、公务员医疗补助缴费</w:t>
      </w:r>
      <w:r>
        <w:rPr>
          <w:rFonts w:ascii="仿宋_GB2312" w:hAnsi="仿宋" w:eastAsia="仿宋_GB2312"/>
          <w:sz w:val="32"/>
          <w:szCs w:val="32"/>
        </w:rPr>
        <w:t>0.89万元</w:t>
      </w:r>
      <w:r>
        <w:rPr>
          <w:rFonts w:hint="eastAsia" w:ascii="仿宋_GB2312" w:hAnsi="仿宋" w:eastAsia="仿宋_GB2312"/>
          <w:sz w:val="32"/>
          <w:szCs w:val="32"/>
        </w:rPr>
        <w:t>、其他社会保障缴费</w:t>
      </w:r>
      <w:r>
        <w:rPr>
          <w:rFonts w:ascii="仿宋_GB2312" w:hAnsi="仿宋" w:eastAsia="仿宋_GB2312"/>
          <w:sz w:val="32"/>
          <w:szCs w:val="32"/>
        </w:rPr>
        <w:t>1.41万元</w:t>
      </w:r>
      <w:r>
        <w:rPr>
          <w:rFonts w:hint="eastAsia" w:ascii="仿宋_GB2312" w:hAnsi="仿宋" w:eastAsia="仿宋_GB2312"/>
          <w:sz w:val="32"/>
          <w:szCs w:val="32"/>
        </w:rPr>
        <w:t>、其他工资福利支出</w:t>
      </w:r>
      <w:r>
        <w:rPr>
          <w:rFonts w:ascii="仿宋_GB2312" w:hAnsi="仿宋" w:eastAsia="仿宋_GB2312"/>
          <w:sz w:val="32"/>
          <w:szCs w:val="32"/>
        </w:rPr>
        <w:t>4.68万元</w:t>
      </w:r>
      <w:r>
        <w:rPr>
          <w:rFonts w:hint="eastAsia" w:ascii="仿宋_GB2312" w:hAnsi="仿宋" w:eastAsia="仿宋_GB2312"/>
          <w:sz w:val="32"/>
          <w:szCs w:val="32"/>
        </w:rPr>
        <w:t>、离休费0万元、退休费0万元、抚恤金0万元、生活补助</w:t>
      </w:r>
      <w:r>
        <w:rPr>
          <w:rFonts w:ascii="仿宋_GB2312" w:hAnsi="仿宋" w:eastAsia="仿宋_GB2312"/>
          <w:sz w:val="32"/>
          <w:szCs w:val="32"/>
        </w:rPr>
        <w:t>24.94万元</w:t>
      </w:r>
      <w:r>
        <w:rPr>
          <w:rFonts w:hint="eastAsia" w:ascii="仿宋_GB2312" w:hAnsi="仿宋" w:eastAsia="仿宋_GB2312"/>
          <w:sz w:val="32"/>
          <w:szCs w:val="32"/>
        </w:rPr>
        <w:t>、医疗费补助</w:t>
      </w:r>
      <w:r>
        <w:rPr>
          <w:rFonts w:ascii="仿宋_GB2312" w:hAnsi="仿宋" w:eastAsia="仿宋_GB2312"/>
          <w:sz w:val="32"/>
          <w:szCs w:val="32"/>
        </w:rPr>
        <w:t>0.94万元</w:t>
      </w:r>
      <w:r>
        <w:rPr>
          <w:rFonts w:hint="eastAsia" w:ascii="仿宋_GB2312" w:hAnsi="仿宋" w:eastAsia="仿宋_GB2312"/>
          <w:sz w:val="32"/>
          <w:szCs w:val="32"/>
        </w:rPr>
        <w:t>、奖励金0万元、住房公积金</w:t>
      </w:r>
      <w:r>
        <w:rPr>
          <w:rFonts w:ascii="仿宋_GB2312" w:hAnsi="仿宋" w:eastAsia="仿宋_GB2312"/>
          <w:sz w:val="32"/>
          <w:szCs w:val="32"/>
        </w:rPr>
        <w:t>11.8万元</w:t>
      </w:r>
      <w:r>
        <w:rPr>
          <w:rFonts w:hint="eastAsia" w:ascii="仿宋_GB2312" w:hAnsi="仿宋" w:eastAsia="仿宋_GB2312"/>
          <w:sz w:val="32"/>
          <w:szCs w:val="32"/>
        </w:rPr>
        <w:t>、其他对个人和家庭的补助支出</w:t>
      </w:r>
      <w:r>
        <w:rPr>
          <w:rFonts w:ascii="仿宋_GB2312" w:hAnsi="仿宋" w:eastAsia="仿宋_GB2312"/>
          <w:sz w:val="32"/>
          <w:szCs w:val="32"/>
        </w:rPr>
        <w:t>1.25万元</w:t>
      </w:r>
      <w:r>
        <w:rPr>
          <w:rFonts w:hint="eastAsia" w:ascii="仿宋_GB2312" w:hAnsi="仿宋" w:eastAsia="仿宋_GB2312"/>
          <w:sz w:val="32"/>
          <w:szCs w:val="32"/>
        </w:rPr>
        <w:t>。</w:t>
      </w:r>
      <w:r>
        <w:rPr>
          <w:rFonts w:hint="eastAsia" w:ascii="仿宋_GB2312" w:hAnsi="仿宋" w:eastAsia="仿宋_GB2312"/>
          <w:sz w:val="32"/>
          <w:szCs w:val="32"/>
        </w:rPr>
        <w:br w:type="textWrapping"/>
      </w:r>
      <w:r>
        <w:rPr>
          <w:rFonts w:hint="eastAsia" w:ascii="仿宋_GB2312" w:hAnsi="仿宋" w:eastAsia="仿宋_GB2312"/>
          <w:sz w:val="32"/>
          <w:szCs w:val="32"/>
        </w:rPr>
        <w:t>　　公用经费20.02万元，主要包括：办公费</w:t>
      </w:r>
      <w:r>
        <w:rPr>
          <w:rFonts w:ascii="仿宋_GB2312" w:hAnsi="仿宋" w:eastAsia="仿宋_GB2312"/>
          <w:sz w:val="32"/>
          <w:szCs w:val="32"/>
        </w:rPr>
        <w:t>2.44万元</w:t>
      </w:r>
      <w:r>
        <w:rPr>
          <w:rFonts w:hint="eastAsia" w:ascii="仿宋_GB2312" w:hAnsi="仿宋" w:eastAsia="仿宋_GB2312"/>
          <w:sz w:val="32"/>
          <w:szCs w:val="32"/>
        </w:rPr>
        <w:t>、印刷费0万元、咨询费0万元、手续费0万元、水费</w:t>
      </w:r>
      <w:r>
        <w:rPr>
          <w:rFonts w:ascii="仿宋_GB2312" w:hAnsi="仿宋" w:eastAsia="仿宋_GB2312"/>
          <w:sz w:val="32"/>
          <w:szCs w:val="32"/>
        </w:rPr>
        <w:t>0.25万元</w:t>
      </w:r>
      <w:r>
        <w:rPr>
          <w:rFonts w:hint="eastAsia" w:ascii="仿宋_GB2312" w:hAnsi="仿宋" w:eastAsia="仿宋_GB2312"/>
          <w:sz w:val="32"/>
          <w:szCs w:val="32"/>
        </w:rPr>
        <w:t>、电费</w:t>
      </w:r>
      <w:r>
        <w:rPr>
          <w:rFonts w:ascii="仿宋_GB2312" w:hAnsi="仿宋" w:eastAsia="仿宋_GB2312"/>
          <w:sz w:val="32"/>
          <w:szCs w:val="32"/>
        </w:rPr>
        <w:t>0.58万元</w:t>
      </w:r>
      <w:r>
        <w:rPr>
          <w:rFonts w:hint="eastAsia" w:ascii="仿宋_GB2312" w:hAnsi="仿宋" w:eastAsia="仿宋_GB2312"/>
          <w:sz w:val="32"/>
          <w:szCs w:val="32"/>
        </w:rPr>
        <w:t>、邮电费</w:t>
      </w:r>
      <w:r>
        <w:rPr>
          <w:rFonts w:ascii="仿宋_GB2312" w:hAnsi="仿宋" w:eastAsia="仿宋_GB2312"/>
          <w:sz w:val="32"/>
          <w:szCs w:val="32"/>
        </w:rPr>
        <w:t>0.48万元</w:t>
      </w:r>
      <w:r>
        <w:rPr>
          <w:rFonts w:hint="eastAsia" w:ascii="仿宋_GB2312" w:hAnsi="仿宋" w:eastAsia="仿宋_GB2312"/>
          <w:sz w:val="32"/>
          <w:szCs w:val="32"/>
        </w:rPr>
        <w:t>、取暖费0万元、物业管理费0万元、差旅费</w:t>
      </w:r>
      <w:r>
        <w:rPr>
          <w:rFonts w:ascii="仿宋_GB2312" w:hAnsi="仿宋" w:eastAsia="仿宋_GB2312"/>
          <w:sz w:val="32"/>
          <w:szCs w:val="32"/>
        </w:rPr>
        <w:t>7.02万元</w:t>
      </w:r>
      <w:r>
        <w:rPr>
          <w:rFonts w:hint="eastAsia" w:ascii="仿宋_GB2312" w:hAnsi="仿宋" w:eastAsia="仿宋_GB2312"/>
          <w:sz w:val="32"/>
          <w:szCs w:val="32"/>
        </w:rPr>
        <w:t>、因公出国（境）费用0万元、维修（护）费0万元、租赁费0万元、会议费0万元、培训费0万元、公务接待费</w:t>
      </w:r>
      <w:r>
        <w:rPr>
          <w:rFonts w:ascii="仿宋_GB2312" w:hAnsi="仿宋" w:eastAsia="仿宋_GB2312"/>
          <w:sz w:val="32"/>
          <w:szCs w:val="32"/>
        </w:rPr>
        <w:t>0.23万元</w:t>
      </w:r>
      <w:r>
        <w:rPr>
          <w:rFonts w:hint="eastAsia" w:ascii="仿宋_GB2312" w:hAnsi="仿宋" w:eastAsia="仿宋_GB2312"/>
          <w:sz w:val="32"/>
          <w:szCs w:val="32"/>
        </w:rPr>
        <w:t>、劳务费</w:t>
      </w:r>
      <w:r>
        <w:rPr>
          <w:rFonts w:ascii="仿宋_GB2312" w:hAnsi="仿宋" w:eastAsia="仿宋_GB2312"/>
          <w:sz w:val="32"/>
          <w:szCs w:val="32"/>
        </w:rPr>
        <w:t>1.8万元</w:t>
      </w:r>
      <w:r>
        <w:rPr>
          <w:rFonts w:hint="eastAsia" w:ascii="仿宋_GB2312" w:hAnsi="仿宋" w:eastAsia="仿宋_GB2312"/>
          <w:sz w:val="32"/>
          <w:szCs w:val="32"/>
        </w:rPr>
        <w:t>、委托业务费0万元、工会经费</w:t>
      </w:r>
      <w:r>
        <w:rPr>
          <w:rFonts w:ascii="仿宋_GB2312" w:hAnsi="仿宋" w:eastAsia="仿宋_GB2312"/>
          <w:sz w:val="32"/>
          <w:szCs w:val="32"/>
        </w:rPr>
        <w:t>1.89万元</w:t>
      </w:r>
      <w:r>
        <w:rPr>
          <w:rFonts w:hint="eastAsia" w:ascii="仿宋_GB2312" w:hAnsi="仿宋" w:eastAsia="仿宋_GB2312"/>
          <w:sz w:val="32"/>
          <w:szCs w:val="32"/>
        </w:rPr>
        <w:t>、福利费</w:t>
      </w:r>
      <w:r>
        <w:rPr>
          <w:rFonts w:ascii="仿宋_GB2312" w:hAnsi="仿宋" w:eastAsia="仿宋_GB2312"/>
          <w:sz w:val="32"/>
          <w:szCs w:val="32"/>
        </w:rPr>
        <w:t>2.01万元</w:t>
      </w:r>
      <w:r>
        <w:rPr>
          <w:rFonts w:hint="eastAsia" w:ascii="仿宋_GB2312" w:hAnsi="仿宋" w:eastAsia="仿宋_GB2312"/>
          <w:sz w:val="32"/>
          <w:szCs w:val="32"/>
        </w:rPr>
        <w:t>、公务用车运行维护费</w:t>
      </w:r>
      <w:r>
        <w:rPr>
          <w:rFonts w:ascii="仿宋_GB2312" w:hAnsi="仿宋" w:eastAsia="仿宋_GB2312"/>
          <w:sz w:val="32"/>
          <w:szCs w:val="32"/>
        </w:rPr>
        <w:t>1.39万元</w:t>
      </w:r>
      <w:r>
        <w:rPr>
          <w:rFonts w:hint="eastAsia" w:ascii="仿宋_GB2312" w:hAnsi="仿宋" w:eastAsia="仿宋_GB2312"/>
          <w:sz w:val="32"/>
          <w:szCs w:val="32"/>
        </w:rPr>
        <w:t>、其他交通费0万元、税金及附加费用0万元、其他商品和服务支出</w:t>
      </w:r>
      <w:r>
        <w:rPr>
          <w:rFonts w:ascii="仿宋_GB2312" w:hAnsi="仿宋" w:eastAsia="仿宋_GB2312"/>
          <w:sz w:val="32"/>
          <w:szCs w:val="32"/>
        </w:rPr>
        <w:t>1.94万元</w:t>
      </w:r>
      <w:r>
        <w:rPr>
          <w:rFonts w:hint="eastAsia" w:ascii="仿宋_GB2312" w:hAnsi="仿宋" w:eastAsia="仿宋_GB2312"/>
          <w:sz w:val="32"/>
          <w:szCs w:val="32"/>
        </w:rPr>
        <w:t>、办公设备购置0万元、专用设备购置0万元、信息网络及软件购置更新0万元、其他资本性支出0万元。</w:t>
      </w:r>
    </w:p>
    <w:p>
      <w:pPr>
        <w:spacing w:line="600" w:lineRule="exact"/>
        <w:ind w:firstLine="640"/>
        <w:outlineLvl w:val="1"/>
        <w:rPr>
          <w:rStyle w:val="26"/>
          <w:rFonts w:ascii="黑体" w:hAnsi="黑体" w:eastAsia="黑体"/>
          <w:b w:val="0"/>
        </w:rPr>
      </w:pPr>
      <w:bookmarkStart w:id="36" w:name="_Toc15377215"/>
      <w:bookmarkStart w:id="37" w:name="_Toc15396609"/>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36"/>
      <w:bookmarkEnd w:id="37"/>
    </w:p>
    <w:p>
      <w:pPr>
        <w:spacing w:line="600" w:lineRule="exact"/>
        <w:ind w:firstLine="641"/>
        <w:outlineLvl w:val="2"/>
        <w:rPr>
          <w:rFonts w:ascii="仿宋_GB2312" w:hAnsi="仿宋" w:eastAsia="仿宋_GB2312"/>
          <w:b/>
          <w:sz w:val="32"/>
          <w:szCs w:val="32"/>
        </w:rPr>
      </w:pPr>
      <w:bookmarkStart w:id="38" w:name="_Toc15377216"/>
      <w:r>
        <w:rPr>
          <w:rFonts w:hint="eastAsia" w:ascii="仿宋_GB2312" w:hAnsi="仿宋" w:eastAsia="仿宋_GB2312"/>
          <w:b/>
          <w:sz w:val="32"/>
          <w:szCs w:val="32"/>
        </w:rPr>
        <w:t>（一）“三公”经费财政拨款支出决算总体情况说明</w:t>
      </w:r>
      <w:bookmarkEnd w:id="38"/>
    </w:p>
    <w:p>
      <w:pPr>
        <w:spacing w:line="600" w:lineRule="exact"/>
        <w:ind w:firstLine="641"/>
        <w:rPr>
          <w:rFonts w:ascii="仿宋_GB2312" w:hAnsi="仿宋" w:eastAsia="仿宋_GB2312"/>
          <w:sz w:val="32"/>
          <w:szCs w:val="32"/>
        </w:rPr>
      </w:pPr>
      <w:r>
        <w:rPr>
          <w:rFonts w:hint="eastAsia" w:ascii="仿宋_GB2312" w:hAnsi="仿宋" w:eastAsia="仿宋_GB2312"/>
          <w:sz w:val="32"/>
          <w:szCs w:val="32"/>
        </w:rPr>
        <w:t>2021年“三公”经费财政拨款支出决算为1.62万元，完成预算82.57%，决算数小于预算数主要原因是为了节约经费，控制资金支出。</w:t>
      </w:r>
    </w:p>
    <w:p>
      <w:pPr>
        <w:spacing w:line="600" w:lineRule="exact"/>
        <w:ind w:firstLine="641"/>
        <w:outlineLvl w:val="2"/>
        <w:rPr>
          <w:rFonts w:ascii="仿宋_GB2312" w:hAnsi="仿宋" w:eastAsia="仿宋_GB2312"/>
          <w:b/>
          <w:sz w:val="32"/>
          <w:szCs w:val="32"/>
        </w:rPr>
      </w:pPr>
      <w:bookmarkStart w:id="39" w:name="_Toc15377217"/>
      <w:r>
        <w:rPr>
          <w:rFonts w:hint="eastAsia" w:ascii="仿宋_GB2312" w:hAnsi="仿宋" w:eastAsia="仿宋_GB2312"/>
          <w:b/>
          <w:sz w:val="32"/>
          <w:szCs w:val="32"/>
        </w:rPr>
        <w:t>（二）“三公”经费财政拨款支出决算具体情况说明</w:t>
      </w:r>
      <w:bookmarkEnd w:id="39"/>
    </w:p>
    <w:p>
      <w:pPr>
        <w:spacing w:line="600" w:lineRule="exact"/>
        <w:ind w:firstLine="641"/>
        <w:rPr>
          <w:rFonts w:ascii="仿宋_GB2312" w:hAnsi="仿宋" w:eastAsia="仿宋_GB2312"/>
          <w:sz w:val="32"/>
          <w:szCs w:val="32"/>
        </w:rPr>
      </w:pPr>
      <w:r>
        <w:rPr>
          <w:rFonts w:hint="eastAsia" w:ascii="仿宋_GB2312" w:hAnsi="仿宋" w:eastAsia="仿宋_GB2312"/>
          <w:sz w:val="32"/>
          <w:szCs w:val="32"/>
        </w:rPr>
        <w:t>2021年“三公”经费财政拨款支出决算中，因公出国（境）费支出决算0万元，占0%；公务用车购置及运行维护费支出决算1.39万元，占85.8%；公务接待费支出决算0.23万元，占14.20%。具体情况如下：</w:t>
      </w:r>
    </w:p>
    <w:p>
      <w:pPr>
        <w:pStyle w:val="2"/>
        <w:spacing w:beforeLines="0" w:line="600" w:lineRule="exact"/>
      </w:pPr>
    </w:p>
    <w:p>
      <w:pPr>
        <w:pStyle w:val="2"/>
        <w:spacing w:beforeLines="0"/>
      </w:pPr>
      <w:r>
        <w:rPr>
          <w:rFonts w:hint="eastAsia"/>
        </w:rPr>
        <w:drawing>
          <wp:inline distT="0" distB="0" distL="0" distR="0">
            <wp:extent cx="4731385" cy="2628900"/>
            <wp:effectExtent l="4445" t="4445" r="7620" b="1460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_GB2312" w:hAnsi="仿宋" w:eastAsia="仿宋_GB2312"/>
          <w:sz w:val="32"/>
          <w:szCs w:val="32"/>
        </w:rPr>
      </w:pPr>
      <w:r>
        <w:rPr>
          <w:rFonts w:hint="eastAsia" w:ascii="仿宋_GB2312" w:hAnsi="仿宋" w:eastAsia="仿宋_GB2312"/>
          <w:sz w:val="32"/>
          <w:szCs w:val="32"/>
        </w:rPr>
        <w:t>（图7：“三公”经费财政拨款支出结构）（饼状图）</w:t>
      </w:r>
    </w:p>
    <w:p>
      <w:pPr>
        <w:spacing w:line="600" w:lineRule="exact"/>
        <w:ind w:firstLine="640"/>
        <w:rPr>
          <w:rFonts w:ascii="仿宋_GB2312" w:eastAsia="仿宋_GB2312"/>
          <w:b/>
          <w:sz w:val="32"/>
          <w:szCs w:val="32"/>
        </w:rPr>
      </w:pPr>
      <w:r>
        <w:rPr>
          <w:rFonts w:hint="eastAsia" w:ascii="仿宋_GB2312" w:eastAsia="仿宋_GB2312"/>
          <w:b/>
          <w:sz w:val="32"/>
          <w:szCs w:val="32"/>
        </w:rPr>
        <w:t>1.因公出国（境）经费支出</w:t>
      </w:r>
      <w:r>
        <w:rPr>
          <w:rFonts w:hint="eastAsia" w:ascii="仿宋_GB2312" w:eastAsia="仿宋_GB2312"/>
          <w:sz w:val="32"/>
          <w:szCs w:val="32"/>
        </w:rPr>
        <w:t>0万元，</w:t>
      </w:r>
      <w:r>
        <w:rPr>
          <w:rStyle w:val="15"/>
          <w:rFonts w:hint="eastAsia" w:ascii="仿宋_GB2312" w:hAnsi="仿宋" w:eastAsia="仿宋_GB2312"/>
          <w:b w:val="0"/>
          <w:bCs/>
          <w:sz w:val="32"/>
          <w:szCs w:val="32"/>
        </w:rPr>
        <w:t>完成预算0%。</w:t>
      </w:r>
      <w:r>
        <w:rPr>
          <w:rFonts w:hint="eastAsia" w:ascii="仿宋_GB2312" w:eastAsia="仿宋_GB2312"/>
          <w:sz w:val="32"/>
          <w:szCs w:val="32"/>
        </w:rPr>
        <w:t>全年安排因公出国（境）团组0次，出国（境）0人。因公出国（境）支出决算与2020年持平。主要原因是2021年未产生因公出国经费。</w:t>
      </w:r>
    </w:p>
    <w:p>
      <w:pPr>
        <w:spacing w:line="600" w:lineRule="exact"/>
        <w:ind w:firstLine="640"/>
        <w:rPr>
          <w:rFonts w:ascii="仿宋_GB2312" w:eastAsia="仿宋_GB2312"/>
          <w:b/>
          <w:sz w:val="32"/>
          <w:szCs w:val="32"/>
        </w:rPr>
      </w:pPr>
      <w:r>
        <w:rPr>
          <w:rFonts w:hint="eastAsia" w:ascii="仿宋_GB2312" w:eastAsia="仿宋_GB2312"/>
          <w:b/>
          <w:sz w:val="32"/>
          <w:szCs w:val="32"/>
        </w:rPr>
        <w:t>2.公务用车购置及运行维护费支出</w:t>
      </w:r>
      <w:r>
        <w:rPr>
          <w:rFonts w:hint="eastAsia" w:ascii="仿宋_GB2312" w:eastAsia="仿宋_GB2312"/>
          <w:sz w:val="32"/>
          <w:szCs w:val="32"/>
        </w:rPr>
        <w:t>1.39万元,</w:t>
      </w:r>
      <w:r>
        <w:rPr>
          <w:rStyle w:val="15"/>
          <w:rFonts w:hint="eastAsia" w:ascii="仿宋_GB2312" w:hAnsi="仿宋" w:eastAsia="仿宋_GB2312"/>
          <w:b w:val="0"/>
          <w:bCs/>
          <w:sz w:val="32"/>
          <w:szCs w:val="32"/>
        </w:rPr>
        <w:t>完成预算85.8%。</w:t>
      </w:r>
      <w:r>
        <w:rPr>
          <w:rFonts w:hint="eastAsia" w:ascii="仿宋_GB2312" w:eastAsia="仿宋_GB2312"/>
          <w:sz w:val="32"/>
          <w:szCs w:val="32"/>
        </w:rPr>
        <w:t>公务用车购置及运行维护费支出决算比2020年减少0.63万元，下降31.19%。主要原因是节约经费，控制资金支出。</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0万元。全年按规定更新购置公务用车0辆，其中：轿车0辆、金额0万元，越野车0辆、金额0万元，载客汽车0辆、金额0万元。截至2021年12月底，单位共有公务用车1辆，其中：轿车1辆、越野车0辆、载客汽车0辆。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1.39万元。主要用于企业调研、对中、小、微企业服务等所需的公务用车燃料费、维修费、过路过桥费、保险费等支出。</w:t>
      </w:r>
    </w:p>
    <w:p>
      <w:pPr>
        <w:spacing w:line="600" w:lineRule="exact"/>
        <w:ind w:firstLine="640"/>
        <w:rPr>
          <w:rFonts w:ascii="仿宋_GB2312" w:eastAsia="仿宋_GB2312"/>
          <w:sz w:val="32"/>
          <w:szCs w:val="32"/>
        </w:rPr>
      </w:pPr>
      <w:r>
        <w:rPr>
          <w:rFonts w:hint="eastAsia" w:ascii="仿宋_GB2312" w:eastAsia="仿宋_GB2312"/>
          <w:b/>
          <w:sz w:val="32"/>
          <w:szCs w:val="32"/>
        </w:rPr>
        <w:t>3.公务接待费支出</w:t>
      </w:r>
      <w:r>
        <w:rPr>
          <w:rFonts w:hint="eastAsia" w:ascii="仿宋_GB2312" w:eastAsia="仿宋_GB2312"/>
          <w:sz w:val="32"/>
          <w:szCs w:val="32"/>
        </w:rPr>
        <w:t>0.23万元，</w:t>
      </w:r>
      <w:r>
        <w:rPr>
          <w:rStyle w:val="15"/>
          <w:rFonts w:hint="eastAsia" w:ascii="仿宋_GB2312" w:hAnsi="仿宋" w:eastAsia="仿宋_GB2312"/>
          <w:b w:val="0"/>
          <w:bCs/>
          <w:sz w:val="32"/>
          <w:szCs w:val="32"/>
        </w:rPr>
        <w:t>完成预算67.65%。</w:t>
      </w:r>
      <w:r>
        <w:rPr>
          <w:rFonts w:hint="eastAsia" w:ascii="仿宋_GB2312" w:eastAsia="仿宋_GB2312"/>
          <w:sz w:val="32"/>
          <w:szCs w:val="32"/>
        </w:rPr>
        <w:t>公务接待费支出决算比2020年减少610万元，下降36.29%，主要原因是节约成本，控制资金支出。其中：</w:t>
      </w:r>
    </w:p>
    <w:p>
      <w:pPr>
        <w:spacing w:line="600" w:lineRule="exact"/>
        <w:ind w:firstLine="640"/>
        <w:rPr>
          <w:rFonts w:ascii="仿宋_GB2312" w:eastAsia="仿宋_GB2312"/>
          <w:color w:val="000000" w:themeColor="text1"/>
          <w:sz w:val="32"/>
          <w:szCs w:val="32"/>
        </w:rPr>
      </w:pPr>
      <w:r>
        <w:rPr>
          <w:rFonts w:hint="eastAsia" w:ascii="仿宋_GB2312" w:hAnsi="仿宋" w:eastAsia="仿宋_GB2312"/>
          <w:b/>
          <w:sz w:val="32"/>
          <w:szCs w:val="32"/>
        </w:rPr>
        <w:t>国内公务接待支出</w:t>
      </w:r>
      <w:r>
        <w:rPr>
          <w:rFonts w:hint="eastAsia" w:ascii="仿宋_GB2312" w:hAnsi="仿宋" w:eastAsia="仿宋_GB2312"/>
          <w:sz w:val="32"/>
          <w:szCs w:val="32"/>
        </w:rPr>
        <w:t>0.23</w:t>
      </w:r>
      <w:r>
        <w:rPr>
          <w:rFonts w:hint="eastAsia" w:ascii="仿宋_GB2312" w:eastAsia="仿宋_GB2312"/>
          <w:sz w:val="32"/>
          <w:szCs w:val="32"/>
        </w:rPr>
        <w:t>万元，主要用于开展业务工作公务接。国内公务接待2批次，</w:t>
      </w:r>
      <w:r>
        <w:rPr>
          <w:rFonts w:hint="eastAsia" w:ascii="仿宋_GB2312" w:eastAsia="仿宋_GB2312"/>
          <w:color w:val="000000" w:themeColor="text1"/>
          <w:sz w:val="32"/>
          <w:szCs w:val="32"/>
        </w:rPr>
        <w:t>15人次（不包括陪同人员），共计支出0.23万元，具体内容包括：1.四川省生产力促进中心2021年3月22日至23日来我单位进行业务合作对接，我单位产生接待费511元;2.四川省生产力促进中心2021年8月18至19日来我单位进行工作调研，我单位产生接待费1780元。</w:t>
      </w:r>
    </w:p>
    <w:p>
      <w:pPr>
        <w:spacing w:line="600" w:lineRule="exact"/>
        <w:ind w:firstLine="642" w:firstLineChars="200"/>
        <w:rPr>
          <w:rFonts w:ascii="仿宋_GB2312" w:eastAsia="仿宋_GB2312"/>
          <w:sz w:val="32"/>
          <w:szCs w:val="32"/>
        </w:rPr>
      </w:pPr>
      <w:r>
        <w:rPr>
          <w:rFonts w:hint="eastAsia" w:ascii="仿宋_GB2312" w:hAnsi="仿宋" w:eastAsia="仿宋_GB2312"/>
          <w:b/>
          <w:sz w:val="32"/>
          <w:szCs w:val="32"/>
        </w:rPr>
        <w:t>外事接待支出</w:t>
      </w:r>
      <w:r>
        <w:rPr>
          <w:rFonts w:hint="eastAsia" w:ascii="仿宋_GB2312" w:hAnsi="仿宋" w:eastAsia="仿宋_GB2312"/>
          <w:sz w:val="32"/>
          <w:szCs w:val="32"/>
        </w:rPr>
        <w:t>0</w:t>
      </w:r>
      <w:r>
        <w:rPr>
          <w:rFonts w:hint="eastAsia" w:ascii="仿宋_GB2312" w:eastAsia="仿宋_GB2312"/>
          <w:sz w:val="32"/>
          <w:szCs w:val="32"/>
        </w:rPr>
        <w:t xml:space="preserve">万元，外事接待0批次，0人，共计支出0万元。 </w:t>
      </w:r>
      <w:bookmarkStart w:id="40" w:name="_Toc15396610"/>
      <w:bookmarkStart w:id="41" w:name="_Toc15377218"/>
    </w:p>
    <w:p>
      <w:pPr>
        <w:spacing w:line="600" w:lineRule="exact"/>
        <w:ind w:firstLine="640"/>
        <w:outlineLvl w:val="1"/>
        <w:rPr>
          <w:rStyle w:val="26"/>
          <w:rFonts w:ascii="黑体" w:hAnsi="黑体" w:eastAsia="黑体"/>
        </w:rPr>
      </w:pPr>
      <w:r>
        <w:rPr>
          <w:rFonts w:hint="eastAsia" w:ascii="黑体" w:eastAsia="黑体"/>
          <w:sz w:val="32"/>
          <w:szCs w:val="32"/>
        </w:rPr>
        <w:t>八、</w:t>
      </w:r>
      <w:r>
        <w:rPr>
          <w:rStyle w:val="26"/>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pPr>
        <w:numPr>
          <w:ilvl w:val="0"/>
          <w:numId w:val="3"/>
        </w:numPr>
        <w:spacing w:line="600" w:lineRule="exact"/>
        <w:ind w:firstLine="640"/>
        <w:outlineLvl w:val="1"/>
        <w:rPr>
          <w:rStyle w:val="26"/>
          <w:rFonts w:ascii="黑体" w:hAnsi="黑体" w:eastAsia="黑体"/>
          <w:b w:val="0"/>
        </w:rPr>
      </w:pPr>
      <w:bookmarkStart w:id="42" w:name="_Toc15396611"/>
      <w:bookmarkStart w:id="43" w:name="_Toc15377219"/>
      <w:r>
        <w:rPr>
          <w:rStyle w:val="26"/>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numPr>
          <w:ilvl w:val="0"/>
          <w:numId w:val="3"/>
        </w:numPr>
        <w:spacing w:line="600" w:lineRule="exact"/>
        <w:ind w:firstLine="640"/>
        <w:outlineLvl w:val="1"/>
        <w:rPr>
          <w:rStyle w:val="26"/>
          <w:rFonts w:ascii="黑体" w:hAnsi="黑体" w:eastAsia="黑体"/>
          <w:b w:val="0"/>
        </w:rPr>
      </w:pPr>
      <w:bookmarkStart w:id="44" w:name="_Toc15377221"/>
      <w:bookmarkStart w:id="45" w:name="_Toc15396612"/>
      <w:r>
        <w:rPr>
          <w:rStyle w:val="26"/>
          <w:rFonts w:hint="eastAsia" w:ascii="黑体" w:hAnsi="黑体" w:eastAsia="黑体"/>
          <w:b w:val="0"/>
        </w:rPr>
        <w:t>其他重要事项的情况说明</w:t>
      </w:r>
      <w:bookmarkEnd w:id="44"/>
      <w:bookmarkEnd w:id="45"/>
    </w:p>
    <w:p>
      <w:pPr>
        <w:spacing w:line="500" w:lineRule="exact"/>
        <w:ind w:firstLine="642" w:firstLineChars="200"/>
        <w:outlineLvl w:val="2"/>
        <w:rPr>
          <w:rFonts w:ascii="仿宋_GB2312" w:hAnsi="仿宋" w:eastAsia="仿宋_GB2312"/>
          <w:sz w:val="32"/>
          <w:szCs w:val="32"/>
        </w:rPr>
      </w:pPr>
      <w:bookmarkStart w:id="46" w:name="_Toc15377222"/>
      <w:r>
        <w:rPr>
          <w:rFonts w:hint="eastAsia" w:ascii="仿宋_GB2312" w:hAnsi="仿宋" w:eastAsia="仿宋_GB2312"/>
          <w:b/>
          <w:sz w:val="32"/>
          <w:szCs w:val="32"/>
        </w:rPr>
        <w:t>（一）机关运行经费支出情况</w:t>
      </w:r>
      <w:bookmarkEnd w:id="46"/>
    </w:p>
    <w:p>
      <w:pPr>
        <w:spacing w:line="500" w:lineRule="exact"/>
        <w:ind w:firstLine="640" w:firstLineChars="200"/>
        <w:rPr>
          <w:rFonts w:ascii="仿宋_GB2312" w:eastAsia="仿宋_GB2312"/>
          <w:sz w:val="32"/>
          <w:szCs w:val="32"/>
        </w:rPr>
      </w:pPr>
      <w:r>
        <w:rPr>
          <w:rFonts w:hint="eastAsia" w:ascii="仿宋_GB2312" w:eastAsia="仿宋_GB2312"/>
          <w:sz w:val="32"/>
          <w:szCs w:val="32"/>
        </w:rPr>
        <w:t>2021年，攀枝花市生产力促进中心机关运行经费支出0万元，与2020年决算数持平。主要原因是2021年预算未安排机关运行经费。</w:t>
      </w:r>
    </w:p>
    <w:p>
      <w:pPr>
        <w:autoSpaceDE w:val="0"/>
        <w:autoSpaceDN w:val="0"/>
        <w:adjustRightInd w:val="0"/>
        <w:spacing w:line="500" w:lineRule="exact"/>
        <w:ind w:firstLine="642" w:firstLineChars="200"/>
        <w:jc w:val="left"/>
        <w:outlineLvl w:val="2"/>
        <w:rPr>
          <w:rFonts w:ascii="仿宋_GB2312" w:hAnsi="仿宋" w:eastAsia="仿宋_GB2312"/>
          <w:b/>
          <w:sz w:val="32"/>
          <w:szCs w:val="32"/>
        </w:rPr>
      </w:pPr>
      <w:bookmarkStart w:id="47" w:name="_Toc15377223"/>
      <w:r>
        <w:rPr>
          <w:rFonts w:hint="eastAsia" w:ascii="仿宋_GB2312" w:hAnsi="仿宋" w:eastAsia="仿宋_GB2312"/>
          <w:b/>
          <w:sz w:val="32"/>
          <w:szCs w:val="32"/>
        </w:rPr>
        <w:t>（二）政府采购支出情况</w:t>
      </w:r>
      <w:bookmarkEnd w:id="47"/>
    </w:p>
    <w:p>
      <w:pPr>
        <w:spacing w:line="500" w:lineRule="exact"/>
        <w:ind w:firstLine="640" w:firstLineChars="200"/>
        <w:rPr>
          <w:rFonts w:ascii="仿宋_GB2312" w:eastAsia="仿宋_GB2312"/>
          <w:sz w:val="32"/>
          <w:szCs w:val="32"/>
        </w:rPr>
      </w:pPr>
      <w:r>
        <w:rPr>
          <w:rFonts w:hint="eastAsia" w:ascii="仿宋_GB2312" w:eastAsia="仿宋_GB2312"/>
          <w:sz w:val="32"/>
          <w:szCs w:val="32"/>
        </w:rPr>
        <w:t>2021年，攀枝花市生产力促进中心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autoSpaceDE w:val="0"/>
        <w:autoSpaceDN w:val="0"/>
        <w:adjustRightInd w:val="0"/>
        <w:spacing w:line="500" w:lineRule="exact"/>
        <w:ind w:firstLine="642" w:firstLineChars="200"/>
        <w:jc w:val="left"/>
        <w:outlineLvl w:val="2"/>
        <w:rPr>
          <w:rFonts w:ascii="仿宋_GB2312" w:hAnsi="仿宋" w:eastAsia="仿宋_GB2312"/>
          <w:b/>
          <w:sz w:val="32"/>
          <w:szCs w:val="32"/>
        </w:rPr>
      </w:pPr>
      <w:bookmarkStart w:id="48" w:name="_Toc15377224"/>
      <w:r>
        <w:rPr>
          <w:rFonts w:hint="eastAsia" w:ascii="仿宋_GB2312" w:hAnsi="仿宋" w:eastAsia="仿宋_GB2312"/>
          <w:b/>
          <w:sz w:val="32"/>
          <w:szCs w:val="32"/>
        </w:rPr>
        <w:t>（三）国有资产占有使用情况</w:t>
      </w:r>
      <w:bookmarkEnd w:id="48"/>
    </w:p>
    <w:p>
      <w:pPr>
        <w:autoSpaceDE w:val="0"/>
        <w:autoSpaceDN w:val="0"/>
        <w:adjustRightInd w:val="0"/>
        <w:spacing w:line="500" w:lineRule="exact"/>
        <w:ind w:firstLine="640" w:firstLineChars="200"/>
        <w:jc w:val="left"/>
        <w:rPr>
          <w:rFonts w:ascii="仿宋_GB2312" w:eastAsia="仿宋_GB2312"/>
          <w:sz w:val="32"/>
          <w:szCs w:val="32"/>
        </w:rPr>
      </w:pPr>
      <w:r>
        <w:rPr>
          <w:rFonts w:hint="eastAsia" w:ascii="仿宋_GB2312" w:eastAsia="仿宋_GB2312"/>
          <w:sz w:val="32"/>
          <w:szCs w:val="32"/>
        </w:rPr>
        <w:t>截至2021年12月31日，攀枝花市生产力促进中心共有车辆1辆，其中：主要领导干部用车0辆、机要通信用车0辆、应急保障用车0辆、其他用车1辆，其他用车主要是用于公务车使用，企业调研，科技下乡等方面。</w:t>
      </w:r>
    </w:p>
    <w:p>
      <w:pPr>
        <w:autoSpaceDE w:val="0"/>
        <w:autoSpaceDN w:val="0"/>
        <w:adjustRightInd w:val="0"/>
        <w:spacing w:line="500" w:lineRule="exact"/>
        <w:ind w:firstLine="640" w:firstLineChars="200"/>
        <w:jc w:val="left"/>
        <w:rPr>
          <w:rFonts w:ascii="仿宋_GB2312" w:eastAsia="仿宋_GB2312"/>
          <w:sz w:val="32"/>
          <w:szCs w:val="32"/>
        </w:rPr>
      </w:pPr>
      <w:r>
        <w:rPr>
          <w:rFonts w:hint="eastAsia" w:ascii="仿宋_GB2312" w:eastAsia="仿宋_GB2312"/>
          <w:sz w:val="32"/>
          <w:szCs w:val="32"/>
        </w:rPr>
        <w:t>单价50万元以上通用设备0台（套），单价100万元以上专用设备0台（套）。</w:t>
      </w:r>
    </w:p>
    <w:p>
      <w:pPr>
        <w:autoSpaceDE w:val="0"/>
        <w:autoSpaceDN w:val="0"/>
        <w:adjustRightInd w:val="0"/>
        <w:spacing w:line="600" w:lineRule="exact"/>
        <w:ind w:firstLine="642" w:firstLineChars="200"/>
        <w:jc w:val="left"/>
        <w:outlineLvl w:val="2"/>
        <w:rPr>
          <w:rFonts w:ascii="仿宋_GB2312" w:hAnsi="仿宋" w:eastAsia="仿宋_GB2312"/>
          <w:b/>
          <w:sz w:val="32"/>
          <w:szCs w:val="32"/>
        </w:rPr>
      </w:pPr>
      <w:r>
        <w:rPr>
          <w:rFonts w:hint="eastAsia" w:ascii="仿宋_GB2312" w:hAnsi="仿宋" w:eastAsia="仿宋_GB2312"/>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攀枝花市生产力促进中心未安排项目预算。根据预算绩效管理要求，本单位在2021年度预算编制阶段，组织对0项目（项目名称）等0个项目开展了预算事前绩效评估，对0个项目编制了绩效目标，预算执行过程中，选取0个项目开展绩效监控，年终执行完毕后，对0个项目开展了绩效自评，2021年特定目标类部门预算项目绩效目标自评表见附件（第四部分）。</w:t>
      </w:r>
    </w:p>
    <w:p>
      <w:pPr>
        <w:pStyle w:val="2"/>
        <w:spacing w:before="93"/>
        <w:rPr>
          <w:highlight w:val="yellow"/>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5"/>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5"/>
          <w:rFonts w:hint="eastAsia" w:ascii="黑体" w:hAnsi="黑体" w:eastAsia="黑体"/>
          <w:b w:val="0"/>
        </w:rPr>
        <w:t>词解释</w:t>
      </w:r>
      <w:bookmarkEnd w:id="49"/>
      <w:bookmarkEnd w:id="50"/>
    </w:p>
    <w:p>
      <w:pPr>
        <w:spacing w:line="600" w:lineRule="exact"/>
        <w:jc w:val="left"/>
        <w:rPr>
          <w:rFonts w:ascii="宋体"/>
          <w:b/>
          <w:sz w:val="44"/>
          <w:szCs w:val="44"/>
        </w:rPr>
      </w:pP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其他收入：指单位取得的除上述收入以外的各项收入。主要是银行利息等。</w:t>
      </w:r>
      <w:r>
        <w:rPr>
          <w:rFonts w:ascii="仿宋_GB2312" w:eastAsia="仿宋_GB2312"/>
          <w:color w:val="auto"/>
          <w:sz w:val="32"/>
          <w:szCs w:val="32"/>
        </w:rPr>
        <w:t xml:space="preserve"> </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3.年初结转和结余：指以前年度尚未完成、结转到本年按有关规定继续使用的资金。</w:t>
      </w:r>
      <w:r>
        <w:rPr>
          <w:rFonts w:ascii="仿宋_GB2312" w:eastAsia="仿宋_GB2312"/>
          <w:color w:val="auto"/>
          <w:sz w:val="32"/>
          <w:szCs w:val="32"/>
        </w:rPr>
        <w:t xml:space="preserve"> </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5.年末结转和结余：指单位按有关规定结转到下年或以后年度继续使用的资金。</w:t>
      </w:r>
    </w:p>
    <w:p>
      <w:pPr>
        <w:spacing w:line="600" w:lineRule="exact"/>
        <w:ind w:firstLine="640" w:firstLineChars="200"/>
        <w:rPr>
          <w:rFonts w:eastAsia="仿宋_GB2312"/>
          <w:color w:val="000000"/>
          <w:sz w:val="32"/>
          <w:szCs w:val="32"/>
        </w:rPr>
      </w:pPr>
      <w:r>
        <w:rPr>
          <w:rFonts w:hint="eastAsia" w:ascii="仿宋_GB2312" w:hAnsi="Calibri" w:eastAsia="仿宋_GB2312" w:cs="仿宋"/>
          <w:kern w:val="0"/>
          <w:sz w:val="32"/>
          <w:szCs w:val="32"/>
        </w:rPr>
        <w:t>6.科学技术（类）科技条件与服务（款）机构运行（项）:</w:t>
      </w:r>
      <w:r>
        <w:rPr>
          <w:rFonts w:hint="eastAsia" w:eastAsia="仿宋_GB2312"/>
          <w:color w:val="000000"/>
          <w:sz w:val="32"/>
          <w:szCs w:val="32"/>
        </w:rPr>
        <w:t xml:space="preserve"> 指反映科技服务机构的基本支出。</w:t>
      </w:r>
    </w:p>
    <w:p>
      <w:pPr>
        <w:spacing w:line="600" w:lineRule="exact"/>
        <w:ind w:firstLine="640" w:firstLineChars="200"/>
        <w:rPr>
          <w:rFonts w:eastAsia="仿宋_GB2312"/>
          <w:color w:val="000000"/>
          <w:sz w:val="32"/>
          <w:szCs w:val="32"/>
        </w:rPr>
      </w:pPr>
      <w:r>
        <w:rPr>
          <w:rFonts w:hint="eastAsia" w:ascii="仿宋_GB2312" w:hAnsi="Calibri" w:eastAsia="仿宋_GB2312" w:cs="仿宋"/>
          <w:kern w:val="0"/>
          <w:sz w:val="32"/>
          <w:szCs w:val="32"/>
        </w:rPr>
        <w:t>7.科学技术（类）科技条件与服务（款）其他科技条件与服务支出（项）:</w:t>
      </w:r>
      <w:r>
        <w:rPr>
          <w:rFonts w:hint="eastAsia" w:eastAsia="仿宋_GB2312"/>
          <w:color w:val="000000"/>
          <w:sz w:val="32"/>
          <w:szCs w:val="32"/>
        </w:rPr>
        <w:t xml:space="preserve"> 指反映其他用于科技条件与服务方面的支出。</w:t>
      </w:r>
    </w:p>
    <w:p>
      <w:pPr>
        <w:spacing w:line="600" w:lineRule="exact"/>
        <w:ind w:firstLine="640" w:firstLineChars="200"/>
        <w:rPr>
          <w:rFonts w:ascii="仿宋" w:hAnsi="Calibri" w:eastAsia="仿宋_GB2312"/>
          <w:color w:val="000000"/>
          <w:kern w:val="0"/>
          <w:sz w:val="32"/>
          <w:szCs w:val="32"/>
        </w:rPr>
      </w:pPr>
      <w:r>
        <w:rPr>
          <w:rFonts w:hint="eastAsia" w:ascii="仿宋_GB2312" w:hAnsi="Calibri" w:eastAsia="仿宋_GB2312" w:cs="仿宋"/>
          <w:kern w:val="0"/>
          <w:sz w:val="32"/>
          <w:szCs w:val="32"/>
        </w:rPr>
        <w:t>8.科学技术（类）其他科学技术支出（款）其他科学技术支出（项）:</w:t>
      </w:r>
      <w:r>
        <w:rPr>
          <w:rFonts w:hint="eastAsia" w:eastAsia="仿宋_GB2312"/>
          <w:color w:val="000000"/>
          <w:sz w:val="32"/>
          <w:szCs w:val="32"/>
        </w:rPr>
        <w:t xml:space="preserve"> 指反映其他科学技术支出中用于其他科技方面的支出</w:t>
      </w:r>
      <w:r>
        <w:rPr>
          <w:rFonts w:hint="eastAsia" w:ascii="仿宋" w:hAnsi="Calibri" w:eastAsia="仿宋_GB2312"/>
          <w:color w:val="000000"/>
          <w:kern w:val="0"/>
          <w:sz w:val="32"/>
          <w:szCs w:val="32"/>
        </w:rPr>
        <w:t>。</w:t>
      </w:r>
    </w:p>
    <w:p>
      <w:pPr>
        <w:spacing w:line="600" w:lineRule="exact"/>
        <w:ind w:firstLine="640" w:firstLineChars="200"/>
        <w:rPr>
          <w:rFonts w:eastAsia="仿宋_GB2312"/>
          <w:color w:val="000000"/>
          <w:sz w:val="32"/>
          <w:szCs w:val="32"/>
        </w:rPr>
      </w:pPr>
      <w:r>
        <w:rPr>
          <w:rFonts w:hint="eastAsia" w:ascii="仿宋_GB2312" w:hAnsi="Calibri" w:eastAsia="仿宋_GB2312" w:cs="仿宋"/>
          <w:kern w:val="0"/>
          <w:sz w:val="32"/>
          <w:szCs w:val="32"/>
        </w:rPr>
        <w:t xml:space="preserve">9.社会保障和就业支出(类)行政事业单位养老支出(款)事业单位离退休(项): </w:t>
      </w:r>
      <w:r>
        <w:rPr>
          <w:rFonts w:hint="eastAsia" w:eastAsia="仿宋_GB2312"/>
          <w:color w:val="000000"/>
          <w:sz w:val="32"/>
          <w:szCs w:val="32"/>
        </w:rPr>
        <w:t>指反映实行归口管理的事业单位开支的离退休经费。</w:t>
      </w:r>
    </w:p>
    <w:p>
      <w:pPr>
        <w:spacing w:line="600" w:lineRule="exact"/>
        <w:ind w:firstLine="640" w:firstLineChars="200"/>
        <w:rPr>
          <w:rFonts w:eastAsia="仿宋_GB2312"/>
          <w:color w:val="000000"/>
          <w:sz w:val="32"/>
          <w:szCs w:val="32"/>
        </w:rPr>
      </w:pPr>
      <w:r>
        <w:rPr>
          <w:rFonts w:hint="eastAsia" w:ascii="仿宋_GB2312" w:hAnsi="Calibri" w:eastAsia="仿宋_GB2312" w:cs="仿宋"/>
          <w:kern w:val="0"/>
          <w:sz w:val="32"/>
          <w:szCs w:val="32"/>
        </w:rPr>
        <w:t>10.社会保障和就业支出(类)行政事业单位养老支出(款)机关事业单位基本养老保险缴费支出(项):</w:t>
      </w:r>
      <w:r>
        <w:rPr>
          <w:rFonts w:hint="eastAsia" w:eastAsia="仿宋_GB2312"/>
          <w:color w:val="000000"/>
          <w:sz w:val="32"/>
          <w:szCs w:val="32"/>
        </w:rPr>
        <w:t xml:space="preserve"> 指反映机关事业单位实施养老保险制度由单位缴纳的基本养老保险费支出。</w:t>
      </w:r>
    </w:p>
    <w:p>
      <w:pPr>
        <w:ind w:firstLine="640" w:firstLineChars="200"/>
        <w:rPr>
          <w:rFonts w:eastAsia="仿宋_GB2312"/>
          <w:color w:val="000000"/>
          <w:sz w:val="32"/>
          <w:szCs w:val="32"/>
        </w:rPr>
      </w:pPr>
      <w:r>
        <w:rPr>
          <w:rFonts w:hint="eastAsia" w:ascii="仿宋_GB2312" w:hAnsi="Calibri" w:eastAsia="仿宋_GB2312" w:cs="仿宋"/>
          <w:kern w:val="0"/>
          <w:sz w:val="32"/>
          <w:szCs w:val="32"/>
        </w:rPr>
        <w:t>11.住房保障支出（类）住房改革支出（款）住房公积金（项）：</w:t>
      </w:r>
      <w:r>
        <w:rPr>
          <w:rFonts w:eastAsia="仿宋_GB2312"/>
          <w:color w:val="000000"/>
          <w:sz w:val="32"/>
          <w:szCs w:val="32"/>
        </w:rPr>
        <w:t>指反映行政事业单位按</w:t>
      </w:r>
      <w:r>
        <w:rPr>
          <w:rFonts w:hint="eastAsia" w:eastAsia="仿宋_GB2312"/>
          <w:color w:val="000000"/>
          <w:sz w:val="32"/>
          <w:szCs w:val="32"/>
        </w:rPr>
        <w:t>人力资源和社会保障部</w:t>
      </w:r>
      <w:r>
        <w:rPr>
          <w:rFonts w:eastAsia="仿宋_GB2312"/>
          <w:color w:val="000000"/>
          <w:sz w:val="32"/>
          <w:szCs w:val="32"/>
        </w:rPr>
        <w:t>、财政部门规定的基本工资和津贴补贴以及规定比例为职工缴纳的住房公积金。</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12.基本支出：指为保障机构正常运转、完成日常工作任务而发生的人员支出和公用支出。</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13.项目支出：指在基本支出之外为完成特定行政任务和事业发展目标所发生的支出。</w:t>
      </w:r>
    </w:p>
    <w:p>
      <w:pPr>
        <w:pStyle w:val="23"/>
        <w:spacing w:line="5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14.“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00" w:lineRule="exact"/>
        <w:ind w:firstLine="642" w:firstLineChars="200"/>
        <w:rPr>
          <w:rFonts w:ascii="仿宋_GB2312" w:hAnsi="仿宋" w:eastAsia="仿宋_GB2312"/>
          <w:b/>
          <w:sz w:val="32"/>
          <w:szCs w:val="32"/>
        </w:rPr>
      </w:pPr>
    </w:p>
    <w:p>
      <w:pPr>
        <w:spacing w:line="500" w:lineRule="exact"/>
        <w:jc w:val="center"/>
        <w:outlineLvl w:val="0"/>
        <w:rPr>
          <w:rStyle w:val="25"/>
          <w:rFonts w:ascii="黑体" w:hAnsi="黑体" w:eastAsia="黑体"/>
          <w:b w:val="0"/>
        </w:rPr>
      </w:pPr>
      <w:bookmarkStart w:id="51" w:name="_Toc15377226"/>
      <w:r>
        <w:rPr>
          <w:rFonts w:hint="eastAsia" w:ascii="仿宋_GB2312" w:eastAsia="仿宋_GB2312"/>
          <w:b/>
          <w:sz w:val="44"/>
          <w:szCs w:val="44"/>
        </w:rPr>
        <w:br w:type="page"/>
      </w:r>
      <w:bookmarkStart w:id="52" w:name="_Toc15396614"/>
      <w:r>
        <w:rPr>
          <w:rFonts w:hint="eastAsia" w:ascii="黑体" w:hAnsi="黑体" w:eastAsia="黑体"/>
          <w:sz w:val="44"/>
          <w:szCs w:val="44"/>
        </w:rPr>
        <w:t>第</w:t>
      </w:r>
      <w:r>
        <w:rPr>
          <w:rStyle w:val="25"/>
          <w:rFonts w:hint="eastAsia" w:ascii="黑体" w:hAnsi="黑体" w:eastAsia="黑体"/>
          <w:b w:val="0"/>
        </w:rPr>
        <w:t>四部分 附件</w:t>
      </w:r>
      <w:bookmarkEnd w:id="52"/>
    </w:p>
    <w:p>
      <w:pPr>
        <w:spacing w:line="572" w:lineRule="exact"/>
        <w:jc w:val="left"/>
        <w:outlineLvl w:val="0"/>
        <w:rPr>
          <w:rFonts w:ascii="仿宋_GB2312" w:hAnsi="仿宋_GB2312" w:eastAsia="仿宋_GB2312" w:cs="仿宋_GB2312"/>
          <w:sz w:val="32"/>
          <w:szCs w:val="32"/>
        </w:rPr>
      </w:pPr>
      <w:r>
        <w:rPr>
          <w:rFonts w:hint="eastAsia" w:ascii="黑体" w:hAnsi="黑体" w:eastAsia="黑体" w:cs="黑体"/>
          <w:sz w:val="32"/>
          <w:szCs w:val="32"/>
        </w:rPr>
        <w:t>附件</w:t>
      </w: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rPr>
          <w:trHeight w:val="675" w:hRule="atLeast"/>
        </w:trPr>
        <w:tc>
          <w:tcPr>
            <w:tcW w:w="9577"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bookmarkStart w:id="53" w:name="_Toc15396618"/>
            <w:r>
              <w:rPr>
                <w:rFonts w:hint="eastAsia" w:ascii="宋体" w:hAnsi="宋体" w:cs="宋体"/>
                <w:b/>
                <w:sz w:val="32"/>
                <w:szCs w:val="32"/>
              </w:rPr>
              <w:t>2021年特定目标类部门预算项目绩效目标自评</w:t>
            </w:r>
          </w:p>
        </w:tc>
        <w:tc>
          <w:tcPr>
            <w:tcW w:w="234"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项目预算</w:t>
            </w:r>
            <w:r>
              <w:rPr>
                <w:rFonts w:hint="eastAsia" w:ascii="宋体" w:hAnsi="宋体" w:cs="宋体"/>
                <w:kern w:val="0"/>
                <w:sz w:val="24"/>
              </w:rPr>
              <w:br w:type="textWrapping"/>
            </w:r>
            <w:r>
              <w:rPr>
                <w:rFonts w:hint="eastAsia" w:ascii="宋体" w:hAnsi="宋体" w:cs="宋体"/>
                <w:kern w:val="0"/>
                <w:sz w:val="24"/>
              </w:rPr>
              <w:t>执行情况</w:t>
            </w:r>
            <w:r>
              <w:rPr>
                <w:rFonts w:hint="eastAsia"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ascii="宋体" w:hAnsi="宋体" w:cs="宋体"/>
                <w:sz w:val="24"/>
              </w:rPr>
            </w:pPr>
          </w:p>
        </w:tc>
      </w:tr>
      <w:tr>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ascii="宋体" w:hAnsi="宋体" w:cs="宋体"/>
                <w:sz w:val="24"/>
              </w:rPr>
            </w:pPr>
          </w:p>
        </w:tc>
      </w:tr>
      <w:tr>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top"/>
              <w:rPr>
                <w:rFonts w:ascii="宋体" w:hAnsi="宋体" w:cs="宋体"/>
                <w:sz w:val="24"/>
              </w:rPr>
            </w:pPr>
            <w:r>
              <w:rPr>
                <w:rFonts w:hint="eastAsia" w:ascii="宋体" w:hAnsi="宋体" w:cs="宋体"/>
                <w:sz w:val="24"/>
              </w:rPr>
              <w:t>此表无数据</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ascii="宋体" w:hAnsi="宋体" w:cs="宋体"/>
                <w:sz w:val="24"/>
              </w:rPr>
            </w:pPr>
          </w:p>
        </w:tc>
      </w:tr>
      <w:tr>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效益</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r>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满意</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满意度</w:t>
            </w:r>
          </w:p>
          <w:p>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 w:val="28"/>
                <w:szCs w:val="28"/>
              </w:rPr>
            </w:pPr>
          </w:p>
        </w:tc>
      </w:tr>
    </w:tbl>
    <w:p>
      <w:pPr>
        <w:spacing w:line="600" w:lineRule="exact"/>
        <w:jc w:val="center"/>
        <w:outlineLvl w:val="0"/>
        <w:rPr>
          <w:rFonts w:ascii="黑体" w:hAnsi="黑体" w:eastAsia="黑体"/>
          <w:sz w:val="44"/>
          <w:szCs w:val="44"/>
        </w:rPr>
      </w:pPr>
    </w:p>
    <w:p>
      <w:pPr>
        <w:spacing w:line="600" w:lineRule="exact"/>
        <w:outlineLvl w:val="0"/>
        <w:rPr>
          <w:rFonts w:ascii="仿宋_GB2312" w:hAnsi="宋体" w:eastAsia="仿宋_GB2312" w:cs="宋体"/>
          <w:color w:val="000000"/>
          <w:kern w:val="0"/>
          <w:sz w:val="32"/>
          <w:szCs w:val="32"/>
          <w:shd w:val="clear" w:color="auto" w:fill="FFFFFF"/>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5"/>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26"/>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6"/>
          <w:rFonts w:hint="eastAsia" w:ascii="仿宋" w:hAnsi="仿宋" w:eastAsia="仿宋"/>
          <w:b w:val="0"/>
          <w:bCs w:val="0"/>
        </w:rPr>
        <w:t>入决算表</w:t>
      </w:r>
      <w:bookmarkEnd w:id="55"/>
    </w:p>
    <w:p>
      <w:pPr>
        <w:pStyle w:val="4"/>
        <w:rPr>
          <w:rFonts w:ascii="仿宋" w:hAnsi="仿宋" w:eastAsia="仿宋"/>
        </w:rPr>
      </w:pPr>
      <w:bookmarkStart w:id="56"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57"/>
    </w:p>
    <w:p>
      <w:pPr>
        <w:pStyle w:val="4"/>
        <w:rPr>
          <w:rStyle w:val="26"/>
          <w:rFonts w:ascii="仿宋" w:hAnsi="仿宋" w:eastAsia="仿宋"/>
          <w:b w:val="0"/>
          <w:bCs w:val="0"/>
        </w:rPr>
      </w:pPr>
      <w:bookmarkStart w:id="58"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63"/>
    </w:p>
    <w:p>
      <w:pPr>
        <w:pStyle w:val="4"/>
        <w:rPr>
          <w:rFonts w:ascii="仿宋" w:hAnsi="仿宋" w:eastAsia="仿宋"/>
        </w:rPr>
      </w:pPr>
      <w:bookmarkStart w:id="64" w:name="_Toc15396629"/>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64"/>
    </w:p>
    <w:p>
      <w:pPr>
        <w:pStyle w:val="4"/>
        <w:rPr>
          <w:rFonts w:ascii="仿宋" w:hAnsi="仿宋" w:eastAsia="仿宋"/>
        </w:rPr>
      </w:pPr>
      <w:bookmarkStart w:id="65" w:name="_Toc15396630"/>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65"/>
    </w:p>
    <w:p>
      <w:pPr>
        <w:pStyle w:val="4"/>
        <w:rPr>
          <w:rStyle w:val="26"/>
          <w:rFonts w:ascii="仿宋" w:hAnsi="仿宋" w:eastAsia="仿宋"/>
          <w:b w:val="0"/>
          <w:bCs w:val="0"/>
        </w:rPr>
      </w:pPr>
      <w:bookmarkStart w:id="66" w:name="_Toc15396631"/>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有资本经营预算财政拨款收入支出决算表</w:t>
      </w:r>
      <w:bookmarkEnd w:id="66"/>
    </w:p>
    <w:p>
      <w:pPr>
        <w:rPr>
          <w:rFonts w:eastAsia="仿宋"/>
        </w:rPr>
      </w:pPr>
      <w:r>
        <w:rPr>
          <w:rStyle w:val="26"/>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797" w:bottom="1440" w:left="1797"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4335472"/>
    <w:multiLevelType w:val="multilevel"/>
    <w:tmpl w:val="34335472"/>
    <w:lvl w:ilvl="0" w:tentative="0">
      <w:start w:val="1"/>
      <w:numFmt w:val="japaneseCounting"/>
      <w:lvlText w:val="%1、"/>
      <w:lvlJc w:val="left"/>
      <w:pPr>
        <w:ind w:left="720" w:hanging="720"/>
      </w:pPr>
      <w:rPr>
        <w:rFonts w:hint="default" w:ascii="Times New Roman" w:eastAsia="楷体_GB2312" w:hAnsiTheme="majorHAnsi"/>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222C6"/>
    <w:rsid w:val="0002549F"/>
    <w:rsid w:val="000468DB"/>
    <w:rsid w:val="0006487A"/>
    <w:rsid w:val="00065F8F"/>
    <w:rsid w:val="00070A43"/>
    <w:rsid w:val="000768F2"/>
    <w:rsid w:val="00084EF0"/>
    <w:rsid w:val="0009184B"/>
    <w:rsid w:val="00094236"/>
    <w:rsid w:val="00094667"/>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2E9A"/>
    <w:rsid w:val="000F6746"/>
    <w:rsid w:val="00114E9B"/>
    <w:rsid w:val="00142216"/>
    <w:rsid w:val="00144D6A"/>
    <w:rsid w:val="0014729F"/>
    <w:rsid w:val="00157BAB"/>
    <w:rsid w:val="001654D1"/>
    <w:rsid w:val="00174518"/>
    <w:rsid w:val="0018106D"/>
    <w:rsid w:val="0018199D"/>
    <w:rsid w:val="001877A7"/>
    <w:rsid w:val="0019018A"/>
    <w:rsid w:val="00191536"/>
    <w:rsid w:val="00196687"/>
    <w:rsid w:val="001A09F7"/>
    <w:rsid w:val="001C065B"/>
    <w:rsid w:val="001C0962"/>
    <w:rsid w:val="001D7531"/>
    <w:rsid w:val="001E737D"/>
    <w:rsid w:val="001F0592"/>
    <w:rsid w:val="001F7506"/>
    <w:rsid w:val="002006CD"/>
    <w:rsid w:val="00202B36"/>
    <w:rsid w:val="00204B7A"/>
    <w:rsid w:val="00204CDE"/>
    <w:rsid w:val="0021101A"/>
    <w:rsid w:val="00220536"/>
    <w:rsid w:val="00235629"/>
    <w:rsid w:val="002424B6"/>
    <w:rsid w:val="00260C38"/>
    <w:rsid w:val="002616C0"/>
    <w:rsid w:val="00263476"/>
    <w:rsid w:val="00265372"/>
    <w:rsid w:val="002662AA"/>
    <w:rsid w:val="00280496"/>
    <w:rsid w:val="00294DC9"/>
    <w:rsid w:val="00295495"/>
    <w:rsid w:val="002A31DE"/>
    <w:rsid w:val="002B2613"/>
    <w:rsid w:val="002D6D05"/>
    <w:rsid w:val="002D6F0C"/>
    <w:rsid w:val="002E03D0"/>
    <w:rsid w:val="002F1818"/>
    <w:rsid w:val="002F567B"/>
    <w:rsid w:val="003216A9"/>
    <w:rsid w:val="00335A74"/>
    <w:rsid w:val="00361C00"/>
    <w:rsid w:val="0036561B"/>
    <w:rsid w:val="0037013F"/>
    <w:rsid w:val="0037516A"/>
    <w:rsid w:val="00380C92"/>
    <w:rsid w:val="003A484F"/>
    <w:rsid w:val="003A4883"/>
    <w:rsid w:val="003B0BE0"/>
    <w:rsid w:val="003B0C1B"/>
    <w:rsid w:val="003B688C"/>
    <w:rsid w:val="003C0291"/>
    <w:rsid w:val="003C39AE"/>
    <w:rsid w:val="003C3BBA"/>
    <w:rsid w:val="003C7B60"/>
    <w:rsid w:val="003D0C0F"/>
    <w:rsid w:val="003D1FB2"/>
    <w:rsid w:val="003D66DA"/>
    <w:rsid w:val="003D75C0"/>
    <w:rsid w:val="003E1310"/>
    <w:rsid w:val="003E6F55"/>
    <w:rsid w:val="0040534F"/>
    <w:rsid w:val="00406254"/>
    <w:rsid w:val="004223DE"/>
    <w:rsid w:val="00426B0E"/>
    <w:rsid w:val="00426E21"/>
    <w:rsid w:val="00434489"/>
    <w:rsid w:val="00437085"/>
    <w:rsid w:val="00443880"/>
    <w:rsid w:val="004464F4"/>
    <w:rsid w:val="004607EC"/>
    <w:rsid w:val="00470ADE"/>
    <w:rsid w:val="00471401"/>
    <w:rsid w:val="00473F31"/>
    <w:rsid w:val="0048263A"/>
    <w:rsid w:val="00487E5D"/>
    <w:rsid w:val="004A711F"/>
    <w:rsid w:val="004B199D"/>
    <w:rsid w:val="004B4690"/>
    <w:rsid w:val="004E0A2D"/>
    <w:rsid w:val="004E206B"/>
    <w:rsid w:val="004E6DF7"/>
    <w:rsid w:val="004F0FBD"/>
    <w:rsid w:val="004F4421"/>
    <w:rsid w:val="00505A47"/>
    <w:rsid w:val="00512FDA"/>
    <w:rsid w:val="00520DA0"/>
    <w:rsid w:val="005664BB"/>
    <w:rsid w:val="00566FFA"/>
    <w:rsid w:val="0057481D"/>
    <w:rsid w:val="0058486E"/>
    <w:rsid w:val="00585B33"/>
    <w:rsid w:val="0059014D"/>
    <w:rsid w:val="0059469D"/>
    <w:rsid w:val="005A48B8"/>
    <w:rsid w:val="005B5C64"/>
    <w:rsid w:val="005C5337"/>
    <w:rsid w:val="005C6BD0"/>
    <w:rsid w:val="005D1C8B"/>
    <w:rsid w:val="005D468D"/>
    <w:rsid w:val="005D5CED"/>
    <w:rsid w:val="005F1A4C"/>
    <w:rsid w:val="00600EF7"/>
    <w:rsid w:val="00605688"/>
    <w:rsid w:val="006069CD"/>
    <w:rsid w:val="006070AF"/>
    <w:rsid w:val="00607E6C"/>
    <w:rsid w:val="006101B1"/>
    <w:rsid w:val="00614E44"/>
    <w:rsid w:val="0062270A"/>
    <w:rsid w:val="00622830"/>
    <w:rsid w:val="00623DA0"/>
    <w:rsid w:val="00623ECB"/>
    <w:rsid w:val="00630AEF"/>
    <w:rsid w:val="006325F8"/>
    <w:rsid w:val="00633463"/>
    <w:rsid w:val="00634C9A"/>
    <w:rsid w:val="006440E4"/>
    <w:rsid w:val="0066343B"/>
    <w:rsid w:val="00664777"/>
    <w:rsid w:val="00672BCE"/>
    <w:rsid w:val="006748A4"/>
    <w:rsid w:val="00681A31"/>
    <w:rsid w:val="00683E73"/>
    <w:rsid w:val="00687543"/>
    <w:rsid w:val="00694CFA"/>
    <w:rsid w:val="006A3141"/>
    <w:rsid w:val="006A5E34"/>
    <w:rsid w:val="006B2422"/>
    <w:rsid w:val="006B2B9A"/>
    <w:rsid w:val="006B4BF8"/>
    <w:rsid w:val="006C1937"/>
    <w:rsid w:val="006E76F9"/>
    <w:rsid w:val="006F020C"/>
    <w:rsid w:val="007127B7"/>
    <w:rsid w:val="0071798E"/>
    <w:rsid w:val="00725D1C"/>
    <w:rsid w:val="0073025F"/>
    <w:rsid w:val="0073449D"/>
    <w:rsid w:val="007416B6"/>
    <w:rsid w:val="00746F48"/>
    <w:rsid w:val="0075404D"/>
    <w:rsid w:val="0076182A"/>
    <w:rsid w:val="007676FE"/>
    <w:rsid w:val="00767B7E"/>
    <w:rsid w:val="0077403B"/>
    <w:rsid w:val="00775C4D"/>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1381C"/>
    <w:rsid w:val="00817A34"/>
    <w:rsid w:val="008253BB"/>
    <w:rsid w:val="00825E5F"/>
    <w:rsid w:val="0083706E"/>
    <w:rsid w:val="008408F6"/>
    <w:rsid w:val="008423A5"/>
    <w:rsid w:val="00850625"/>
    <w:rsid w:val="00853718"/>
    <w:rsid w:val="00855221"/>
    <w:rsid w:val="00860645"/>
    <w:rsid w:val="00871F71"/>
    <w:rsid w:val="00872FD8"/>
    <w:rsid w:val="00885AF4"/>
    <w:rsid w:val="008939CD"/>
    <w:rsid w:val="008A35E7"/>
    <w:rsid w:val="008B718A"/>
    <w:rsid w:val="008B768C"/>
    <w:rsid w:val="008C4DB1"/>
    <w:rsid w:val="008C4EAF"/>
    <w:rsid w:val="008C5176"/>
    <w:rsid w:val="008C6DBF"/>
    <w:rsid w:val="008C7FD0"/>
    <w:rsid w:val="008D2BB9"/>
    <w:rsid w:val="008D7FA5"/>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94EF6"/>
    <w:rsid w:val="009B2C43"/>
    <w:rsid w:val="009B3145"/>
    <w:rsid w:val="009B4EAE"/>
    <w:rsid w:val="009B7573"/>
    <w:rsid w:val="009C22F4"/>
    <w:rsid w:val="009C2A4B"/>
    <w:rsid w:val="009C2E98"/>
    <w:rsid w:val="009D3447"/>
    <w:rsid w:val="009D4711"/>
    <w:rsid w:val="009D5030"/>
    <w:rsid w:val="009F1185"/>
    <w:rsid w:val="009F18CD"/>
    <w:rsid w:val="009F2A13"/>
    <w:rsid w:val="009F7527"/>
    <w:rsid w:val="00A04EB0"/>
    <w:rsid w:val="00A13CC1"/>
    <w:rsid w:val="00A16847"/>
    <w:rsid w:val="00A204F6"/>
    <w:rsid w:val="00A2144A"/>
    <w:rsid w:val="00A237D8"/>
    <w:rsid w:val="00A268C4"/>
    <w:rsid w:val="00A307CD"/>
    <w:rsid w:val="00A331C8"/>
    <w:rsid w:val="00A40A00"/>
    <w:rsid w:val="00A4142F"/>
    <w:rsid w:val="00A422EB"/>
    <w:rsid w:val="00A45BB7"/>
    <w:rsid w:val="00A56DF2"/>
    <w:rsid w:val="00A56E6E"/>
    <w:rsid w:val="00A67AB5"/>
    <w:rsid w:val="00A733B2"/>
    <w:rsid w:val="00A741C2"/>
    <w:rsid w:val="00A7685A"/>
    <w:rsid w:val="00A91760"/>
    <w:rsid w:val="00A93B00"/>
    <w:rsid w:val="00A93C21"/>
    <w:rsid w:val="00AB64C9"/>
    <w:rsid w:val="00AC3C6A"/>
    <w:rsid w:val="00AD5620"/>
    <w:rsid w:val="00AD656B"/>
    <w:rsid w:val="00AD7C1B"/>
    <w:rsid w:val="00AE16BA"/>
    <w:rsid w:val="00AE1EBE"/>
    <w:rsid w:val="00B03C9D"/>
    <w:rsid w:val="00B060AE"/>
    <w:rsid w:val="00B0722A"/>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A215F"/>
    <w:rsid w:val="00BA2595"/>
    <w:rsid w:val="00BB4DF0"/>
    <w:rsid w:val="00BC098D"/>
    <w:rsid w:val="00BC289F"/>
    <w:rsid w:val="00BC2D50"/>
    <w:rsid w:val="00BC5361"/>
    <w:rsid w:val="00BC5460"/>
    <w:rsid w:val="00BC6B50"/>
    <w:rsid w:val="00BD0E25"/>
    <w:rsid w:val="00BF5BD6"/>
    <w:rsid w:val="00C03E31"/>
    <w:rsid w:val="00C33E72"/>
    <w:rsid w:val="00C354B2"/>
    <w:rsid w:val="00C35554"/>
    <w:rsid w:val="00C41AF3"/>
    <w:rsid w:val="00C42709"/>
    <w:rsid w:val="00C533CC"/>
    <w:rsid w:val="00C5751C"/>
    <w:rsid w:val="00C61BFC"/>
    <w:rsid w:val="00C62B85"/>
    <w:rsid w:val="00C65438"/>
    <w:rsid w:val="00C74E1D"/>
    <w:rsid w:val="00C87FD8"/>
    <w:rsid w:val="00C91381"/>
    <w:rsid w:val="00C91CBB"/>
    <w:rsid w:val="00C95EAE"/>
    <w:rsid w:val="00CB15A5"/>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55E47"/>
    <w:rsid w:val="00D7035F"/>
    <w:rsid w:val="00DA634F"/>
    <w:rsid w:val="00DA65AC"/>
    <w:rsid w:val="00DB1913"/>
    <w:rsid w:val="00DC410D"/>
    <w:rsid w:val="00DC5A81"/>
    <w:rsid w:val="00DC68CA"/>
    <w:rsid w:val="00DC7CBA"/>
    <w:rsid w:val="00DD6BBC"/>
    <w:rsid w:val="00DD73B7"/>
    <w:rsid w:val="00DE3B23"/>
    <w:rsid w:val="00DF28BC"/>
    <w:rsid w:val="00DF34B9"/>
    <w:rsid w:val="00E01053"/>
    <w:rsid w:val="00E07ACF"/>
    <w:rsid w:val="00E203B6"/>
    <w:rsid w:val="00E331A1"/>
    <w:rsid w:val="00E33202"/>
    <w:rsid w:val="00E336A9"/>
    <w:rsid w:val="00E45823"/>
    <w:rsid w:val="00E472B1"/>
    <w:rsid w:val="00E50624"/>
    <w:rsid w:val="00E52DF2"/>
    <w:rsid w:val="00E568DF"/>
    <w:rsid w:val="00E64269"/>
    <w:rsid w:val="00E704DF"/>
    <w:rsid w:val="00E82267"/>
    <w:rsid w:val="00E853CE"/>
    <w:rsid w:val="00E867B6"/>
    <w:rsid w:val="00EA010F"/>
    <w:rsid w:val="00EA43B4"/>
    <w:rsid w:val="00EC12F9"/>
    <w:rsid w:val="00ED1B63"/>
    <w:rsid w:val="00ED3C1F"/>
    <w:rsid w:val="00ED4085"/>
    <w:rsid w:val="00ED420E"/>
    <w:rsid w:val="00ED6FBE"/>
    <w:rsid w:val="00EE2F57"/>
    <w:rsid w:val="00EF4C34"/>
    <w:rsid w:val="00EF7259"/>
    <w:rsid w:val="00EF77C6"/>
    <w:rsid w:val="00F05438"/>
    <w:rsid w:val="00F1361C"/>
    <w:rsid w:val="00F156F0"/>
    <w:rsid w:val="00F160C7"/>
    <w:rsid w:val="00F2408F"/>
    <w:rsid w:val="00F240E9"/>
    <w:rsid w:val="00F36D8F"/>
    <w:rsid w:val="00F417B1"/>
    <w:rsid w:val="00F45853"/>
    <w:rsid w:val="00F47EDC"/>
    <w:rsid w:val="00F5037D"/>
    <w:rsid w:val="00F602DF"/>
    <w:rsid w:val="00F754A1"/>
    <w:rsid w:val="00F81FD9"/>
    <w:rsid w:val="00F841AA"/>
    <w:rsid w:val="00F84A94"/>
    <w:rsid w:val="00F87E96"/>
    <w:rsid w:val="00F97A10"/>
    <w:rsid w:val="00FA23E8"/>
    <w:rsid w:val="00FD3CC1"/>
    <w:rsid w:val="00FF1E02"/>
    <w:rsid w:val="00FF30B4"/>
    <w:rsid w:val="0A2032A3"/>
    <w:rsid w:val="0B8A37D8"/>
    <w:rsid w:val="10C055FF"/>
    <w:rsid w:val="118107EC"/>
    <w:rsid w:val="11DD6519"/>
    <w:rsid w:val="16BB723D"/>
    <w:rsid w:val="18015F3F"/>
    <w:rsid w:val="1BE8440E"/>
    <w:rsid w:val="1D155CEE"/>
    <w:rsid w:val="20F57F95"/>
    <w:rsid w:val="240371BF"/>
    <w:rsid w:val="25C741E6"/>
    <w:rsid w:val="27842671"/>
    <w:rsid w:val="29FD04D3"/>
    <w:rsid w:val="2ABE7A3E"/>
    <w:rsid w:val="2EFA178C"/>
    <w:rsid w:val="30B46D73"/>
    <w:rsid w:val="319F7F4E"/>
    <w:rsid w:val="37FCE555"/>
    <w:rsid w:val="39AE70AB"/>
    <w:rsid w:val="3C0C0783"/>
    <w:rsid w:val="3E974C38"/>
    <w:rsid w:val="3F9F3A96"/>
    <w:rsid w:val="3FFFB649"/>
    <w:rsid w:val="45F6FA86"/>
    <w:rsid w:val="493C27E9"/>
    <w:rsid w:val="496F39ED"/>
    <w:rsid w:val="49FF41D3"/>
    <w:rsid w:val="4BE068DB"/>
    <w:rsid w:val="4BF6002B"/>
    <w:rsid w:val="4ECE2238"/>
    <w:rsid w:val="51DB4B86"/>
    <w:rsid w:val="55333C3E"/>
    <w:rsid w:val="5DF78879"/>
    <w:rsid w:val="64CA39A1"/>
    <w:rsid w:val="6B968194"/>
    <w:rsid w:val="6C4A05C8"/>
    <w:rsid w:val="6EAF6B3D"/>
    <w:rsid w:val="72734D90"/>
    <w:rsid w:val="75B704FC"/>
    <w:rsid w:val="79E7B28D"/>
    <w:rsid w:val="7BDB1D9A"/>
    <w:rsid w:val="7F9F20EE"/>
    <w:rsid w:val="9E3A10E2"/>
    <w:rsid w:val="9EE26CF7"/>
    <w:rsid w:val="AFFD6FB4"/>
    <w:rsid w:val="BDFCB66B"/>
    <w:rsid w:val="BFEF947C"/>
    <w:rsid w:val="CEEEDF51"/>
    <w:rsid w:val="CFFD7961"/>
    <w:rsid w:val="EEB7D4A6"/>
    <w:rsid w:val="F2E1F9D4"/>
    <w:rsid w:val="F75868ED"/>
    <w:rsid w:val="F7880819"/>
    <w:rsid w:val="F7DED9A5"/>
    <w:rsid w:val="F8BFEE77"/>
    <w:rsid w:val="FA7F0D96"/>
    <w:rsid w:val="FE3B750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Normal Indent"/>
    <w:basedOn w:val="1"/>
    <w:qFormat/>
    <w:uiPriority w:val="0"/>
    <w:pPr>
      <w:suppressAutoHyphens/>
    </w:pPr>
    <w:rPr>
      <w:rFonts w:ascii="Calibri" w:hAnsi="Calibri"/>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2020年</c:v>
                </c:pt>
              </c:strCache>
            </c:strRef>
          </c:tx>
          <c:invertIfNegative val="false"/>
          <c:dLbls>
            <c:delete val="true"/>
          </c:dLbls>
          <c:cat>
            <c:strRef>
              <c:f>Sheet1!$A$2:$A$3</c:f>
              <c:strCache>
                <c:ptCount val="2"/>
                <c:pt idx="0">
                  <c:v>收入（万元）</c:v>
                </c:pt>
                <c:pt idx="1">
                  <c:v>支出（万元）</c:v>
                </c:pt>
              </c:strCache>
            </c:strRef>
          </c:cat>
          <c:val>
            <c:numRef>
              <c:f>Sheet1!$B$2:$B$3</c:f>
              <c:numCache>
                <c:formatCode>General</c:formatCode>
                <c:ptCount val="2"/>
                <c:pt idx="0">
                  <c:v>290.9</c:v>
                </c:pt>
                <c:pt idx="1">
                  <c:v>290.9</c:v>
                </c:pt>
              </c:numCache>
            </c:numRef>
          </c:val>
        </c:ser>
        <c:ser>
          <c:idx val="1"/>
          <c:order val="1"/>
          <c:tx>
            <c:strRef>
              <c:f>Sheet1!$C$1</c:f>
              <c:strCache>
                <c:ptCount val="1"/>
                <c:pt idx="0">
                  <c:v>2021年</c:v>
                </c:pt>
              </c:strCache>
            </c:strRef>
          </c:tx>
          <c:invertIfNegative val="false"/>
          <c:dLbls>
            <c:delete val="true"/>
          </c:dLbls>
          <c:cat>
            <c:strRef>
              <c:f>Sheet1!$A$2:$A$3</c:f>
              <c:strCache>
                <c:ptCount val="2"/>
                <c:pt idx="0">
                  <c:v>收入（万元）</c:v>
                </c:pt>
                <c:pt idx="1">
                  <c:v>支出（万元）</c:v>
                </c:pt>
              </c:strCache>
            </c:strRef>
          </c:cat>
          <c:val>
            <c:numRef>
              <c:f>Sheet1!$C$2:$C$3</c:f>
              <c:numCache>
                <c:formatCode>General</c:formatCode>
                <c:ptCount val="2"/>
                <c:pt idx="0">
                  <c:v>237.9</c:v>
                </c:pt>
                <c:pt idx="1">
                  <c:v>237.9</c:v>
                </c:pt>
              </c:numCache>
            </c:numRef>
          </c:val>
        </c:ser>
        <c:dLbls>
          <c:showLegendKey val="false"/>
          <c:showVal val="false"/>
          <c:showCatName val="false"/>
          <c:showSerName val="false"/>
          <c:showPercent val="false"/>
          <c:showBubbleSize val="false"/>
        </c:dLbls>
        <c:gapWidth val="150"/>
        <c:axId val="267865088"/>
        <c:axId val="267879168"/>
      </c:barChart>
      <c:catAx>
        <c:axId val="267865088"/>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67879168"/>
        <c:crosses val="autoZero"/>
        <c:auto val="true"/>
        <c:lblAlgn val="ctr"/>
        <c:lblOffset val="100"/>
        <c:noMultiLvlLbl val="false"/>
      </c:catAx>
      <c:valAx>
        <c:axId val="267879168"/>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67865088"/>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barChart>
        <c:barDir val="col"/>
        <c:grouping val="clustered"/>
        <c:varyColors val="false"/>
        <c:ser>
          <c:idx val="0"/>
          <c:order val="0"/>
          <c:tx>
            <c:strRef>
              <c:f>Sheet1!$B$1</c:f>
              <c:strCache>
                <c:ptCount val="1"/>
                <c:pt idx="0">
                  <c:v>2021年收入（万元）</c:v>
                </c:pt>
              </c:strCache>
            </c:strRef>
          </c:tx>
          <c:invertIfNegative val="false"/>
          <c:dLbls>
            <c:delete val="true"/>
          </c:dLbls>
          <c:cat>
            <c:strRef>
              <c:f>Sheet1!$A$2:$A$3</c:f>
              <c:strCache>
                <c:ptCount val="2"/>
                <c:pt idx="0">
                  <c:v>本年收入合计</c:v>
                </c:pt>
                <c:pt idx="1">
                  <c:v>一般公共预算财政拨款收入</c:v>
                </c:pt>
              </c:strCache>
            </c:strRef>
          </c:cat>
          <c:val>
            <c:numRef>
              <c:f>Sheet1!$B$2:$B$3</c:f>
              <c:numCache>
                <c:formatCode>General</c:formatCode>
                <c:ptCount val="2"/>
                <c:pt idx="0">
                  <c:v>237.9</c:v>
                </c:pt>
                <c:pt idx="1">
                  <c:v>207.19</c:v>
                </c:pt>
              </c:numCache>
            </c:numRef>
          </c:val>
        </c:ser>
        <c:dLbls>
          <c:showLegendKey val="false"/>
          <c:showVal val="false"/>
          <c:showCatName val="false"/>
          <c:showSerName val="false"/>
          <c:showPercent val="false"/>
          <c:showBubbleSize val="false"/>
        </c:dLbls>
        <c:gapWidth val="150"/>
        <c:axId val="267891072"/>
        <c:axId val="267892608"/>
      </c:barChart>
      <c:catAx>
        <c:axId val="267891072"/>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67892608"/>
        <c:crosses val="autoZero"/>
        <c:auto val="true"/>
        <c:lblAlgn val="ctr"/>
        <c:lblOffset val="100"/>
        <c:noMultiLvlLbl val="false"/>
      </c:catAx>
      <c:valAx>
        <c:axId val="267892608"/>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67891072"/>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manualLayout>
          <c:layoutTarget val="inner"/>
          <c:xMode val="edge"/>
          <c:yMode val="edge"/>
          <c:x val="0.062571217846505"/>
          <c:y val="0.167193063715333"/>
          <c:w val="0.650420421274056"/>
          <c:h val="0.713729065600546"/>
        </c:manualLayout>
      </c:layout>
      <c:barChart>
        <c:barDir val="col"/>
        <c:grouping val="stacked"/>
        <c:varyColors val="false"/>
        <c:ser>
          <c:idx val="0"/>
          <c:order val="0"/>
          <c:tx>
            <c:strRef>
              <c:f>Sheet1!$B$1</c:f>
              <c:strCache>
                <c:ptCount val="1"/>
                <c:pt idx="0">
                  <c:v>2021支出（万元）</c:v>
                </c:pt>
              </c:strCache>
            </c:strRef>
          </c:tx>
          <c:invertIfNegative val="false"/>
          <c:dLbls>
            <c:delete val="true"/>
          </c:dLbls>
          <c:cat>
            <c:strRef>
              <c:f>Sheet1!$A$2:$A$4</c:f>
              <c:strCache>
                <c:ptCount val="3"/>
                <c:pt idx="0">
                  <c:v>本年支出</c:v>
                </c:pt>
                <c:pt idx="1">
                  <c:v>基本支出</c:v>
                </c:pt>
                <c:pt idx="2">
                  <c:v>项目支出</c:v>
                </c:pt>
              </c:strCache>
            </c:strRef>
          </c:cat>
          <c:val>
            <c:numRef>
              <c:f>Sheet1!$B$2:$B$4</c:f>
              <c:numCache>
                <c:formatCode>General</c:formatCode>
                <c:ptCount val="3"/>
                <c:pt idx="0">
                  <c:v>233.47</c:v>
                </c:pt>
                <c:pt idx="1">
                  <c:v>204.63</c:v>
                </c:pt>
                <c:pt idx="2">
                  <c:v>28.85</c:v>
                </c:pt>
              </c:numCache>
            </c:numRef>
          </c:val>
        </c:ser>
        <c:dLbls>
          <c:showLegendKey val="false"/>
          <c:showVal val="false"/>
          <c:showCatName val="false"/>
          <c:showSerName val="false"/>
          <c:showPercent val="false"/>
          <c:showBubbleSize val="false"/>
        </c:dLbls>
        <c:gapWidth val="150"/>
        <c:overlap val="100"/>
        <c:axId val="267904896"/>
        <c:axId val="267906432"/>
      </c:barChart>
      <c:catAx>
        <c:axId val="267904896"/>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67906432"/>
        <c:crosses val="autoZero"/>
        <c:auto val="true"/>
        <c:lblAlgn val="ctr"/>
        <c:lblOffset val="100"/>
        <c:noMultiLvlLbl val="false"/>
      </c:catAx>
      <c:valAx>
        <c:axId val="267906432"/>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67904896"/>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manualLayout>
          <c:layoutTarget val="inner"/>
          <c:xMode val="edge"/>
          <c:yMode val="edge"/>
          <c:x val="0.120131120948937"/>
          <c:y val="0.173622776319627"/>
          <c:w val="0.585206538023949"/>
          <c:h val="0.678939195100612"/>
        </c:manualLayout>
      </c:layout>
      <c:barChart>
        <c:barDir val="col"/>
        <c:grouping val="stacked"/>
        <c:varyColors val="false"/>
        <c:ser>
          <c:idx val="0"/>
          <c:order val="0"/>
          <c:tx>
            <c:strRef>
              <c:f>Sheet1!$B$1</c:f>
              <c:strCache>
                <c:ptCount val="1"/>
                <c:pt idx="0">
                  <c:v>财政拨款收入支出</c:v>
                </c:pt>
              </c:strCache>
            </c:strRef>
          </c:tx>
          <c:invertIfNegative val="false"/>
          <c:dLbls>
            <c:delete val="true"/>
          </c:dLbls>
          <c:cat>
            <c:strRef>
              <c:f>Sheet1!$A$2:$A$5</c:f>
              <c:strCache>
                <c:ptCount val="4"/>
                <c:pt idx="0">
                  <c:v>2021年收入</c:v>
                </c:pt>
                <c:pt idx="1">
                  <c:v>2021年支出</c:v>
                </c:pt>
                <c:pt idx="2">
                  <c:v>2020年收入</c:v>
                </c:pt>
                <c:pt idx="3">
                  <c:v>2020年支出</c:v>
                </c:pt>
              </c:strCache>
            </c:strRef>
          </c:cat>
          <c:val>
            <c:numRef>
              <c:f>Sheet1!$B$2:$B$5</c:f>
              <c:numCache>
                <c:formatCode>General</c:formatCode>
                <c:ptCount val="4"/>
                <c:pt idx="0">
                  <c:v>237.9</c:v>
                </c:pt>
                <c:pt idx="1">
                  <c:v>237.9</c:v>
                </c:pt>
                <c:pt idx="2">
                  <c:v>254.24</c:v>
                </c:pt>
                <c:pt idx="3">
                  <c:v>254.24</c:v>
                </c:pt>
              </c:numCache>
            </c:numRef>
          </c:val>
        </c:ser>
        <c:dLbls>
          <c:showLegendKey val="false"/>
          <c:showVal val="false"/>
          <c:showCatName val="false"/>
          <c:showSerName val="false"/>
          <c:showPercent val="false"/>
          <c:showBubbleSize val="false"/>
        </c:dLbls>
        <c:gapWidth val="150"/>
        <c:overlap val="100"/>
        <c:axId val="353860992"/>
        <c:axId val="358499456"/>
      </c:barChart>
      <c:catAx>
        <c:axId val="353860992"/>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58499456"/>
        <c:crosses val="autoZero"/>
        <c:auto val="true"/>
        <c:lblAlgn val="ctr"/>
        <c:lblOffset val="100"/>
        <c:noMultiLvlLbl val="false"/>
      </c:catAx>
      <c:valAx>
        <c:axId val="358499456"/>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53860992"/>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barChart>
        <c:barDir val="col"/>
        <c:grouping val="clustered"/>
        <c:varyColors val="false"/>
        <c:ser>
          <c:idx val="0"/>
          <c:order val="0"/>
          <c:tx>
            <c:strRef>
              <c:f>Sheet1!$B$1</c:f>
              <c:strCache>
                <c:ptCount val="1"/>
                <c:pt idx="0">
                  <c:v>一般公共预算支出（万元）</c:v>
                </c:pt>
              </c:strCache>
            </c:strRef>
          </c:tx>
          <c:invertIfNegative val="false"/>
          <c:dLbls>
            <c:delete val="true"/>
          </c:dLbls>
          <c:cat>
            <c:strRef>
              <c:f>Sheet1!$A$2:$A$5</c:f>
              <c:strCache>
                <c:ptCount val="4"/>
                <c:pt idx="0">
                  <c:v>2021年收入</c:v>
                </c:pt>
                <c:pt idx="1">
                  <c:v>2021年支出</c:v>
                </c:pt>
                <c:pt idx="2">
                  <c:v>2020年收入</c:v>
                </c:pt>
                <c:pt idx="3">
                  <c:v>2020年支出</c:v>
                </c:pt>
              </c:strCache>
            </c:strRef>
          </c:cat>
          <c:val>
            <c:numRef>
              <c:f>Sheet1!$B$2:$B$5</c:f>
              <c:numCache>
                <c:formatCode>General</c:formatCode>
                <c:ptCount val="4"/>
                <c:pt idx="0">
                  <c:v>207.19</c:v>
                </c:pt>
                <c:pt idx="1">
                  <c:v>207.19</c:v>
                </c:pt>
                <c:pt idx="2">
                  <c:v>227.41</c:v>
                </c:pt>
                <c:pt idx="3">
                  <c:v>227.41</c:v>
                </c:pt>
              </c:numCache>
            </c:numRef>
          </c:val>
        </c:ser>
        <c:dLbls>
          <c:showLegendKey val="false"/>
          <c:showVal val="false"/>
          <c:showCatName val="false"/>
          <c:showSerName val="false"/>
          <c:showPercent val="false"/>
          <c:showBubbleSize val="false"/>
        </c:dLbls>
        <c:gapWidth val="150"/>
        <c:axId val="212726912"/>
        <c:axId val="212728448"/>
      </c:barChart>
      <c:catAx>
        <c:axId val="212726912"/>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12728448"/>
        <c:crosses val="autoZero"/>
        <c:auto val="true"/>
        <c:lblAlgn val="ctr"/>
        <c:lblOffset val="100"/>
        <c:noMultiLvlLbl val="false"/>
      </c:catAx>
      <c:valAx>
        <c:axId val="212728448"/>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12726912"/>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2021年一般公共预算财政拨款支出</c:v>
                </c:pt>
              </c:strCache>
            </c:strRef>
          </c:tx>
          <c:explosion val="0"/>
          <c:dPt>
            <c:idx val="0"/>
            <c:bubble3D val="false"/>
          </c:dPt>
          <c:dPt>
            <c:idx val="1"/>
            <c:bubble3D val="false"/>
          </c:dPt>
          <c:dPt>
            <c:idx val="2"/>
            <c:bubble3D val="false"/>
          </c:dPt>
          <c:dLbls>
            <c:delete val="true"/>
          </c:dLbls>
          <c:cat>
            <c:strRef>
              <c:f>Sheet1!$A$2:$A$4</c:f>
              <c:strCache>
                <c:ptCount val="3"/>
                <c:pt idx="0">
                  <c:v>科学技术支出</c:v>
                </c:pt>
                <c:pt idx="1">
                  <c:v>社会保障和就业支出</c:v>
                </c:pt>
                <c:pt idx="2">
                  <c:v>住房保障支出</c:v>
                </c:pt>
              </c:strCache>
            </c:strRef>
          </c:cat>
          <c:val>
            <c:numRef>
              <c:f>Sheet1!$B$2:$B$4</c:f>
              <c:numCache>
                <c:formatCode>General</c:formatCode>
                <c:ptCount val="3"/>
                <c:pt idx="0">
                  <c:v>158.11</c:v>
                </c:pt>
                <c:pt idx="1">
                  <c:v>40.28</c:v>
                </c:pt>
                <c:pt idx="2">
                  <c:v>11.8</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2021年三公经费支出（万元）</c:v>
                </c:pt>
              </c:strCache>
            </c:strRef>
          </c:tx>
          <c:explosion val="0"/>
          <c:dPt>
            <c:idx val="0"/>
            <c:bubble3D val="false"/>
          </c:dPt>
          <c:dPt>
            <c:idx val="1"/>
            <c:bubble3D val="false"/>
          </c:dPt>
          <c:dPt>
            <c:idx val="2"/>
            <c:bubble3D val="false"/>
          </c:dPt>
          <c:dLbls>
            <c:delete val="true"/>
          </c:dLbls>
          <c:cat>
            <c:strRef>
              <c:f>Sheet1!$A$2:$A$4</c:f>
              <c:strCache>
                <c:ptCount val="3"/>
                <c:pt idx="0">
                  <c:v>因公出国经费</c:v>
                </c:pt>
                <c:pt idx="1">
                  <c:v>公务用车购置及运行维护</c:v>
                </c:pt>
                <c:pt idx="2">
                  <c:v>公务接待支出</c:v>
                </c:pt>
              </c:strCache>
            </c:strRef>
          </c:cat>
          <c:val>
            <c:numRef>
              <c:f>Sheet1!$B$2:$B$4</c:f>
              <c:numCache>
                <c:formatCode>General</c:formatCode>
                <c:ptCount val="3"/>
                <c:pt idx="0">
                  <c:v>0</c:v>
                </c:pt>
                <c:pt idx="1">
                  <c:v>1.39</c:v>
                </c:pt>
                <c:pt idx="2">
                  <c:v>0.23</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1284</Words>
  <Characters>7322</Characters>
  <Lines>61</Lines>
  <Paragraphs>17</Paragraphs>
  <TotalTime>11</TotalTime>
  <ScaleCrop>false</ScaleCrop>
  <LinksUpToDate>false</LinksUpToDate>
  <CharactersWithSpaces>8589</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2020-08-06T09:49:00Z</dcterms:created>
  <dc:creator>曹颖</dc:creator>
  <cp:lastModifiedBy>user</cp:lastModifiedBy>
  <cp:lastPrinted>2022-08-07T10:23:00Z</cp:lastPrinted>
  <dcterms:modified xsi:type="dcterms:W3CDTF">2023-10-13T10:19:20Z</dcterms:modified>
  <dc:title>四川省***</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