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bookmarkEnd w:id="0"/>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5396597"/>
      <w:bookmarkStart w:id="3" w:name="_Toc15396475"/>
      <w:bookmarkStart w:id="4" w:name="_Toc15377425"/>
      <w:bookmarkStart w:id="5" w:name="_Toc15377193"/>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77194"/>
      <w:bookmarkStart w:id="8" w:name="_Toc15396598"/>
      <w:bookmarkStart w:id="9" w:name="_Toc15378442"/>
      <w:bookmarkStart w:id="10" w:name="_Toc15396476"/>
      <w:r>
        <w:rPr>
          <w:rFonts w:hint="eastAsia" w:ascii="方正小标宋简体" w:hAnsi="方正小标宋简体" w:eastAsia="方正小标宋简体" w:cs="方正小标宋简体"/>
          <w:sz w:val="72"/>
          <w:szCs w:val="72"/>
        </w:rPr>
        <w:t>四川省</w:t>
      </w:r>
      <w:bookmarkStart w:id="11" w:name="_Toc15306268"/>
      <w:r>
        <w:rPr>
          <w:rFonts w:hint="eastAsia" w:ascii="方正小标宋简体" w:hAnsi="方正小标宋简体" w:eastAsia="方正小标宋简体" w:cs="方正小标宋简体"/>
          <w:sz w:val="72"/>
          <w:szCs w:val="72"/>
        </w:rPr>
        <w:t>攀枝花市科技发展战略研究所单位决算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bookmarkStart w:id="12" w:name="_Toc15377196"/>
      <w:bookmarkStart w:id="13" w:name="_Toc15396599"/>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公开时间：2023年9月</w:t>
      </w:r>
      <w:r>
        <w:t>1</w:t>
      </w:r>
      <w:r>
        <w:rPr>
          <w:rFonts w:hint="default"/>
          <w:lang w:val="en"/>
        </w:rPr>
        <w:t>4</w:t>
      </w:r>
      <w:bookmarkStart w:id="67" w:name="_GoBack"/>
      <w:bookmarkEnd w:id="67"/>
      <w:r>
        <w:rPr>
          <w:rFonts w:hint="eastAsia"/>
        </w:rPr>
        <w:t>日</w:t>
      </w:r>
    </w:p>
    <w:p/>
    <w:p>
      <w:pPr>
        <w:pStyle w:val="10"/>
        <w:adjustRightInd w:val="0"/>
        <w:snapToGrid w:val="0"/>
        <w:spacing w:before="0" w:line="440" w:lineRule="exact"/>
        <w:jc w:val="left"/>
        <w:rPr>
          <w:rFonts w:hint="eastAsia" w:eastAsia="仿宋" w:cstheme="minorBidi"/>
          <w:sz w:val="24"/>
          <w:szCs w:val="24"/>
          <w:lang w:val="en-US" w:eastAsia="zh-CN"/>
        </w:rPr>
      </w:pPr>
      <w:r>
        <w:rPr>
          <w:rFonts w:hint="eastAsia"/>
          <w:sz w:val="24"/>
        </w:rPr>
        <w:t>第一部分</w:t>
      </w:r>
      <w:r>
        <w:rPr>
          <w:sz w:val="24"/>
        </w:rPr>
        <w:t xml:space="preserve"> </w:t>
      </w:r>
      <w:r>
        <w:rPr>
          <w:rFonts w:hint="eastAsia"/>
          <w:sz w:val="24"/>
        </w:rPr>
        <w:t>单位概况</w:t>
      </w:r>
      <w:r>
        <w:rPr>
          <w:rFonts w:cstheme="minorBidi"/>
          <w:sz w:val="24"/>
          <w:szCs w:val="24"/>
        </w:rPr>
        <w:tab/>
      </w:r>
      <w:r>
        <w:rPr>
          <w:rFonts w:hint="eastAsia" w:cstheme="minorBidi"/>
          <w:sz w:val="24"/>
          <w:szCs w:val="24"/>
          <w:lang w:val="en-US" w:eastAsia="zh-CN"/>
        </w:rPr>
        <w:t>4</w:t>
      </w:r>
    </w:p>
    <w:p>
      <w:pPr>
        <w:pStyle w:val="11"/>
        <w:adjustRightInd w:val="0"/>
        <w:snapToGrid w:val="0"/>
        <w:spacing w:line="440" w:lineRule="exact"/>
        <w:jc w:val="left"/>
        <w:rPr>
          <w:rFonts w:hint="eastAsia" w:eastAsia="宋体"/>
          <w:sz w:val="24"/>
          <w:lang w:val="en-US" w:eastAsia="zh-CN"/>
        </w:rPr>
      </w:pPr>
      <w:r>
        <w:rPr>
          <w:rFonts w:hint="eastAsia"/>
          <w:sz w:val="24"/>
        </w:rPr>
        <w:t>一、主要职责</w:t>
      </w:r>
      <w:r>
        <w:rPr>
          <w:rFonts w:cstheme="minorBidi"/>
          <w:sz w:val="24"/>
        </w:rPr>
        <w:tab/>
      </w:r>
      <w:r>
        <w:rPr>
          <w:rFonts w:hint="eastAsia" w:cstheme="minorBidi"/>
          <w:sz w:val="24"/>
          <w:lang w:val="en-US" w:eastAsia="zh-CN"/>
        </w:rPr>
        <w:t>4</w:t>
      </w:r>
    </w:p>
    <w:p>
      <w:pPr>
        <w:pStyle w:val="11"/>
        <w:adjustRightInd w:val="0"/>
        <w:snapToGrid w:val="0"/>
        <w:spacing w:line="440" w:lineRule="exact"/>
        <w:jc w:val="left"/>
        <w:rPr>
          <w:rFonts w:hint="eastAsia" w:eastAsia="宋体"/>
          <w:lang w:val="en-US" w:eastAsia="zh-CN"/>
        </w:rPr>
      </w:pPr>
      <w:r>
        <w:rPr>
          <w:rFonts w:hint="eastAsia"/>
          <w:sz w:val="24"/>
        </w:rPr>
        <w:t>二、机构设置</w:t>
      </w:r>
      <w:r>
        <w:rPr>
          <w:rFonts w:cstheme="minorBidi"/>
          <w:sz w:val="24"/>
        </w:rPr>
        <w:tab/>
      </w:r>
      <w:r>
        <w:rPr>
          <w:rFonts w:hint="eastAsia" w:cstheme="minorBidi"/>
          <w:sz w:val="24"/>
          <w:lang w:val="en-US" w:eastAsia="zh-CN"/>
        </w:rPr>
        <w:t>4</w:t>
      </w:r>
    </w:p>
    <w:p>
      <w:pPr>
        <w:pStyle w:val="10"/>
        <w:adjustRightInd w:val="0"/>
        <w:snapToGrid w:val="0"/>
        <w:spacing w:before="0" w:line="440" w:lineRule="exact"/>
        <w:jc w:val="left"/>
        <w:rPr>
          <w:rFonts w:hint="default" w:eastAsia="仿宋"/>
          <w:sz w:val="24"/>
          <w:szCs w:val="24"/>
          <w:lang w:val="en-US" w:eastAsia="zh-CN"/>
        </w:rPr>
      </w:pPr>
      <w:r>
        <w:rPr>
          <w:rFonts w:hint="eastAsia"/>
          <w:sz w:val="24"/>
        </w:rPr>
        <w:t>第二部分 2022年度单位决算情况说明</w:t>
      </w:r>
      <w:r>
        <w:rPr>
          <w:rFonts w:cstheme="minorBidi"/>
          <w:sz w:val="24"/>
        </w:rPr>
        <w:tab/>
      </w:r>
      <w:r>
        <w:rPr>
          <w:rFonts w:hint="eastAsia" w:cstheme="minorBidi"/>
          <w:sz w:val="24"/>
          <w:lang w:val="en-US" w:eastAsia="zh-CN"/>
        </w:rPr>
        <w:t>6</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一、收入支出决算总体情况说明</w:t>
      </w:r>
      <w:r>
        <w:rPr>
          <w:rFonts w:cstheme="minorBidi"/>
          <w:sz w:val="24"/>
        </w:rPr>
        <w:tab/>
      </w:r>
      <w:r>
        <w:rPr>
          <w:rFonts w:hint="eastAsia" w:cstheme="minorBidi"/>
          <w:sz w:val="24"/>
          <w:lang w:val="en-US" w:eastAsia="zh-CN"/>
        </w:rPr>
        <w:t>6</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二、收入决算情况说明</w:t>
      </w:r>
      <w:r>
        <w:rPr>
          <w:rFonts w:cstheme="minorBidi"/>
          <w:sz w:val="24"/>
        </w:rPr>
        <w:tab/>
      </w:r>
      <w:r>
        <w:rPr>
          <w:rFonts w:hint="eastAsia" w:cstheme="minorBidi"/>
          <w:sz w:val="24"/>
          <w:lang w:val="en-US" w:eastAsia="zh-CN"/>
        </w:rPr>
        <w:t>6</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三、支出决算情况说明</w:t>
      </w:r>
      <w:r>
        <w:rPr>
          <w:rFonts w:cstheme="minorBidi"/>
          <w:sz w:val="24"/>
        </w:rPr>
        <w:tab/>
      </w:r>
      <w:r>
        <w:rPr>
          <w:rFonts w:hint="eastAsia" w:cstheme="minorBidi"/>
          <w:sz w:val="24"/>
          <w:lang w:val="en-US" w:eastAsia="zh-CN"/>
        </w:rPr>
        <w:t>7</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四、财政拨款收入支出决算总体情况说明</w:t>
      </w:r>
      <w:r>
        <w:rPr>
          <w:rFonts w:cstheme="minorBidi"/>
          <w:sz w:val="24"/>
        </w:rPr>
        <w:tab/>
      </w:r>
      <w:r>
        <w:rPr>
          <w:rFonts w:hint="eastAsia" w:cstheme="minorBidi"/>
          <w:sz w:val="24"/>
          <w:lang w:val="en-US" w:eastAsia="zh-CN"/>
        </w:rPr>
        <w:t>7</w:t>
      </w:r>
    </w:p>
    <w:p>
      <w:pPr>
        <w:pStyle w:val="11"/>
        <w:adjustRightInd w:val="0"/>
        <w:snapToGrid w:val="0"/>
        <w:spacing w:line="440" w:lineRule="exact"/>
        <w:jc w:val="left"/>
        <w:rPr>
          <w:rFonts w:hint="eastAsia" w:ascii="仿宋" w:hAnsi="仿宋" w:eastAsia="宋体" w:cstheme="minorBidi"/>
          <w:sz w:val="24"/>
          <w:lang w:val="en-US" w:eastAsia="zh-CN"/>
        </w:rPr>
      </w:pPr>
      <w:r>
        <w:rPr>
          <w:rFonts w:hint="eastAsia"/>
          <w:sz w:val="24"/>
        </w:rPr>
        <w:t>五、一般公共预算财政拨款支出决算情况说明</w:t>
      </w:r>
      <w:r>
        <w:rPr>
          <w:rFonts w:cstheme="minorBidi"/>
          <w:sz w:val="24"/>
        </w:rPr>
        <w:tab/>
      </w:r>
      <w:r>
        <w:rPr>
          <w:rFonts w:hint="eastAsia" w:cstheme="minorBidi"/>
          <w:sz w:val="24"/>
          <w:lang w:val="en-US" w:eastAsia="zh-CN"/>
        </w:rPr>
        <w:t>8</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cstheme="minorBidi"/>
          <w:sz w:val="24"/>
        </w:rPr>
        <w:tab/>
      </w:r>
      <w:r>
        <w:rPr>
          <w:rFonts w:hint="eastAsia" w:cstheme="minorBidi"/>
          <w:sz w:val="24"/>
          <w:lang w:val="en-US" w:eastAsia="zh-CN"/>
        </w:rPr>
        <w:t>10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七、财政拨款“三公”经费支出决算情况说明</w:t>
      </w:r>
      <w:r>
        <w:rPr>
          <w:rFonts w:cstheme="minorBidi"/>
          <w:sz w:val="24"/>
        </w:rPr>
        <w:tab/>
      </w:r>
      <w:r>
        <w:rPr>
          <w:rFonts w:hint="eastAsia" w:cstheme="minorBidi"/>
          <w:sz w:val="24"/>
          <w:lang w:val="en-US" w:eastAsia="zh-CN"/>
        </w:rPr>
        <w:t>11</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cstheme="minorBidi"/>
          <w:sz w:val="24"/>
        </w:rPr>
        <w:tab/>
      </w:r>
      <w:r>
        <w:rPr>
          <w:rFonts w:hint="eastAsia" w:cstheme="minorBidi"/>
          <w:sz w:val="24"/>
          <w:lang w:val="en-US" w:eastAsia="zh-CN"/>
        </w:rPr>
        <w:t>13</w:t>
      </w:r>
    </w:p>
    <w:p>
      <w:pPr>
        <w:pStyle w:val="11"/>
        <w:adjustRightInd w:val="0"/>
        <w:snapToGrid w:val="0"/>
        <w:spacing w:line="440" w:lineRule="exact"/>
        <w:jc w:val="left"/>
        <w:rPr>
          <w:rFonts w:hint="default" w:eastAsia="宋体"/>
          <w:sz w:val="24"/>
          <w:lang w:val="en-US" w:eastAsia="zh-CN"/>
        </w:rPr>
      </w:pPr>
      <w:r>
        <w:rPr>
          <w:rFonts w:hint="eastAsia"/>
          <w:sz w:val="24"/>
        </w:rPr>
        <w:t>九、国有资本经营预算支出决算情况说明</w:t>
      </w:r>
      <w:r>
        <w:rPr>
          <w:rFonts w:cstheme="minorBidi"/>
          <w:sz w:val="24"/>
        </w:rPr>
        <w:tab/>
      </w:r>
      <w:r>
        <w:rPr>
          <w:rFonts w:hint="eastAsia" w:cstheme="minorBidi"/>
          <w:sz w:val="24"/>
          <w:lang w:val="en-US" w:eastAsia="zh-CN"/>
        </w:rPr>
        <w:t>13</w:t>
      </w:r>
    </w:p>
    <w:p>
      <w:pPr>
        <w:pStyle w:val="11"/>
        <w:adjustRightInd w:val="0"/>
        <w:snapToGrid w:val="0"/>
        <w:spacing w:line="440" w:lineRule="exact"/>
        <w:jc w:val="left"/>
        <w:rPr>
          <w:rFonts w:hint="default" w:eastAsia="宋体"/>
          <w:sz w:val="24"/>
          <w:lang w:val="en-US" w:eastAsia="zh-CN"/>
        </w:rPr>
      </w:pPr>
      <w:r>
        <w:rPr>
          <w:rFonts w:hint="eastAsia"/>
          <w:sz w:val="24"/>
        </w:rPr>
        <w:t>十、其他重要事项的情况说明</w:t>
      </w:r>
      <w:r>
        <w:rPr>
          <w:rFonts w:cstheme="minorBidi"/>
          <w:sz w:val="24"/>
        </w:rPr>
        <w:tab/>
      </w:r>
      <w:r>
        <w:rPr>
          <w:rFonts w:hint="eastAsia" w:cstheme="minorBidi"/>
          <w:sz w:val="24"/>
          <w:lang w:val="en-US" w:eastAsia="zh-CN"/>
        </w:rPr>
        <w:t>13</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第三部分</w:t>
      </w:r>
      <w:r>
        <w:rPr>
          <w:sz w:val="24"/>
        </w:rPr>
        <w:t xml:space="preserve"> </w:t>
      </w:r>
      <w:r>
        <w:rPr>
          <w:rFonts w:hint="eastAsia"/>
          <w:sz w:val="24"/>
        </w:rPr>
        <w:t>名词解释</w:t>
      </w:r>
      <w:r>
        <w:rPr>
          <w:rFonts w:cstheme="minorBidi"/>
          <w:sz w:val="24"/>
        </w:rPr>
        <w:tab/>
      </w:r>
      <w:r>
        <w:rPr>
          <w:rFonts w:hint="eastAsia" w:cstheme="minorBidi"/>
          <w:sz w:val="24"/>
          <w:lang w:val="en-US" w:eastAsia="zh-CN"/>
        </w:rPr>
        <w:t>15</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第四部分</w:t>
      </w:r>
      <w:r>
        <w:rPr>
          <w:sz w:val="24"/>
        </w:rPr>
        <w:t xml:space="preserve"> </w:t>
      </w:r>
      <w:r>
        <w:rPr>
          <w:rFonts w:hint="eastAsia"/>
          <w:sz w:val="24"/>
        </w:rPr>
        <w:t>附件</w:t>
      </w:r>
      <w:r>
        <w:rPr>
          <w:rFonts w:cstheme="minorBidi"/>
          <w:sz w:val="24"/>
        </w:rPr>
        <w:tab/>
      </w:r>
      <w:r>
        <w:rPr>
          <w:rFonts w:hint="eastAsia" w:cstheme="minorBidi"/>
          <w:sz w:val="24"/>
          <w:lang w:val="en-US" w:eastAsia="zh-CN"/>
        </w:rPr>
        <w:t>17</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一、收入支出决算总表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二、收入决算表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三、支出决算表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四、财政拨款收入支出决算总表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五、财政拨款支出决算明细表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六、一般公共预算财政拨款支出决算表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七、一般公共预算财政拨款支出决算明细表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八、一般公共预算财政拨款基本支出决算明细表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cstheme="minorBidi"/>
          <w:sz w:val="24"/>
          <w:lang w:val="en-US" w:eastAsia="zh-CN"/>
        </w:rPr>
      </w:pPr>
      <w:r>
        <w:rPr>
          <w:rFonts w:hint="eastAsia"/>
          <w:sz w:val="24"/>
        </w:rPr>
        <w:t>九、一般公共预算财政拨款项目支出决算表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十、政府性基金预算财政拨款收入支出决算表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十一、国有资本经营预算财政拨款收入支出决算表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十二、国有资本经营预算财政拨款支出决算表</w:t>
      </w:r>
      <w:r>
        <w:rPr>
          <w:rFonts w:cstheme="minorBidi"/>
          <w:sz w:val="24"/>
        </w:rPr>
        <w:tab/>
      </w:r>
      <w:r>
        <w:rPr>
          <w:rFonts w:hint="eastAsia" w:cstheme="minorBidi"/>
          <w:sz w:val="24"/>
          <w:lang w:val="en-US" w:eastAsia="zh-CN"/>
        </w:rPr>
        <w:t>18</w:t>
      </w:r>
    </w:p>
    <w:p>
      <w:pPr>
        <w:pStyle w:val="11"/>
        <w:adjustRightInd w:val="0"/>
        <w:snapToGrid w:val="0"/>
        <w:spacing w:line="440" w:lineRule="exact"/>
        <w:jc w:val="left"/>
        <w:rPr>
          <w:rFonts w:hint="default" w:eastAsia="宋体"/>
          <w:sz w:val="24"/>
          <w:lang w:val="en-US" w:eastAsia="zh-CN"/>
        </w:rPr>
      </w:pPr>
      <w:r>
        <w:rPr>
          <w:rFonts w:hint="eastAsia"/>
          <w:sz w:val="24"/>
        </w:rPr>
        <w:t>十三、财政拨款“三公”经费支出决算表</w:t>
      </w:r>
      <w:r>
        <w:rPr>
          <w:rFonts w:cstheme="minorBidi"/>
          <w:sz w:val="24"/>
        </w:rPr>
        <w:tab/>
      </w:r>
      <w:r>
        <w:rPr>
          <w:rFonts w:hint="eastAsia" w:cstheme="minorBidi"/>
          <w:sz w:val="24"/>
          <w:lang w:val="en-US" w:eastAsia="zh-CN"/>
        </w:rPr>
        <w:t>18</w:t>
      </w:r>
    </w:p>
    <w:p>
      <w:pPr>
        <w:widowControl/>
        <w:spacing w:line="440" w:lineRule="exact"/>
        <w:jc w:val="left"/>
        <w:rPr>
          <w:rFonts w:ascii="仿宋" w:hAnsi="仿宋" w:eastAsia="仿宋"/>
          <w:bCs/>
          <w:kern w:val="44"/>
          <w:sz w:val="24"/>
        </w:rPr>
      </w:pPr>
    </w:p>
    <w:p>
      <w:pPr>
        <w:rPr>
          <w:rFonts w:hint="eastAsia" w:ascii="黑体" w:hAnsi="黑体" w:eastAsia="黑体"/>
          <w:b w:val="0"/>
        </w:rPr>
      </w:pPr>
      <w:r>
        <w:rPr>
          <w:rFonts w:hint="eastAsia" w:ascii="黑体" w:hAnsi="黑体" w:eastAsia="黑体"/>
          <w:b w:val="0"/>
        </w:rPr>
        <w:br w:type="page"/>
      </w:r>
    </w:p>
    <w:p>
      <w:pPr>
        <w:pStyle w:val="3"/>
        <w:jc w:val="center"/>
        <w:rPr>
          <w:rStyle w:val="24"/>
          <w:rFonts w:ascii="黑体" w:hAnsi="黑体" w:eastAsia="黑体"/>
          <w:b/>
          <w:bCs w:val="0"/>
        </w:rPr>
      </w:pPr>
      <w:r>
        <w:rPr>
          <w:rFonts w:hint="eastAsia" w:ascii="黑体" w:hAnsi="黑体" w:eastAsia="黑体"/>
          <w:b w:val="0"/>
        </w:rPr>
        <w:t>第一部分 单位</w:t>
      </w:r>
      <w:r>
        <w:rPr>
          <w:rStyle w:val="24"/>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5"/>
          <w:rFonts w:ascii="黑体" w:hAnsi="黑体" w:eastAsia="黑体"/>
          <w:b w:val="0"/>
          <w:bCs w:val="0"/>
        </w:rPr>
      </w:pPr>
      <w:bookmarkStart w:id="14" w:name="_Toc15377197"/>
      <w:bookmarkStart w:id="15" w:name="_Toc15396600"/>
      <w:r>
        <w:rPr>
          <w:rStyle w:val="25"/>
          <w:rFonts w:hint="eastAsia" w:ascii="黑体" w:hAnsi="黑体" w:eastAsia="黑体"/>
          <w:b w:val="0"/>
          <w:bCs w:val="0"/>
        </w:rPr>
        <w:t>主要职责</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1.国内外科技发展动态研究；全市科技发展战略研究；产业发展关键技术预见研究；全市科技体制和科技发展政策研究；科技创新体系研究。</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2.科技专项调研；公共科技信息开发利用；市科技进步动态监测；负责重大科技项目的评价；科技刊物编辑出版。</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3.协助编制全市科技发展规划；协助市科技计划项目的招投标；协助完成各项科技统计，并编写科技统计汇编。</w:t>
      </w:r>
    </w:p>
    <w:p>
      <w:pPr>
        <w:pStyle w:val="2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4.承担上级部门交办的其他任务。</w:t>
      </w:r>
    </w:p>
    <w:p>
      <w:pPr>
        <w:pStyle w:val="4"/>
        <w:rPr>
          <w:rFonts w:ascii="黑体" w:hAnsi="黑体" w:eastAsia="黑体"/>
          <w:b w:val="0"/>
        </w:rPr>
      </w:pPr>
      <w:r>
        <w:rPr>
          <w:rFonts w:hint="eastAsia" w:ascii="黑体" w:hAnsi="黑体" w:eastAsia="黑体"/>
          <w:b w:val="0"/>
        </w:rPr>
        <w:t>二、机构设置</w:t>
      </w:r>
    </w:p>
    <w:p>
      <w:pPr>
        <w:rPr>
          <w:rFonts w:ascii="仿宋_GB2312" w:hAnsi="仿宋" w:eastAsia="仿宋_GB2312"/>
          <w:sz w:val="32"/>
          <w:szCs w:val="32"/>
        </w:rPr>
      </w:pPr>
      <w:r>
        <w:rPr>
          <w:rFonts w:hint="eastAsia" w:ascii="仿宋_GB2312" w:hAnsi="仿宋" w:eastAsia="仿宋_GB2312"/>
          <w:sz w:val="32"/>
          <w:szCs w:val="32"/>
        </w:rPr>
        <w:t>（1）人员编制及结构</w:t>
      </w:r>
    </w:p>
    <w:p>
      <w:pPr>
        <w:ind w:firstLine="640" w:firstLineChars="200"/>
        <w:rPr>
          <w:rFonts w:ascii="仿宋_GB2312" w:hAnsi="仿宋" w:eastAsia="仿宋_GB2312"/>
          <w:sz w:val="32"/>
          <w:szCs w:val="32"/>
        </w:rPr>
      </w:pPr>
      <w:r>
        <w:rPr>
          <w:rFonts w:hint="eastAsia" w:ascii="仿宋_GB2312" w:hAnsi="仿宋" w:eastAsia="仿宋_GB2312"/>
          <w:sz w:val="32"/>
          <w:szCs w:val="32"/>
        </w:rPr>
        <w:t>核定事业编制22名，其中：专业技术人员21名，工勤人员1名。</w:t>
      </w:r>
    </w:p>
    <w:p>
      <w:pPr>
        <w:rPr>
          <w:rFonts w:ascii="仿宋_GB2312" w:hAnsi="仿宋" w:eastAsia="仿宋_GB2312"/>
          <w:sz w:val="32"/>
          <w:szCs w:val="32"/>
        </w:rPr>
      </w:pPr>
      <w:r>
        <w:rPr>
          <w:rFonts w:hint="eastAsia" w:ascii="仿宋_GB2312" w:hAnsi="仿宋" w:eastAsia="仿宋_GB2312"/>
          <w:sz w:val="32"/>
          <w:szCs w:val="32"/>
        </w:rPr>
        <w:t>（2）经费形式及经费渠道</w:t>
      </w:r>
    </w:p>
    <w:p>
      <w:pPr>
        <w:ind w:firstLine="640" w:firstLineChars="200"/>
        <w:rPr>
          <w:rFonts w:ascii="仿宋_GB2312" w:hAnsi="仿宋" w:eastAsia="仿宋_GB2312"/>
          <w:sz w:val="32"/>
          <w:szCs w:val="32"/>
        </w:rPr>
      </w:pPr>
      <w:r>
        <w:rPr>
          <w:rFonts w:hint="eastAsia" w:ascii="仿宋_GB2312" w:hAnsi="仿宋" w:eastAsia="仿宋_GB2312"/>
          <w:sz w:val="32"/>
          <w:szCs w:val="32"/>
        </w:rPr>
        <w:t>公益一类全额拨款事业单位；在科学支出中列支。</w:t>
      </w:r>
    </w:p>
    <w:p>
      <w:pPr>
        <w:rPr>
          <w:rFonts w:ascii="仿宋_GB2312" w:hAnsi="仿宋" w:eastAsia="仿宋_GB2312"/>
          <w:sz w:val="32"/>
          <w:szCs w:val="32"/>
        </w:rPr>
      </w:pPr>
      <w:r>
        <w:rPr>
          <w:rFonts w:hint="eastAsia" w:ascii="仿宋_GB2312" w:hAnsi="仿宋" w:eastAsia="仿宋_GB2312"/>
          <w:sz w:val="32"/>
          <w:szCs w:val="32"/>
        </w:rPr>
        <w:t>（3）领导职数</w:t>
      </w:r>
    </w:p>
    <w:p>
      <w:pPr>
        <w:ind w:firstLine="640" w:firstLineChars="200"/>
        <w:rPr>
          <w:rFonts w:ascii="仿宋_GB2312" w:hAnsi="仿宋" w:eastAsia="仿宋_GB2312"/>
          <w:sz w:val="32"/>
          <w:szCs w:val="32"/>
        </w:rPr>
      </w:pPr>
      <w:r>
        <w:rPr>
          <w:rFonts w:hint="eastAsia" w:ascii="仿宋_GB2312" w:hAnsi="仿宋" w:eastAsia="仿宋_GB2312"/>
          <w:sz w:val="32"/>
          <w:szCs w:val="32"/>
        </w:rPr>
        <w:t>1正2副（正职按副县级管理），内设机构科级领导职数6名。</w:t>
      </w:r>
    </w:p>
    <w:p>
      <w:r>
        <w:rPr>
          <w:rFonts w:hint="eastAsia" w:ascii="仿宋_GB2312" w:hAnsi="仿宋" w:eastAsia="仿宋_GB2312"/>
          <w:sz w:val="32"/>
          <w:szCs w:val="32"/>
        </w:rPr>
        <w:t>　（4）2022年末共有在职职工22人，比去年多1人，是因为单位新进1人，退休职工21人。</w:t>
      </w:r>
    </w:p>
    <w:bookmarkEnd w:id="14"/>
    <w:bookmarkEnd w:id="15"/>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4"/>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4"/>
          <w:rFonts w:hint="eastAsia" w:ascii="黑体" w:hAnsi="黑体" w:eastAsia="黑体"/>
          <w:b w:val="0"/>
          <w:bCs/>
        </w:rPr>
        <w:t>单位决算情况说明</w:t>
      </w:r>
      <w:bookmarkEnd w:id="16"/>
      <w:bookmarkEnd w:id="17"/>
    </w:p>
    <w:p/>
    <w:p>
      <w:pPr>
        <w:pStyle w:val="23"/>
        <w:numPr>
          <w:ilvl w:val="0"/>
          <w:numId w:val="2"/>
        </w:numPr>
        <w:spacing w:line="600" w:lineRule="exact"/>
        <w:ind w:firstLineChars="0"/>
        <w:outlineLvl w:val="1"/>
        <w:rPr>
          <w:rStyle w:val="25"/>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5"/>
          <w:rFonts w:hint="eastAsia" w:ascii="黑体" w:hAnsi="黑体" w:eastAsia="黑体"/>
          <w:b w:val="0"/>
        </w:rPr>
        <w:t>入支出决算总体情况说明</w:t>
      </w:r>
      <w:bookmarkEnd w:id="18"/>
      <w:bookmarkEnd w:id="19"/>
    </w:p>
    <w:p>
      <w:pPr>
        <w:pStyle w:val="23"/>
        <w:spacing w:line="600" w:lineRule="exact"/>
        <w:ind w:left="141" w:leftChars="67" w:firstLine="0" w:firstLineChars="0"/>
        <w:outlineLvl w:val="1"/>
        <w:rPr>
          <w:rFonts w:ascii="黑体" w:hAnsi="黑体" w:eastAsia="黑体" w:cstheme="majorBidi"/>
          <w:bCs/>
          <w:sz w:val="32"/>
          <w:szCs w:val="32"/>
        </w:rPr>
      </w:pPr>
      <w:r>
        <w:rPr>
          <w:rFonts w:hint="eastAsia" w:ascii="仿宋_GB2312" w:hAnsi="仿宋" w:eastAsia="仿宋_GB2312"/>
          <w:sz w:val="32"/>
          <w:szCs w:val="32"/>
        </w:rPr>
        <w:t>　　</w:t>
      </w:r>
      <w:r>
        <w:rPr>
          <w:rFonts w:hint="eastAsia" w:ascii="仿宋" w:hAnsi="仿宋" w:eastAsia="仿宋"/>
          <w:sz w:val="32"/>
          <w:szCs w:val="32"/>
        </w:rPr>
        <w:t>2022年度收、支总计505.53万元。与2021年相比，收、支总计各增加83.5万元，增长19.79</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sz w:val="32"/>
          <w:szCs w:val="32"/>
        </w:rPr>
        <w:t>今年新进1人以及基础性绩效调整，因此增加了人员经费和公</w:t>
      </w:r>
      <w:r>
        <w:rPr>
          <w:rFonts w:hint="eastAsia" w:ascii="仿宋_GB2312" w:hAnsi="仿宋" w:eastAsia="仿宋_GB2312"/>
          <w:color w:val="000000" w:themeColor="text1"/>
          <w:sz w:val="32"/>
          <w:szCs w:val="32"/>
        </w:rPr>
        <w:t>用经费。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
        <w:spacing w:before="93"/>
      </w:pPr>
      <w:r>
        <w:drawing>
          <wp:inline distT="0" distB="0" distL="0" distR="0">
            <wp:extent cx="4902835" cy="2714625"/>
            <wp:effectExtent l="19050" t="0" r="12065" b="0"/>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3"/>
        <w:numPr>
          <w:ilvl w:val="0"/>
          <w:numId w:val="2"/>
        </w:numPr>
        <w:spacing w:line="600" w:lineRule="exact"/>
        <w:ind w:firstLineChars="0"/>
        <w:outlineLvl w:val="1"/>
        <w:rPr>
          <w:rStyle w:val="25"/>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5"/>
          <w:rFonts w:hint="eastAsia" w:ascii="黑体" w:hAnsi="黑体" w:eastAsia="黑体"/>
          <w:b w:val="0"/>
        </w:rPr>
        <w:t>入决算情况说明</w:t>
      </w:r>
      <w:bookmarkEnd w:id="20"/>
      <w:bookmarkEnd w:id="21"/>
    </w:p>
    <w:p>
      <w:pPr>
        <w:pStyle w:val="23"/>
        <w:spacing w:line="600" w:lineRule="exact"/>
        <w:ind w:left="142" w:firstLine="0" w:firstLineChars="0"/>
        <w:outlineLvl w:val="1"/>
        <w:rPr>
          <w:rFonts w:ascii="仿宋" w:hAnsi="仿宋" w:eastAsia="仿宋"/>
          <w:sz w:val="32"/>
          <w:szCs w:val="32"/>
        </w:rPr>
      </w:pPr>
      <w:r>
        <w:rPr>
          <w:rFonts w:hint="eastAsia" w:ascii="仿宋" w:hAnsi="仿宋" w:eastAsia="仿宋"/>
          <w:sz w:val="32"/>
          <w:szCs w:val="32"/>
        </w:rPr>
        <w:t>　　</w:t>
      </w:r>
      <w:r>
        <w:rPr>
          <w:rFonts w:ascii="仿宋" w:hAnsi="仿宋" w:eastAsia="仿宋"/>
          <w:sz w:val="32"/>
          <w:szCs w:val="32"/>
        </w:rPr>
        <w:t>20</w:t>
      </w:r>
      <w:r>
        <w:rPr>
          <w:rFonts w:hint="eastAsia" w:ascii="仿宋" w:hAnsi="仿宋" w:eastAsia="仿宋"/>
          <w:sz w:val="32"/>
          <w:szCs w:val="32"/>
        </w:rPr>
        <w:t>22年本年收入合计</w:t>
      </w:r>
      <w:r>
        <w:rPr>
          <w:rFonts w:ascii="仿宋" w:hAnsi="仿宋" w:eastAsia="仿宋"/>
          <w:sz w:val="32"/>
          <w:szCs w:val="32"/>
        </w:rPr>
        <w:t>487.25</w:t>
      </w:r>
      <w:r>
        <w:rPr>
          <w:rFonts w:hint="eastAsia" w:ascii="仿宋" w:hAnsi="仿宋" w:eastAsia="仿宋"/>
          <w:sz w:val="32"/>
          <w:szCs w:val="32"/>
        </w:rPr>
        <w:t>万元，其中：一般公共预算财政拨款收入</w:t>
      </w:r>
      <w:r>
        <w:rPr>
          <w:rFonts w:ascii="仿宋" w:hAnsi="仿宋" w:eastAsia="仿宋"/>
          <w:sz w:val="32"/>
          <w:szCs w:val="32"/>
        </w:rPr>
        <w:t>487.25</w:t>
      </w:r>
      <w:r>
        <w:rPr>
          <w:rFonts w:hint="eastAsia" w:ascii="仿宋" w:hAnsi="仿宋" w:eastAsia="仿宋"/>
          <w:sz w:val="32"/>
          <w:szCs w:val="32"/>
        </w:rPr>
        <w:t>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spacing w:line="600" w:lineRule="exact"/>
        <w:ind w:left="640"/>
        <w:rPr>
          <w:rFonts w:ascii="仿宋" w:hAnsi="仿宋" w:eastAsia="仿宋"/>
          <w:sz w:val="32"/>
          <w:szCs w:val="32"/>
        </w:rPr>
      </w:pPr>
      <w:r>
        <w:rPr>
          <w:rFonts w:hint="eastAsia" w:ascii="仿宋" w:hAnsi="仿宋" w:eastAsia="仿宋"/>
          <w:sz w:val="32"/>
          <w:szCs w:val="32"/>
        </w:rPr>
        <w:t>（图2：收入决算结构图）（饼状图）</w:t>
      </w:r>
    </w:p>
    <w:p>
      <w:pPr>
        <w:pStyle w:val="2"/>
        <w:spacing w:before="93"/>
      </w:pPr>
      <w:r>
        <w:drawing>
          <wp:inline distT="0" distB="0" distL="0" distR="0">
            <wp:extent cx="5274310" cy="2712720"/>
            <wp:effectExtent l="19050" t="0" r="21590" b="0"/>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3"/>
        <w:numPr>
          <w:ilvl w:val="0"/>
          <w:numId w:val="2"/>
        </w:numPr>
        <w:spacing w:line="600" w:lineRule="exact"/>
        <w:ind w:firstLineChars="0"/>
        <w:outlineLvl w:val="1"/>
        <w:rPr>
          <w:rStyle w:val="25"/>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5"/>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ascii="仿宋" w:hAnsi="仿宋" w:eastAsia="仿宋"/>
          <w:sz w:val="32"/>
          <w:szCs w:val="32"/>
        </w:rPr>
        <w:t>496.4</w:t>
      </w:r>
      <w:r>
        <w:rPr>
          <w:rFonts w:hint="eastAsia" w:ascii="仿宋" w:hAnsi="仿宋" w:eastAsia="仿宋"/>
          <w:sz w:val="32"/>
          <w:szCs w:val="32"/>
        </w:rPr>
        <w:t>万元，其中：基本支出</w:t>
      </w:r>
      <w:r>
        <w:rPr>
          <w:rFonts w:ascii="仿宋" w:hAnsi="仿宋" w:eastAsia="仿宋"/>
          <w:sz w:val="32"/>
          <w:szCs w:val="32"/>
        </w:rPr>
        <w:t>494.79</w:t>
      </w:r>
      <w:r>
        <w:rPr>
          <w:rFonts w:hint="eastAsia" w:ascii="仿宋" w:hAnsi="仿宋" w:eastAsia="仿宋"/>
          <w:sz w:val="32"/>
          <w:szCs w:val="32"/>
        </w:rPr>
        <w:t>万元，占99.68</w:t>
      </w:r>
      <w:r>
        <w:rPr>
          <w:rFonts w:ascii="仿宋" w:hAnsi="仿宋" w:eastAsia="仿宋"/>
          <w:sz w:val="32"/>
          <w:szCs w:val="32"/>
        </w:rPr>
        <w:t>%</w:t>
      </w:r>
      <w:r>
        <w:rPr>
          <w:rFonts w:hint="eastAsia" w:ascii="仿宋" w:hAnsi="仿宋" w:eastAsia="仿宋"/>
          <w:sz w:val="32"/>
          <w:szCs w:val="32"/>
        </w:rPr>
        <w:t>；项目支出</w:t>
      </w:r>
      <w:r>
        <w:rPr>
          <w:rFonts w:ascii="仿宋" w:hAnsi="仿宋" w:eastAsia="仿宋"/>
          <w:sz w:val="32"/>
          <w:szCs w:val="32"/>
        </w:rPr>
        <w:t>1.61</w:t>
      </w:r>
      <w:r>
        <w:rPr>
          <w:rFonts w:hint="eastAsia" w:ascii="仿宋" w:hAnsi="仿宋" w:eastAsia="仿宋"/>
          <w:sz w:val="32"/>
          <w:szCs w:val="32"/>
        </w:rPr>
        <w:t>万元，占0.32</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pStyle w:val="2"/>
        <w:spacing w:before="93"/>
      </w:pPr>
      <w:r>
        <w:drawing>
          <wp:inline distT="0" distB="0" distL="0" distR="0">
            <wp:extent cx="3943350" cy="2286000"/>
            <wp:effectExtent l="19050" t="0" r="19050" b="0"/>
            <wp:docPr id="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5"/>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ascii="仿宋" w:hAnsi="仿宋" w:eastAsia="仿宋"/>
          <w:sz w:val="32"/>
          <w:szCs w:val="32"/>
        </w:rPr>
        <w:t>505.53</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21年相比，财政拨款收、支总计各增加83.5万元，增长19.79</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sz w:val="32"/>
          <w:szCs w:val="32"/>
        </w:rPr>
        <w:t>今年新进1人以及基础性绩效调整，因此增加了人员经费和公</w:t>
      </w:r>
      <w:r>
        <w:rPr>
          <w:rFonts w:hint="eastAsia" w:ascii="仿宋_GB2312" w:hAnsi="仿宋" w:eastAsia="仿宋_GB2312"/>
          <w:color w:val="000000" w:themeColor="text1"/>
          <w:sz w:val="32"/>
          <w:szCs w:val="32"/>
        </w:rPr>
        <w:t>用经费。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pStyle w:val="2"/>
        <w:spacing w:before="93"/>
      </w:pPr>
      <w:r>
        <w:drawing>
          <wp:inline distT="0" distB="0" distL="0" distR="0">
            <wp:extent cx="5274310" cy="2499995"/>
            <wp:effectExtent l="19050" t="0" r="21590" b="0"/>
            <wp:docPr id="9"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5"/>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26"/>
      <w:bookmarkEnd w:id="27"/>
    </w:p>
    <w:p>
      <w:pPr>
        <w:spacing w:line="600" w:lineRule="exact"/>
        <w:ind w:firstLine="642"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ascii="仿宋" w:hAnsi="仿宋" w:eastAsia="仿宋"/>
          <w:sz w:val="32"/>
          <w:szCs w:val="32"/>
        </w:rPr>
        <w:t>496.4</w:t>
      </w:r>
      <w:r>
        <w:rPr>
          <w:rFonts w:hint="eastAsia" w:ascii="仿宋" w:hAnsi="仿宋" w:eastAsia="仿宋"/>
          <w:sz w:val="32"/>
          <w:szCs w:val="32"/>
        </w:rPr>
        <w:t>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21年相比，一般公共预算财政拨款支出增加74.37万元，增长17.62</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sz w:val="32"/>
          <w:szCs w:val="32"/>
        </w:rPr>
        <w:t>今年新进1人以及基础性绩效调整，因此增加了人员经费和公</w:t>
      </w:r>
      <w:r>
        <w:rPr>
          <w:rFonts w:hint="eastAsia" w:ascii="仿宋_GB2312" w:hAnsi="仿宋" w:eastAsia="仿宋_GB2312"/>
          <w:color w:val="000000" w:themeColor="text1"/>
          <w:sz w:val="32"/>
          <w:szCs w:val="32"/>
        </w:rPr>
        <w:t>用经费。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pStyle w:val="2"/>
        <w:spacing w:before="93"/>
      </w:pPr>
      <w:r>
        <w:drawing>
          <wp:inline distT="0" distB="0" distL="0" distR="0">
            <wp:extent cx="4572000" cy="2505075"/>
            <wp:effectExtent l="19050" t="0" r="19050" b="0"/>
            <wp:docPr id="1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2"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ascii="仿宋" w:hAnsi="仿宋" w:eastAsia="仿宋"/>
          <w:sz w:val="32"/>
          <w:szCs w:val="32"/>
        </w:rPr>
        <w:t>496.4</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b/>
          <w:sz w:val="32"/>
          <w:szCs w:val="32"/>
        </w:rPr>
        <w:t>（类）</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教育支出（类）</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b/>
          <w:sz w:val="32"/>
          <w:szCs w:val="32"/>
        </w:rPr>
        <w:t>（类）</w:t>
      </w:r>
      <w:r>
        <w:rPr>
          <w:rFonts w:ascii="仿宋" w:hAnsi="仿宋" w:eastAsia="仿宋"/>
          <w:sz w:val="32"/>
          <w:szCs w:val="32"/>
        </w:rPr>
        <w:t>356.51</w:t>
      </w:r>
      <w:r>
        <w:rPr>
          <w:rFonts w:hint="eastAsia" w:ascii="仿宋" w:hAnsi="仿宋" w:eastAsia="仿宋"/>
          <w:sz w:val="32"/>
          <w:szCs w:val="32"/>
        </w:rPr>
        <w:t>万元，占71.82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sz w:val="32"/>
          <w:szCs w:val="32"/>
        </w:rPr>
        <w:t>（类）</w:t>
      </w:r>
      <w:r>
        <w:rPr>
          <w:rFonts w:hint="eastAsia" w:ascii="仿宋" w:hAnsi="仿宋" w:eastAsia="仿宋"/>
          <w:b/>
          <w:bCs/>
          <w:sz w:val="32"/>
          <w:szCs w:val="32"/>
        </w:rPr>
        <w:t>0万元，占0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b/>
          <w:sz w:val="32"/>
          <w:szCs w:val="32"/>
        </w:rPr>
        <w:t>（类）</w:t>
      </w:r>
      <w:r>
        <w:rPr>
          <w:rFonts w:ascii="仿宋" w:hAnsi="仿宋" w:eastAsia="仿宋"/>
          <w:sz w:val="32"/>
          <w:szCs w:val="32"/>
        </w:rPr>
        <w:t>106.86</w:t>
      </w:r>
      <w:r>
        <w:rPr>
          <w:rFonts w:hint="eastAsia" w:ascii="仿宋" w:hAnsi="仿宋" w:eastAsia="仿宋"/>
          <w:sz w:val="32"/>
          <w:szCs w:val="32"/>
        </w:rPr>
        <w:t>万元，占21.53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b/>
          <w:sz w:val="32"/>
          <w:szCs w:val="32"/>
        </w:rPr>
        <w:t>（类）</w:t>
      </w:r>
      <w:r>
        <w:rPr>
          <w:rFonts w:hint="eastAsia" w:ascii="仿宋" w:hAnsi="仿宋" w:eastAsia="仿宋"/>
          <w:sz w:val="32"/>
          <w:szCs w:val="32"/>
        </w:rPr>
        <w:t>0万元，占0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b/>
          <w:sz w:val="32"/>
          <w:szCs w:val="32"/>
        </w:rPr>
        <w:t>（类）</w:t>
      </w:r>
      <w:r>
        <w:rPr>
          <w:rFonts w:ascii="仿宋" w:hAnsi="仿宋" w:eastAsia="仿宋"/>
          <w:sz w:val="32"/>
          <w:szCs w:val="32"/>
        </w:rPr>
        <w:t>33.03</w:t>
      </w:r>
      <w:r>
        <w:rPr>
          <w:rFonts w:hint="eastAsia" w:ascii="仿宋" w:hAnsi="仿宋" w:eastAsia="仿宋"/>
          <w:sz w:val="32"/>
          <w:szCs w:val="32"/>
        </w:rPr>
        <w:t>万元，占6.65</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pStyle w:val="2"/>
        <w:spacing w:before="93"/>
      </w:pPr>
      <w:r>
        <w:drawing>
          <wp:inline distT="0" distB="0" distL="0" distR="0">
            <wp:extent cx="3943350" cy="2286000"/>
            <wp:effectExtent l="19050" t="0" r="19050" b="0"/>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spacing w:before="93"/>
      </w:pPr>
    </w:p>
    <w:p>
      <w:pPr>
        <w:spacing w:line="600" w:lineRule="exact"/>
        <w:ind w:firstLine="642"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2" w:firstLineChars="200"/>
        <w:outlineLvl w:val="2"/>
        <w:rPr>
          <w:rStyle w:val="14"/>
          <w:rFonts w:ascii="仿宋" w:hAnsi="仿宋" w:eastAsia="仿宋"/>
          <w:bCs/>
          <w:sz w:val="32"/>
          <w:szCs w:val="32"/>
        </w:rPr>
      </w:pPr>
      <w:bookmarkStart w:id="31" w:name="_Toc15377213"/>
      <w:bookmarkStart w:id="32" w:name="_Toc15377444"/>
      <w:bookmarkStart w:id="33" w:name="_Toc15378460"/>
      <w:r>
        <w:rPr>
          <w:rFonts w:hint="eastAsia" w:ascii="仿宋" w:hAnsi="仿宋" w:eastAsia="仿宋"/>
          <w:b/>
          <w:sz w:val="32"/>
          <w:szCs w:val="32"/>
        </w:rPr>
        <w:t>2022年一般公共预算支出决算数为</w:t>
      </w:r>
      <w:r>
        <w:rPr>
          <w:rFonts w:ascii="仿宋" w:hAnsi="仿宋" w:eastAsia="仿宋"/>
          <w:b/>
          <w:sz w:val="32"/>
          <w:szCs w:val="32"/>
        </w:rPr>
        <w:t>496.4</w:t>
      </w:r>
      <w:r>
        <w:rPr>
          <w:rFonts w:hint="eastAsia" w:ascii="仿宋" w:hAnsi="仿宋" w:eastAsia="仿宋"/>
          <w:sz w:val="32"/>
          <w:szCs w:val="32"/>
        </w:rPr>
        <w:t>，</w:t>
      </w:r>
      <w:r>
        <w:rPr>
          <w:rStyle w:val="14"/>
          <w:rFonts w:hint="eastAsia" w:ascii="仿宋" w:hAnsi="仿宋" w:eastAsia="仿宋"/>
          <w:bCs/>
          <w:sz w:val="32"/>
          <w:szCs w:val="32"/>
        </w:rPr>
        <w:t>完成预算100</w:t>
      </w:r>
      <w:r>
        <w:rPr>
          <w:rStyle w:val="14"/>
          <w:rFonts w:ascii="仿宋" w:hAnsi="仿宋" w:eastAsia="仿宋"/>
          <w:bCs/>
          <w:sz w:val="32"/>
          <w:szCs w:val="32"/>
        </w:rPr>
        <w:t>%</w:t>
      </w:r>
      <w:r>
        <w:rPr>
          <w:rStyle w:val="14"/>
          <w:rFonts w:hint="eastAsia" w:ascii="仿宋" w:hAnsi="仿宋" w:eastAsia="仿宋"/>
          <w:bCs/>
          <w:sz w:val="32"/>
          <w:szCs w:val="32"/>
        </w:rPr>
        <w:t>。其中：</w:t>
      </w:r>
      <w:bookmarkEnd w:id="31"/>
      <w:bookmarkEnd w:id="32"/>
      <w:bookmarkEnd w:id="33"/>
    </w:p>
    <w:p>
      <w:pPr>
        <w:spacing w:line="600" w:lineRule="exact"/>
        <w:ind w:firstLine="642" w:firstLineChars="200"/>
        <w:rPr>
          <w:rStyle w:val="14"/>
          <w:rFonts w:ascii="仿宋" w:hAnsi="仿宋" w:eastAsia="仿宋" w:cstheme="minorBidi"/>
          <w:b w:val="0"/>
          <w:bCs/>
          <w:sz w:val="32"/>
          <w:szCs w:val="32"/>
        </w:rPr>
      </w:pPr>
      <w:r>
        <w:rPr>
          <w:rStyle w:val="14"/>
          <w:rFonts w:hint="eastAsia" w:ascii="仿宋" w:hAnsi="仿宋" w:eastAsia="仿宋"/>
          <w:bCs/>
          <w:sz w:val="32"/>
          <w:szCs w:val="32"/>
        </w:rPr>
        <w:t>1</w:t>
      </w:r>
      <w:r>
        <w:rPr>
          <w:rStyle w:val="14"/>
          <w:rFonts w:ascii="仿宋" w:hAnsi="仿宋" w:eastAsia="仿宋"/>
          <w:bCs/>
          <w:sz w:val="32"/>
          <w:szCs w:val="32"/>
        </w:rPr>
        <w:t>.</w:t>
      </w:r>
      <w:r>
        <w:rPr>
          <w:rStyle w:val="14"/>
          <w:rFonts w:hint="eastAsia" w:ascii="仿宋" w:hAnsi="仿宋" w:eastAsia="仿宋"/>
          <w:bCs/>
          <w:sz w:val="32"/>
          <w:szCs w:val="32"/>
        </w:rPr>
        <w:t>科学技术（类）科技条件与服务（款）机构运行（项）</w:t>
      </w:r>
      <w:r>
        <w:rPr>
          <w:rStyle w:val="14"/>
          <w:rFonts w:ascii="仿宋" w:hAnsi="仿宋" w:eastAsia="仿宋"/>
          <w:bCs/>
          <w:sz w:val="32"/>
          <w:szCs w:val="32"/>
        </w:rPr>
        <w:t xml:space="preserve">: </w:t>
      </w:r>
      <w:r>
        <w:rPr>
          <w:rStyle w:val="14"/>
          <w:rFonts w:hint="eastAsia" w:ascii="仿宋" w:hAnsi="仿宋" w:eastAsia="仿宋"/>
          <w:b w:val="0"/>
          <w:bCs/>
          <w:sz w:val="32"/>
          <w:szCs w:val="32"/>
        </w:rPr>
        <w:t>支出决算为</w:t>
      </w:r>
      <w:r>
        <w:rPr>
          <w:rStyle w:val="14"/>
          <w:rFonts w:ascii="仿宋" w:hAnsi="仿宋" w:eastAsia="仿宋"/>
          <w:b w:val="0"/>
          <w:bCs/>
          <w:sz w:val="32"/>
          <w:szCs w:val="32"/>
        </w:rPr>
        <w:t>354.9</w:t>
      </w:r>
      <w:r>
        <w:rPr>
          <w:rStyle w:val="14"/>
          <w:rFonts w:hint="eastAsia" w:ascii="仿宋" w:hAnsi="仿宋" w:eastAsia="仿宋"/>
          <w:b w:val="0"/>
          <w:bCs/>
          <w:sz w:val="32"/>
          <w:szCs w:val="32"/>
        </w:rPr>
        <w:t>万元，完成预算100</w:t>
      </w:r>
      <w:r>
        <w:rPr>
          <w:rStyle w:val="14"/>
          <w:rFonts w:ascii="仿宋" w:hAnsi="仿宋" w:eastAsia="仿宋"/>
          <w:b w:val="0"/>
          <w:bCs/>
          <w:sz w:val="32"/>
          <w:szCs w:val="32"/>
        </w:rPr>
        <w:t>%</w:t>
      </w:r>
      <w:r>
        <w:rPr>
          <w:rStyle w:val="14"/>
          <w:rFonts w:hint="eastAsia" w:ascii="仿宋" w:hAnsi="仿宋" w:eastAsia="仿宋"/>
          <w:b w:val="0"/>
          <w:bCs/>
          <w:sz w:val="32"/>
          <w:szCs w:val="32"/>
        </w:rPr>
        <w:t>，决算数与预算数持平；</w:t>
      </w:r>
      <w:r>
        <w:rPr>
          <w:rStyle w:val="14"/>
          <w:rFonts w:hint="eastAsia" w:ascii="仿宋" w:hAnsi="仿宋" w:eastAsia="仿宋" w:cstheme="minorBidi"/>
          <w:bCs/>
          <w:sz w:val="32"/>
          <w:szCs w:val="32"/>
        </w:rPr>
        <w:t>其他科学技术支出（款）其他科学技术支出（项）:</w:t>
      </w:r>
      <w:r>
        <w:rPr>
          <w:rStyle w:val="14"/>
          <w:rFonts w:hint="eastAsia" w:ascii="仿宋" w:hAnsi="仿宋" w:eastAsia="仿宋"/>
          <w:b w:val="0"/>
          <w:bCs/>
          <w:sz w:val="32"/>
          <w:szCs w:val="32"/>
        </w:rPr>
        <w:t>支出决算为</w:t>
      </w:r>
      <w:r>
        <w:rPr>
          <w:rStyle w:val="14"/>
          <w:rFonts w:ascii="仿宋" w:hAnsi="仿宋" w:eastAsia="仿宋"/>
          <w:b w:val="0"/>
          <w:bCs/>
          <w:sz w:val="32"/>
          <w:szCs w:val="32"/>
        </w:rPr>
        <w:t>1.61</w:t>
      </w:r>
      <w:r>
        <w:rPr>
          <w:rStyle w:val="14"/>
          <w:rFonts w:hint="eastAsia" w:ascii="仿宋" w:hAnsi="仿宋" w:eastAsia="仿宋"/>
          <w:b w:val="0"/>
          <w:bCs/>
          <w:sz w:val="32"/>
          <w:szCs w:val="32"/>
        </w:rPr>
        <w:t>万元，完成预算100%，决算数与预算数持平。</w:t>
      </w:r>
    </w:p>
    <w:p>
      <w:pPr>
        <w:spacing w:line="600" w:lineRule="exact"/>
        <w:ind w:firstLine="642" w:firstLineChars="200"/>
        <w:rPr>
          <w:rStyle w:val="14"/>
          <w:rFonts w:hint="eastAsia" w:ascii="仿宋" w:hAnsi="仿宋" w:eastAsia="仿宋"/>
          <w:b w:val="0"/>
          <w:bCs/>
          <w:sz w:val="32"/>
          <w:szCs w:val="32"/>
        </w:rPr>
      </w:pPr>
      <w:r>
        <w:rPr>
          <w:rStyle w:val="14"/>
          <w:rFonts w:hint="default" w:ascii="仿宋" w:hAnsi="仿宋" w:eastAsia="仿宋"/>
          <w:bCs/>
          <w:sz w:val="32"/>
          <w:szCs w:val="32"/>
          <w:lang w:val="en"/>
        </w:rPr>
        <w:t>2</w:t>
      </w:r>
      <w:r>
        <w:rPr>
          <w:rStyle w:val="14"/>
          <w:rFonts w:ascii="仿宋" w:hAnsi="仿宋" w:eastAsia="仿宋"/>
          <w:bCs/>
          <w:sz w:val="32"/>
          <w:szCs w:val="32"/>
        </w:rPr>
        <w:t>.</w:t>
      </w:r>
      <w:r>
        <w:rPr>
          <w:rStyle w:val="14"/>
          <w:rFonts w:hint="eastAsia" w:ascii="仿宋" w:hAnsi="仿宋" w:eastAsia="仿宋"/>
          <w:bCs/>
          <w:sz w:val="32"/>
          <w:szCs w:val="32"/>
        </w:rPr>
        <w:t>社会保障和就业（类）行政事业单位养老支出（款）事业单位离退休（项）：</w:t>
      </w:r>
      <w:r>
        <w:rPr>
          <w:rStyle w:val="14"/>
          <w:rFonts w:hint="eastAsia" w:ascii="仿宋" w:hAnsi="仿宋" w:eastAsia="仿宋"/>
          <w:b w:val="0"/>
          <w:bCs/>
          <w:sz w:val="32"/>
          <w:szCs w:val="32"/>
        </w:rPr>
        <w:t>支出决算为</w:t>
      </w:r>
      <w:r>
        <w:rPr>
          <w:rStyle w:val="14"/>
          <w:rFonts w:ascii="仿宋" w:hAnsi="仿宋" w:eastAsia="仿宋"/>
          <w:b w:val="0"/>
          <w:bCs/>
          <w:sz w:val="32"/>
          <w:szCs w:val="32"/>
        </w:rPr>
        <w:t>77.26</w:t>
      </w:r>
      <w:r>
        <w:rPr>
          <w:rStyle w:val="14"/>
          <w:rFonts w:hint="eastAsia" w:ascii="仿宋" w:hAnsi="仿宋" w:eastAsia="仿宋"/>
          <w:b w:val="0"/>
          <w:bCs/>
          <w:sz w:val="32"/>
          <w:szCs w:val="32"/>
        </w:rPr>
        <w:t>万元，完成预算100%，决算数与预算数持平；</w:t>
      </w:r>
      <w:r>
        <w:rPr>
          <w:rStyle w:val="14"/>
          <w:rFonts w:hint="eastAsia" w:ascii="仿宋" w:hAnsi="仿宋" w:eastAsia="仿宋"/>
          <w:bCs/>
          <w:sz w:val="32"/>
          <w:szCs w:val="32"/>
        </w:rPr>
        <w:t>行政事业单位养老支出（款）机关事业单位基本养老保险缴费支出（项）：</w:t>
      </w:r>
      <w:r>
        <w:rPr>
          <w:rStyle w:val="14"/>
          <w:rFonts w:hint="eastAsia" w:ascii="仿宋" w:hAnsi="仿宋" w:eastAsia="仿宋"/>
          <w:b w:val="0"/>
          <w:bCs/>
          <w:sz w:val="32"/>
          <w:szCs w:val="32"/>
        </w:rPr>
        <w:t>支出决算为</w:t>
      </w:r>
      <w:r>
        <w:rPr>
          <w:rStyle w:val="14"/>
          <w:rFonts w:ascii="仿宋" w:hAnsi="仿宋" w:eastAsia="仿宋"/>
          <w:b w:val="0"/>
          <w:bCs/>
          <w:sz w:val="32"/>
          <w:szCs w:val="32"/>
        </w:rPr>
        <w:t>29.6</w:t>
      </w:r>
      <w:r>
        <w:rPr>
          <w:rStyle w:val="14"/>
          <w:rFonts w:hint="eastAsia" w:ascii="仿宋" w:hAnsi="仿宋" w:eastAsia="仿宋"/>
          <w:b w:val="0"/>
          <w:bCs/>
          <w:sz w:val="32"/>
          <w:szCs w:val="32"/>
        </w:rPr>
        <w:t>万元，完成预算100%，决算数与预算数持平。</w:t>
      </w:r>
    </w:p>
    <w:p>
      <w:pPr>
        <w:spacing w:line="600" w:lineRule="exact"/>
        <w:ind w:firstLine="642" w:firstLineChars="200"/>
      </w:pPr>
      <w:r>
        <w:rPr>
          <w:rStyle w:val="14"/>
          <w:rFonts w:hint="default" w:ascii="仿宋" w:hAnsi="仿宋" w:eastAsia="仿宋"/>
          <w:bCs/>
          <w:sz w:val="32"/>
          <w:szCs w:val="32"/>
          <w:lang w:val="en"/>
        </w:rPr>
        <w:t>3</w:t>
      </w:r>
      <w:r>
        <w:rPr>
          <w:rStyle w:val="14"/>
          <w:rFonts w:ascii="仿宋" w:hAnsi="仿宋" w:eastAsia="仿宋" w:cstheme="minorBidi"/>
          <w:bCs/>
          <w:sz w:val="32"/>
          <w:szCs w:val="32"/>
        </w:rPr>
        <w:t>.住</w:t>
      </w:r>
      <w:r>
        <w:rPr>
          <w:rFonts w:eastAsia="仿宋"/>
          <w:b/>
          <w:bCs/>
          <w:color w:val="000000"/>
          <w:sz w:val="32"/>
          <w:szCs w:val="32"/>
        </w:rPr>
        <w:t>房保障支出</w:t>
      </w:r>
      <w:r>
        <w:rPr>
          <w:rStyle w:val="14"/>
          <w:rFonts w:eastAsia="仿宋"/>
          <w:bCs/>
          <w:color w:val="000000"/>
          <w:sz w:val="32"/>
          <w:szCs w:val="32"/>
        </w:rPr>
        <w:t>（类）住房改革支出（款）住房公积金（项）:</w:t>
      </w:r>
      <w:r>
        <w:rPr>
          <w:rStyle w:val="14"/>
          <w:rFonts w:ascii="仿宋" w:hAnsi="仿宋" w:eastAsia="仿宋"/>
          <w:b w:val="0"/>
          <w:bCs/>
          <w:kern w:val="2"/>
          <w:sz w:val="32"/>
          <w:szCs w:val="32"/>
        </w:rPr>
        <w:t>支出决算为33.03万元，完成预算100%，</w:t>
      </w:r>
      <w:r>
        <w:rPr>
          <w:rStyle w:val="14"/>
          <w:rFonts w:hint="eastAsia" w:ascii="仿宋" w:hAnsi="仿宋" w:eastAsia="仿宋"/>
          <w:b w:val="0"/>
          <w:bCs/>
          <w:kern w:val="2"/>
          <w:sz w:val="32"/>
          <w:szCs w:val="32"/>
        </w:rPr>
        <w:t>决算数与预算数持平</w:t>
      </w:r>
      <w:r>
        <w:rPr>
          <w:rStyle w:val="14"/>
          <w:rFonts w:ascii="仿宋" w:hAnsi="仿宋" w:eastAsia="仿宋"/>
          <w:b w:val="0"/>
          <w:bCs/>
          <w:kern w:val="2"/>
          <w:sz w:val="32"/>
          <w:szCs w:val="32"/>
        </w:rPr>
        <w:t>。</w:t>
      </w:r>
    </w:p>
    <w:p>
      <w:pPr>
        <w:tabs>
          <w:tab w:val="right" w:pos="8306"/>
        </w:tabs>
        <w:spacing w:line="600" w:lineRule="exact"/>
        <w:ind w:firstLine="640"/>
        <w:outlineLvl w:val="1"/>
        <w:rPr>
          <w:rStyle w:val="25"/>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34"/>
      <w:bookmarkEnd w:id="35"/>
      <w:r>
        <w:rPr>
          <w:rStyle w:val="25"/>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ascii="仿宋" w:hAnsi="仿宋" w:eastAsia="仿宋"/>
          <w:sz w:val="32"/>
          <w:szCs w:val="32"/>
        </w:rPr>
        <w:t>494.79</w:t>
      </w:r>
      <w:r>
        <w:rPr>
          <w:rFonts w:hint="eastAsia" w:ascii="仿宋" w:hAnsi="仿宋" w:eastAsia="仿宋"/>
          <w:sz w:val="32"/>
          <w:szCs w:val="32"/>
        </w:rPr>
        <w:t>万元，其中：人员经费460.7万元，主要包括：基本工资92.9万元、津贴补贴22.77万元、奖金0.3万元、伙食补助费0万元、绩效工资155.02万元、机关事业单位基本养老保险缴费29.6万元、职业年金缴费0万元、职工基本医疗保险缴费24.04万元、公务员医疗补助缴费12.73万元、其他社会保障缴费3.96万元、其他工资福利支出10.92万元、离休费0万元、退休费0万元、抚恤金0万元、生活补助66.53万元、医疗费补助8.91万元、奖励金0万元、住房公积金33.03万元、其他对个人和家庭的补助支出0万元。</w:t>
      </w:r>
    </w:p>
    <w:p>
      <w:pPr>
        <w:spacing w:line="600" w:lineRule="exact"/>
        <w:ind w:firstLine="645"/>
        <w:rPr>
          <w:rFonts w:ascii="仿宋" w:hAnsi="仿宋" w:eastAsia="仿宋"/>
          <w:b/>
          <w:sz w:val="32"/>
          <w:szCs w:val="32"/>
        </w:rPr>
      </w:pPr>
      <w:r>
        <w:rPr>
          <w:rFonts w:hint="eastAsia" w:ascii="仿宋" w:hAnsi="仿宋" w:eastAsia="仿宋"/>
          <w:sz w:val="32"/>
          <w:szCs w:val="32"/>
        </w:rPr>
        <w:t>公用经费</w:t>
      </w:r>
      <w:r>
        <w:rPr>
          <w:rFonts w:ascii="仿宋" w:hAnsi="仿宋" w:eastAsia="仿宋"/>
          <w:sz w:val="32"/>
          <w:szCs w:val="32"/>
        </w:rPr>
        <w:t>34.08</w:t>
      </w:r>
      <w:r>
        <w:rPr>
          <w:rFonts w:hint="eastAsia" w:ascii="仿宋" w:hAnsi="仿宋" w:eastAsia="仿宋"/>
          <w:sz w:val="32"/>
          <w:szCs w:val="32"/>
        </w:rPr>
        <w:t>万元，主要包括：办公费4.32万元、印刷费0.13万元、咨询费0.3万元、手续费0万元、水费0.31万元、电费0.61万元、邮电费1.37万元、取暖费0万元、物业管理费0万元、差旅费2.97万元、因公出国（境）费用0万元、维修（护）费0万元、租赁费0万元、会议费0万元、培训费0万元、公务接待费0.1万元、劳务费9.85万元、委托业务费0万元、工会经费3.06万元、福利费1.44万元、公务用车运行维护费0.69万元、其他交通费2.88万元、税金及附加费用0万元、其他商品和服务支出1.51万元、办公设备购置</w:t>
      </w:r>
      <w:r>
        <w:rPr>
          <w:rFonts w:ascii="仿宋" w:hAnsi="仿宋" w:eastAsia="仿宋"/>
          <w:sz w:val="32"/>
          <w:szCs w:val="32"/>
        </w:rPr>
        <w:t>4.54</w:t>
      </w:r>
      <w:r>
        <w:rPr>
          <w:rFonts w:hint="eastAsia" w:ascii="仿宋" w:hAnsi="仿宋" w:eastAsia="仿宋"/>
          <w:sz w:val="32"/>
          <w:szCs w:val="32"/>
        </w:rPr>
        <w:t>万元、专用设备购置0万元、信息网络及软件购置更新0万元、其他资本性支出0万元。</w:t>
      </w:r>
    </w:p>
    <w:p>
      <w:pPr>
        <w:spacing w:line="600" w:lineRule="exact"/>
        <w:ind w:firstLine="640"/>
        <w:outlineLvl w:val="1"/>
        <w:rPr>
          <w:rStyle w:val="25"/>
          <w:rFonts w:ascii="黑体" w:hAnsi="黑体" w:eastAsia="黑体"/>
          <w:b w:val="0"/>
        </w:rPr>
      </w:pPr>
      <w:bookmarkStart w:id="36" w:name="_Toc15377215"/>
      <w:bookmarkStart w:id="37" w:name="_Toc15396609"/>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ascii="仿宋" w:hAnsi="仿宋" w:eastAsia="仿宋"/>
          <w:sz w:val="32"/>
          <w:szCs w:val="32"/>
        </w:rPr>
        <w:t>0.79</w:t>
      </w:r>
      <w:r>
        <w:rPr>
          <w:rFonts w:hint="eastAsia" w:ascii="仿宋" w:hAnsi="仿宋" w:eastAsia="仿宋"/>
          <w:sz w:val="32"/>
          <w:szCs w:val="32"/>
        </w:rPr>
        <w:t>万元，完成预算37.62</w:t>
      </w:r>
      <w:r>
        <w:rPr>
          <w:rFonts w:ascii="仿宋" w:hAnsi="仿宋" w:eastAsia="仿宋"/>
          <w:sz w:val="32"/>
          <w:szCs w:val="32"/>
        </w:rPr>
        <w:t>%</w:t>
      </w:r>
      <w:r>
        <w:rPr>
          <w:rFonts w:hint="eastAsia" w:ascii="仿宋" w:hAnsi="仿宋" w:eastAsia="仿宋"/>
          <w:sz w:val="32"/>
          <w:szCs w:val="32"/>
        </w:rPr>
        <w:t>，较上年减少0.21万元，下降21%。决算数小于预算数的主要原因是严控三公经费支出。</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w:t>
      </w:r>
      <w:r>
        <w:rPr>
          <w:rFonts w:ascii="仿宋" w:hAnsi="仿宋" w:eastAsia="仿宋"/>
          <w:sz w:val="32"/>
          <w:szCs w:val="32"/>
        </w:rPr>
        <w:t>0.69</w:t>
      </w:r>
      <w:r>
        <w:rPr>
          <w:rFonts w:hint="eastAsia" w:ascii="仿宋" w:hAnsi="仿宋" w:eastAsia="仿宋"/>
          <w:sz w:val="32"/>
          <w:szCs w:val="32"/>
        </w:rPr>
        <w:t>万元，占87.34</w:t>
      </w:r>
      <w:r>
        <w:rPr>
          <w:rFonts w:ascii="仿宋" w:hAnsi="仿宋" w:eastAsia="仿宋"/>
          <w:sz w:val="32"/>
          <w:szCs w:val="32"/>
        </w:rPr>
        <w:t>%</w:t>
      </w:r>
      <w:r>
        <w:rPr>
          <w:rFonts w:hint="eastAsia" w:ascii="仿宋" w:hAnsi="仿宋" w:eastAsia="仿宋"/>
          <w:sz w:val="32"/>
          <w:szCs w:val="32"/>
        </w:rPr>
        <w:t>；公务接待费支出决算0.1万元，占12.66</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pStyle w:val="2"/>
        <w:spacing w:before="93"/>
      </w:pPr>
      <w:r>
        <w:drawing>
          <wp:inline distT="0" distB="0" distL="0" distR="0">
            <wp:extent cx="3943350" cy="2295525"/>
            <wp:effectExtent l="19050" t="0" r="19050" b="0"/>
            <wp:docPr id="12"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4"/>
          <w:rFonts w:hint="eastAsia" w:ascii="仿宋" w:hAnsi="仿宋" w:eastAsia="仿宋"/>
          <w:b w:val="0"/>
          <w:bCs/>
          <w:sz w:val="32"/>
          <w:szCs w:val="32"/>
        </w:rPr>
        <w:t>完成预算0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全年安排因公出国（境）团组0次，出国（境）0人。因公出国（境）支出决算与</w:t>
      </w:r>
      <w:r>
        <w:rPr>
          <w:rFonts w:ascii="仿宋_GB2312" w:eastAsia="仿宋_GB2312"/>
          <w:sz w:val="32"/>
          <w:szCs w:val="32"/>
        </w:rPr>
        <w:t>20</w:t>
      </w:r>
      <w:r>
        <w:rPr>
          <w:rFonts w:hint="eastAsia" w:ascii="仿宋_GB2312" w:eastAsia="仿宋_GB2312"/>
          <w:sz w:val="32"/>
          <w:szCs w:val="32"/>
        </w:rPr>
        <w:t>21年持平。</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0.69万元,</w:t>
      </w:r>
      <w:r>
        <w:rPr>
          <w:rStyle w:val="14"/>
          <w:rFonts w:hint="eastAsia" w:ascii="仿宋" w:hAnsi="仿宋" w:eastAsia="仿宋"/>
          <w:b w:val="0"/>
          <w:bCs/>
          <w:sz w:val="32"/>
          <w:szCs w:val="32"/>
        </w:rPr>
        <w:t>完成预算42.59</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21年减少0.31万元，下降31</w:t>
      </w:r>
      <w:r>
        <w:rPr>
          <w:rFonts w:ascii="仿宋_GB2312" w:eastAsia="仿宋_GB2312"/>
          <w:sz w:val="32"/>
          <w:szCs w:val="32"/>
        </w:rPr>
        <w:t>%</w:t>
      </w:r>
      <w:r>
        <w:rPr>
          <w:rFonts w:hint="eastAsia" w:ascii="仿宋_GB2312" w:eastAsia="仿宋_GB2312"/>
          <w:sz w:val="32"/>
          <w:szCs w:val="32"/>
        </w:rPr>
        <w:t>。主要原因是疫情期间，严格控制车辆外出。</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0万元。全年按规定更新购置公务用车0辆，其中：轿车0辆、金额0万元，越野车0辆、金额0万元，载客汽车0辆、金额0万元0。截至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月底，单位共有公务用车1辆，其中：轿车1辆、越野车0辆、载客汽车0辆。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0.69万元。主要用于</w:t>
      </w:r>
      <w:r>
        <w:rPr>
          <w:rFonts w:hint="eastAsia" w:ascii="仿宋_GB2312" w:eastAsia="仿宋_GB2312"/>
          <w:color w:val="000000"/>
          <w:sz w:val="32"/>
          <w:szCs w:val="32"/>
        </w:rPr>
        <w:t>科技调研等所需的公务用车燃料费、维修费、过路过桥费、保险费等支出。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0.1万元，</w:t>
      </w:r>
      <w:r>
        <w:rPr>
          <w:rStyle w:val="14"/>
          <w:rFonts w:hint="eastAsia" w:ascii="仿宋" w:hAnsi="仿宋" w:eastAsia="仿宋"/>
          <w:b w:val="0"/>
          <w:bCs/>
          <w:sz w:val="32"/>
          <w:szCs w:val="32"/>
        </w:rPr>
        <w:t>完成预算20.83</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21年增加0.1万元，增长100</w:t>
      </w:r>
      <w:r>
        <w:rPr>
          <w:rFonts w:ascii="仿宋_GB2312" w:eastAsia="仿宋_GB2312"/>
          <w:sz w:val="32"/>
          <w:szCs w:val="32"/>
        </w:rPr>
        <w:t>%</w:t>
      </w:r>
      <w:r>
        <w:rPr>
          <w:rFonts w:hint="eastAsia" w:ascii="仿宋_GB2312" w:eastAsia="仿宋_GB2312"/>
          <w:sz w:val="32"/>
          <w:szCs w:val="32"/>
        </w:rPr>
        <w:t>。主要原因是2021年无接待任务。其中：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0.1</w:t>
      </w:r>
      <w:r>
        <w:rPr>
          <w:rFonts w:hint="eastAsia" w:ascii="仿宋_GB2312" w:eastAsia="仿宋_GB2312"/>
          <w:sz w:val="32"/>
          <w:szCs w:val="32"/>
        </w:rPr>
        <w:t>万元，主要用于开展业务活动开支用餐费。国内公务接待1批次，7人次（不包括陪同人员），共计支出0.1万元，具体内容包括：省社会科学院来攀调研接待，金额为0.1万元。</w:t>
      </w:r>
    </w:p>
    <w:p>
      <w:pPr>
        <w:spacing w:line="600" w:lineRule="exact"/>
        <w:ind w:firstLine="642"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万元。外事接待0批次，0人次（不包括陪同人员），共计支出0万元。</w:t>
      </w:r>
      <w:bookmarkStart w:id="40" w:name="_Toc15377218"/>
      <w:bookmarkStart w:id="41" w:name="_Toc15396610"/>
    </w:p>
    <w:p>
      <w:pPr>
        <w:spacing w:line="600" w:lineRule="exact"/>
        <w:ind w:firstLine="640"/>
        <w:outlineLvl w:val="1"/>
        <w:rPr>
          <w:rStyle w:val="25"/>
          <w:rFonts w:ascii="黑体" w:hAnsi="黑体" w:eastAsia="黑体"/>
        </w:rPr>
      </w:pPr>
      <w:r>
        <w:rPr>
          <w:rFonts w:hint="eastAsia" w:ascii="黑体" w:eastAsia="黑体"/>
          <w:sz w:val="32"/>
          <w:szCs w:val="32"/>
        </w:rPr>
        <w:t>八、</w:t>
      </w:r>
      <w:r>
        <w:rPr>
          <w:rStyle w:val="25"/>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numPr>
          <w:ilvl w:val="0"/>
          <w:numId w:val="3"/>
        </w:numPr>
        <w:spacing w:line="600" w:lineRule="exact"/>
        <w:ind w:firstLine="640"/>
        <w:outlineLvl w:val="1"/>
        <w:rPr>
          <w:rStyle w:val="25"/>
          <w:rFonts w:ascii="黑体" w:hAnsi="黑体" w:eastAsia="黑体"/>
          <w:b w:val="0"/>
        </w:rPr>
      </w:pPr>
      <w:bookmarkStart w:id="42" w:name="_Toc15396611"/>
      <w:bookmarkStart w:id="43" w:name="_Toc15377219"/>
      <w:r>
        <w:rPr>
          <w:rStyle w:val="25"/>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numPr>
          <w:ilvl w:val="0"/>
          <w:numId w:val="3"/>
        </w:numPr>
        <w:spacing w:line="600" w:lineRule="exact"/>
        <w:ind w:firstLine="640"/>
        <w:outlineLvl w:val="1"/>
        <w:rPr>
          <w:rStyle w:val="25"/>
          <w:rFonts w:ascii="黑体" w:hAnsi="黑体" w:eastAsia="黑体"/>
          <w:b w:val="0"/>
        </w:rPr>
      </w:pPr>
      <w:bookmarkStart w:id="44" w:name="_Toc15377221"/>
      <w:bookmarkStart w:id="45" w:name="_Toc15396612"/>
      <w:r>
        <w:rPr>
          <w:rStyle w:val="25"/>
          <w:rFonts w:hint="eastAsia" w:ascii="黑体" w:hAnsi="黑体" w:eastAsia="黑体"/>
          <w:b w:val="0"/>
        </w:rPr>
        <w:t>其他重要事项的情况说明</w:t>
      </w:r>
      <w:bookmarkEnd w:id="44"/>
      <w:bookmarkEnd w:id="45"/>
    </w:p>
    <w:p>
      <w:pPr>
        <w:spacing w:line="600" w:lineRule="exact"/>
        <w:ind w:firstLine="642"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22年，攀枝花市科技发展战略研究所机关运行经费支出0万元，与</w:t>
      </w:r>
      <w:r>
        <w:rPr>
          <w:rFonts w:ascii="仿宋_GB2312" w:eastAsia="仿宋_GB2312"/>
          <w:sz w:val="32"/>
          <w:szCs w:val="32"/>
        </w:rPr>
        <w:t>20</w:t>
      </w:r>
      <w:r>
        <w:rPr>
          <w:rFonts w:hint="eastAsia" w:ascii="仿宋_GB2312" w:eastAsia="仿宋_GB2312"/>
          <w:sz w:val="32"/>
          <w:szCs w:val="32"/>
        </w:rPr>
        <w:t>21年决算数持平。</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攀枝花市科技发展战略研究所政府采购支出总额4.54万元，其中：政府采购货物支出4.54万元、政府采购工程支出0万元、政府采购服务支出0万元。主要用于购买办公电脑及办公家具。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日，攀枝花市科技发展战略研究所共有车辆1辆，其中：主要领导干部用车1辆、机要通信用车1辆、应急保障用车0辆、其他用车1辆，其他用车主要是用于</w:t>
      </w:r>
      <w:r>
        <w:rPr>
          <w:rFonts w:hint="eastAsia" w:ascii="仿宋_GB2312" w:eastAsia="仿宋_GB2312"/>
          <w:color w:val="000000"/>
          <w:sz w:val="32"/>
          <w:szCs w:val="32"/>
        </w:rPr>
        <w:t>科技调研等所需的公务用车燃料费、维修费、过路过桥费、保险费等支出</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攀西经济区现代服务业体系建设项目》等21个项目开展了预算事前绩效评估，对21个项目编制了绩效目标，预算执行过程中，选取3个项目开展绩效监控，组织对2</w:t>
      </w:r>
      <w:r>
        <w:rPr>
          <w:rFonts w:hint="eastAsia" w:hAnsi="仿宋_GB2312" w:cs="仿宋_GB2312"/>
          <w:sz w:val="32"/>
          <w:szCs w:val="32"/>
          <w:lang w:val="en-US" w:eastAsia="zh-CN"/>
        </w:rPr>
        <w:t>1</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4"/>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4"/>
          <w:rFonts w:hint="eastAsia" w:ascii="黑体" w:hAnsi="黑体" w:eastAsia="黑体"/>
          <w:b w:val="0"/>
        </w:rPr>
        <w:t>词解释</w:t>
      </w:r>
      <w:bookmarkEnd w:id="49"/>
      <w:bookmarkEnd w:id="50"/>
    </w:p>
    <w:p>
      <w:pPr>
        <w:spacing w:line="600" w:lineRule="exact"/>
        <w:jc w:val="left"/>
        <w:rPr>
          <w:rFonts w:ascii="宋体"/>
          <w:b/>
          <w:sz w:val="44"/>
          <w:szCs w:val="44"/>
        </w:rPr>
      </w:pPr>
    </w:p>
    <w:p>
      <w:pPr>
        <w:pStyle w:val="22"/>
        <w:spacing w:line="560" w:lineRule="exact"/>
        <w:ind w:firstLine="640" w:firstLineChars="200"/>
        <w:rPr>
          <w:rFonts w:ascii="仿宋_GB2312" w:eastAsia="仿宋_GB2312"/>
          <w:color w:val="auto"/>
          <w:sz w:val="32"/>
          <w:szCs w:val="32"/>
        </w:rPr>
      </w:pPr>
      <w:bookmarkStart w:id="51" w:name="_Toc15377226"/>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spacing w:line="600" w:lineRule="exact"/>
        <w:ind w:firstLine="640" w:firstLineChars="200"/>
        <w:rPr>
          <w:rFonts w:hint="eastAsia" w:eastAsia="仿宋_GB2312"/>
          <w:color w:val="000000"/>
          <w:kern w:val="0"/>
          <w:sz w:val="32"/>
          <w:szCs w:val="32"/>
        </w:rPr>
      </w:pPr>
      <w:r>
        <w:rPr>
          <w:rFonts w:hint="eastAsia" w:ascii="仿宋_GB2312" w:hAnsi="Calibri" w:eastAsia="仿宋_GB2312" w:cs="仿宋"/>
          <w:color w:val="auto"/>
          <w:kern w:val="0"/>
          <w:sz w:val="32"/>
          <w:szCs w:val="32"/>
          <w:lang w:val="en-US" w:eastAsia="zh-CN" w:bidi="ar-SA"/>
        </w:rPr>
        <w:t>3.科</w:t>
      </w:r>
      <w:r>
        <w:rPr>
          <w:rFonts w:hint="eastAsia" w:eastAsia="仿宋_GB2312"/>
          <w:color w:val="000000"/>
          <w:kern w:val="0"/>
          <w:sz w:val="32"/>
          <w:szCs w:val="32"/>
        </w:rPr>
        <w:t>学技术支出（类）科技条件与服务（款） 机构运行（项）：指</w:t>
      </w:r>
      <w:r>
        <w:rPr>
          <w:rFonts w:hint="eastAsia" w:eastAsia="仿宋_GB2312"/>
          <w:color w:val="000000"/>
          <w:kern w:val="0"/>
          <w:sz w:val="32"/>
          <w:szCs w:val="32"/>
          <w:lang w:val="en-US" w:eastAsia="zh-CN"/>
        </w:rPr>
        <w:t>用于保障单位正常运行、开展日常工作</w:t>
      </w:r>
      <w:r>
        <w:rPr>
          <w:rFonts w:hint="eastAsia" w:eastAsia="仿宋_GB2312"/>
          <w:color w:val="000000"/>
          <w:kern w:val="0"/>
          <w:sz w:val="32"/>
          <w:szCs w:val="32"/>
          <w:lang w:eastAsia="zh-CN"/>
        </w:rPr>
        <w:t>等</w:t>
      </w:r>
      <w:r>
        <w:rPr>
          <w:rFonts w:hint="eastAsia" w:eastAsia="仿宋_GB2312"/>
          <w:color w:val="000000"/>
          <w:kern w:val="0"/>
          <w:sz w:val="32"/>
          <w:szCs w:val="32"/>
        </w:rPr>
        <w:t>基本支出。</w:t>
      </w:r>
    </w:p>
    <w:p>
      <w:pPr>
        <w:spacing w:line="600" w:lineRule="exact"/>
        <w:ind w:firstLine="640" w:firstLineChars="200"/>
        <w:rPr>
          <w:rFonts w:hint="eastAsia" w:eastAsia="仿宋_GB2312"/>
          <w:color w:val="000000"/>
          <w:kern w:val="0"/>
          <w:sz w:val="32"/>
          <w:szCs w:val="32"/>
        </w:rPr>
      </w:pPr>
      <w:r>
        <w:rPr>
          <w:rFonts w:hint="eastAsia" w:eastAsia="仿宋_GB2312"/>
          <w:color w:val="000000"/>
          <w:kern w:val="0"/>
          <w:sz w:val="32"/>
          <w:szCs w:val="32"/>
          <w:lang w:val="en-US" w:eastAsia="zh-CN"/>
        </w:rPr>
        <w:t>4</w:t>
      </w:r>
      <w:r>
        <w:rPr>
          <w:rFonts w:hint="eastAsia" w:eastAsia="仿宋_GB2312"/>
          <w:color w:val="000000"/>
          <w:kern w:val="0"/>
          <w:sz w:val="32"/>
          <w:szCs w:val="32"/>
        </w:rPr>
        <w:t>.科学技术支出（类）其他科学技术支出（款） 其他科学技术支出（项）：指</w:t>
      </w:r>
      <w:r>
        <w:rPr>
          <w:rFonts w:hint="eastAsia" w:eastAsia="仿宋_GB2312"/>
          <w:color w:val="000000"/>
          <w:kern w:val="0"/>
          <w:sz w:val="32"/>
          <w:szCs w:val="32"/>
          <w:lang w:val="en-US" w:eastAsia="zh-CN"/>
        </w:rPr>
        <w:t>用于其他科学技术方面的支出</w:t>
      </w:r>
      <w:r>
        <w:rPr>
          <w:rFonts w:hint="eastAsia" w:eastAsia="仿宋_GB2312"/>
          <w:color w:val="000000"/>
          <w:kern w:val="0"/>
          <w:sz w:val="32"/>
          <w:szCs w:val="32"/>
        </w:rPr>
        <w:t>。</w:t>
      </w:r>
    </w:p>
    <w:p>
      <w:pPr>
        <w:spacing w:line="600" w:lineRule="exact"/>
        <w:ind w:firstLine="640" w:firstLineChars="200"/>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5</w:t>
      </w:r>
      <w:r>
        <w:rPr>
          <w:rFonts w:hint="eastAsia" w:eastAsia="仿宋_GB2312"/>
          <w:color w:val="000000"/>
          <w:kern w:val="0"/>
          <w:sz w:val="32"/>
          <w:szCs w:val="32"/>
        </w:rPr>
        <w:t>.社会保障和就业（类）行政事业单位养老支出（款） 事业单位离退休（项）: 指</w:t>
      </w:r>
      <w:r>
        <w:rPr>
          <w:rFonts w:hint="eastAsia" w:eastAsia="仿宋_GB2312"/>
          <w:color w:val="000000"/>
          <w:kern w:val="0"/>
          <w:sz w:val="32"/>
          <w:szCs w:val="32"/>
          <w:lang w:val="en-US" w:eastAsia="zh-CN"/>
        </w:rPr>
        <w:t>财政统一供养的事业单位退休人员的支出。</w:t>
      </w:r>
    </w:p>
    <w:p>
      <w:pPr>
        <w:spacing w:line="600" w:lineRule="exact"/>
        <w:ind w:firstLine="640" w:firstLineChars="200"/>
      </w:pPr>
      <w:r>
        <w:rPr>
          <w:rFonts w:hint="eastAsia" w:eastAsia="仿宋_GB2312"/>
          <w:color w:val="000000"/>
          <w:kern w:val="0"/>
          <w:sz w:val="32"/>
          <w:szCs w:val="32"/>
          <w:lang w:val="en-US" w:eastAsia="zh-CN"/>
        </w:rPr>
        <w:t>6.</w:t>
      </w:r>
      <w:r>
        <w:rPr>
          <w:rFonts w:hint="eastAsia" w:eastAsia="仿宋_GB2312"/>
          <w:color w:val="000000"/>
          <w:kern w:val="0"/>
          <w:sz w:val="32"/>
          <w:szCs w:val="32"/>
        </w:rPr>
        <w:t>社会保障和就业（类）行政事业单位养老支出（款）机关事业单位基本养老保险缴费支出（项）：</w:t>
      </w:r>
      <w:r>
        <w:rPr>
          <w:rFonts w:ascii="仿宋_gb2312" w:hAnsi="仿宋_gb2312" w:eastAsia="仿宋_gb2312" w:cs="仿宋_gb2312"/>
          <w:kern w:val="0"/>
          <w:sz w:val="33"/>
          <w:szCs w:val="33"/>
          <w:lang w:val="en-US" w:eastAsia="zh-CN" w:bidi="ar"/>
        </w:rPr>
        <w:t>指机关事业单位实施养老保险制度由单位缴纳的基本养老保险费支出。</w:t>
      </w:r>
    </w:p>
    <w:p>
      <w:pPr>
        <w:pStyle w:val="22"/>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住房保障支出（类）住房改革支出（款）住房公积金（项）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指反映行政事业单位按</w:t>
      </w:r>
      <w:r>
        <w:rPr>
          <w:rFonts w:hint="eastAsia" w:ascii="Times New Roman" w:hAnsi="Times New Roman" w:eastAsia="仿宋_GB2312" w:cs="Times New Roman"/>
          <w:sz w:val="32"/>
          <w:szCs w:val="32"/>
        </w:rPr>
        <w:t>人力资源和社会保障部</w:t>
      </w:r>
      <w:r>
        <w:rPr>
          <w:rFonts w:ascii="Times New Roman" w:hAnsi="Times New Roman" w:eastAsia="仿宋_GB2312" w:cs="Times New Roman"/>
          <w:sz w:val="32"/>
          <w:szCs w:val="32"/>
        </w:rPr>
        <w:t>、财政部门规定的基本工资和津贴补贴以及规定比例为职工缴纳的住房公积金。</w:t>
      </w:r>
    </w:p>
    <w:p>
      <w:pPr>
        <w:ind w:firstLine="640" w:firstLineChars="200"/>
        <w:rPr>
          <w:rFonts w:ascii="仿宋_GB2312" w:eastAsia="仿宋_GB2312"/>
          <w:sz w:val="32"/>
          <w:szCs w:val="32"/>
        </w:rPr>
      </w:pPr>
      <w:r>
        <w:rPr>
          <w:rFonts w:hint="eastAsia" w:eastAsia="仿宋_GB2312"/>
          <w:color w:val="000000"/>
          <w:kern w:val="0"/>
          <w:sz w:val="32"/>
          <w:szCs w:val="32"/>
          <w:lang w:val="en-US" w:eastAsia="zh-CN"/>
        </w:rPr>
        <w:t>8</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22"/>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10</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4"/>
          <w:rFonts w:ascii="黑体" w:hAnsi="黑体" w:eastAsia="黑体"/>
          <w:b w:val="0"/>
        </w:rPr>
      </w:pPr>
      <w:r>
        <w:rPr>
          <w:rFonts w:ascii="宋体"/>
          <w:b/>
          <w:sz w:val="44"/>
          <w:szCs w:val="44"/>
        </w:rPr>
        <w:br w:type="page"/>
      </w:r>
      <w:bookmarkStart w:id="52" w:name="_Toc15396614"/>
      <w:r>
        <w:rPr>
          <w:rFonts w:hint="eastAsia" w:ascii="黑体" w:hAnsi="黑体" w:eastAsia="黑体"/>
          <w:sz w:val="44"/>
          <w:szCs w:val="44"/>
        </w:rPr>
        <w:t>第</w:t>
      </w:r>
      <w:r>
        <w:rPr>
          <w:rStyle w:val="24"/>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hint="eastAsia" w:ascii="宋体" w:hAnsi="宋体" w:eastAsia="宋体" w:cs="宋体"/>
          <w:kern w:val="0"/>
          <w:sz w:val="32"/>
          <w:szCs w:val="32"/>
          <w:lang w:val="en" w:eastAsia="zh-CN"/>
        </w:rPr>
      </w:pPr>
      <w:bookmarkStart w:id="53" w:name="_Toc15396618"/>
      <w:r>
        <w:rPr>
          <w:rFonts w:hint="eastAsia" w:ascii="宋体" w:hAnsi="宋体" w:cs="宋体"/>
          <w:kern w:val="0"/>
          <w:sz w:val="32"/>
          <w:szCs w:val="32"/>
        </w:rPr>
        <w:t>部门预算项目支出绩效自评表（2022年度）见附件</w:t>
      </w:r>
      <w:r>
        <w:rPr>
          <w:rFonts w:hint="default" w:ascii="宋体" w:hAnsi="宋体" w:cs="宋体"/>
          <w:kern w:val="0"/>
          <w:sz w:val="32"/>
          <w:szCs w:val="32"/>
          <w:lang w:val="en"/>
        </w:rPr>
        <w:t>1</w:t>
      </w:r>
      <w:r>
        <w:rPr>
          <w:rFonts w:hint="eastAsia" w:ascii="宋体" w:hAnsi="宋体" w:cs="宋体"/>
          <w:kern w:val="0"/>
          <w:sz w:val="32"/>
          <w:szCs w:val="32"/>
          <w:lang w:val="en" w:eastAsia="zh-CN"/>
        </w:rPr>
        <w:t>。</w:t>
      </w:r>
    </w:p>
    <w:p>
      <w:pPr>
        <w:spacing w:line="600" w:lineRule="exact"/>
        <w:jc w:val="left"/>
        <w:outlineLvl w:val="0"/>
        <w:rPr>
          <w:rFonts w:ascii="仿宋_GB2312" w:hAnsi="Calibri" w:eastAsia="仿宋_GB2312" w:cs="仿宋"/>
          <w:kern w:val="0"/>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4"/>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5"/>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5"/>
          <w:rFonts w:hint="eastAsia" w:ascii="仿宋" w:hAnsi="仿宋" w:eastAsia="仿宋"/>
          <w:b w:val="0"/>
          <w:bCs w:val="0"/>
        </w:rPr>
        <w:t>入决算表</w:t>
      </w:r>
      <w:bookmarkEnd w:id="55"/>
    </w:p>
    <w:p>
      <w:pPr>
        <w:pStyle w:val="4"/>
        <w:rPr>
          <w:rFonts w:ascii="仿宋" w:hAnsi="仿宋" w:eastAsia="仿宋"/>
        </w:rPr>
      </w:pPr>
      <w:bookmarkStart w:id="56" w:name="_Toc15396621"/>
      <w:r>
        <w:rPr>
          <w:rStyle w:val="25"/>
          <w:rFonts w:hint="eastAsia" w:ascii="仿宋" w:hAnsi="仿宋" w:eastAsia="仿宋"/>
          <w:b w:val="0"/>
          <w:bCs w:val="0"/>
        </w:rPr>
        <w:t>三、</w:t>
      </w:r>
      <w:r>
        <w:rPr>
          <w:rFonts w:hint="eastAsia" w:ascii="仿宋" w:hAnsi="仿宋" w:eastAsia="仿宋"/>
          <w:b w:val="0"/>
        </w:rPr>
        <w:t>支</w:t>
      </w:r>
      <w:r>
        <w:rPr>
          <w:rStyle w:val="25"/>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5"/>
          <w:rFonts w:hint="eastAsia" w:ascii="仿宋" w:hAnsi="仿宋" w:eastAsia="仿宋"/>
          <w:b w:val="0"/>
          <w:bCs w:val="0"/>
        </w:rPr>
        <w:t>四、</w:t>
      </w:r>
      <w:r>
        <w:rPr>
          <w:rFonts w:hint="eastAsia" w:ascii="仿宋" w:hAnsi="仿宋" w:eastAsia="仿宋"/>
          <w:b w:val="0"/>
        </w:rPr>
        <w:t>财</w:t>
      </w:r>
      <w:r>
        <w:rPr>
          <w:rStyle w:val="25"/>
          <w:rFonts w:hint="eastAsia" w:ascii="仿宋" w:hAnsi="仿宋" w:eastAsia="仿宋"/>
          <w:b w:val="0"/>
          <w:bCs w:val="0"/>
        </w:rPr>
        <w:t>政拨款收入支出决算总表</w:t>
      </w:r>
      <w:bookmarkEnd w:id="57"/>
    </w:p>
    <w:p>
      <w:pPr>
        <w:pStyle w:val="4"/>
        <w:rPr>
          <w:rStyle w:val="25"/>
          <w:rFonts w:ascii="仿宋" w:hAnsi="仿宋" w:eastAsia="仿宋"/>
          <w:b w:val="0"/>
          <w:bCs w:val="0"/>
        </w:rPr>
      </w:pPr>
      <w:bookmarkStart w:id="58" w:name="_Toc15396623"/>
      <w:r>
        <w:rPr>
          <w:rStyle w:val="25"/>
          <w:rFonts w:hint="eastAsia" w:ascii="仿宋" w:hAnsi="仿宋" w:eastAsia="仿宋"/>
          <w:b w:val="0"/>
          <w:bCs w:val="0"/>
        </w:rPr>
        <w:t>五、</w:t>
      </w:r>
      <w:r>
        <w:rPr>
          <w:rFonts w:hint="eastAsia" w:ascii="仿宋" w:hAnsi="仿宋" w:eastAsia="仿宋"/>
          <w:b w:val="0"/>
        </w:rPr>
        <w:t>财</w:t>
      </w:r>
      <w:r>
        <w:rPr>
          <w:rStyle w:val="25"/>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5"/>
          <w:rFonts w:hint="eastAsia" w:ascii="仿宋" w:hAnsi="仿宋" w:eastAsia="仿宋"/>
          <w:b w:val="0"/>
          <w:bCs w:val="0"/>
        </w:rPr>
        <w:t>六、</w:t>
      </w:r>
      <w:r>
        <w:rPr>
          <w:rFonts w:hint="eastAsia" w:ascii="仿宋" w:hAnsi="仿宋" w:eastAsia="仿宋"/>
          <w:b w:val="0"/>
        </w:rPr>
        <w:t>一</w:t>
      </w:r>
      <w:r>
        <w:rPr>
          <w:rStyle w:val="25"/>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5"/>
          <w:rFonts w:hint="eastAsia" w:ascii="仿宋" w:hAnsi="仿宋" w:eastAsia="仿宋"/>
          <w:b w:val="0"/>
          <w:bCs w:val="0"/>
        </w:rPr>
        <w:t>七、</w:t>
      </w:r>
      <w:r>
        <w:rPr>
          <w:rFonts w:hint="eastAsia" w:ascii="仿宋" w:hAnsi="仿宋" w:eastAsia="仿宋"/>
          <w:b w:val="0"/>
        </w:rPr>
        <w:t>一</w:t>
      </w:r>
      <w:r>
        <w:rPr>
          <w:rStyle w:val="25"/>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5"/>
          <w:rFonts w:hint="eastAsia" w:ascii="仿宋" w:hAnsi="仿宋" w:eastAsia="仿宋"/>
          <w:b w:val="0"/>
          <w:bCs w:val="0"/>
        </w:rPr>
        <w:t>八、</w:t>
      </w:r>
      <w:r>
        <w:rPr>
          <w:rFonts w:hint="eastAsia" w:ascii="仿宋" w:hAnsi="仿宋" w:eastAsia="仿宋"/>
          <w:b w:val="0"/>
        </w:rPr>
        <w:t>一</w:t>
      </w:r>
      <w:r>
        <w:rPr>
          <w:rStyle w:val="25"/>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5"/>
          <w:rFonts w:hint="eastAsia" w:ascii="仿宋" w:hAnsi="仿宋" w:eastAsia="仿宋"/>
          <w:b w:val="0"/>
          <w:bCs w:val="0"/>
        </w:rPr>
        <w:t>九、</w:t>
      </w:r>
      <w:r>
        <w:rPr>
          <w:rFonts w:hint="eastAsia" w:ascii="仿宋" w:hAnsi="仿宋" w:eastAsia="仿宋"/>
          <w:b w:val="0"/>
        </w:rPr>
        <w:t>一</w:t>
      </w:r>
      <w:r>
        <w:rPr>
          <w:rStyle w:val="25"/>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5"/>
          <w:rFonts w:hint="eastAsia" w:ascii="仿宋" w:hAnsi="仿宋" w:eastAsia="仿宋"/>
          <w:b w:val="0"/>
          <w:bCs w:val="0"/>
        </w:rPr>
        <w:t>十、</w:t>
      </w:r>
      <w:bookmarkEnd w:id="63"/>
      <w:r>
        <w:rPr>
          <w:rFonts w:hint="eastAsia" w:ascii="仿宋" w:hAnsi="仿宋" w:eastAsia="仿宋"/>
          <w:b w:val="0"/>
        </w:rPr>
        <w:t>政</w:t>
      </w:r>
      <w:r>
        <w:rPr>
          <w:rStyle w:val="25"/>
          <w:rFonts w:hint="eastAsia" w:ascii="仿宋" w:hAnsi="仿宋" w:eastAsia="仿宋"/>
          <w:b w:val="0"/>
          <w:bCs w:val="0"/>
        </w:rPr>
        <w:t>府性基金预算财政拨款收入支出决算表</w:t>
      </w:r>
    </w:p>
    <w:p>
      <w:pPr>
        <w:pStyle w:val="4"/>
        <w:rPr>
          <w:rFonts w:ascii="仿宋" w:hAnsi="仿宋" w:eastAsia="仿宋"/>
        </w:rPr>
      </w:pPr>
      <w:bookmarkStart w:id="64" w:name="_Toc15396629"/>
      <w:r>
        <w:rPr>
          <w:rStyle w:val="25"/>
          <w:rFonts w:hint="eastAsia" w:ascii="仿宋" w:hAnsi="仿宋" w:eastAsia="仿宋"/>
          <w:b w:val="0"/>
          <w:bCs w:val="0"/>
        </w:rPr>
        <w:t>十一、</w:t>
      </w:r>
      <w:bookmarkEnd w:id="64"/>
      <w:r>
        <w:rPr>
          <w:rFonts w:hint="eastAsia" w:ascii="仿宋" w:hAnsi="仿宋" w:eastAsia="仿宋"/>
          <w:b w:val="0"/>
        </w:rPr>
        <w:t>国</w:t>
      </w:r>
      <w:r>
        <w:rPr>
          <w:rStyle w:val="25"/>
          <w:rFonts w:hint="eastAsia" w:ascii="仿宋" w:hAnsi="仿宋" w:eastAsia="仿宋"/>
          <w:b w:val="0"/>
          <w:bCs w:val="0"/>
        </w:rPr>
        <w:t>有资本经营预算财政拨款收入支出决算表</w:t>
      </w:r>
    </w:p>
    <w:p>
      <w:pPr>
        <w:pStyle w:val="4"/>
        <w:rPr>
          <w:rFonts w:ascii="仿宋" w:hAnsi="仿宋" w:eastAsia="仿宋"/>
        </w:rPr>
      </w:pPr>
      <w:bookmarkStart w:id="65" w:name="_Toc15396630"/>
      <w:r>
        <w:rPr>
          <w:rStyle w:val="25"/>
          <w:rFonts w:hint="eastAsia" w:ascii="仿宋" w:hAnsi="仿宋" w:eastAsia="仿宋"/>
          <w:b w:val="0"/>
          <w:bCs w:val="0"/>
        </w:rPr>
        <w:t>十二、</w:t>
      </w:r>
      <w:bookmarkEnd w:id="65"/>
      <w:r>
        <w:rPr>
          <w:rStyle w:val="25"/>
          <w:rFonts w:hint="eastAsia" w:ascii="仿宋" w:hAnsi="仿宋" w:eastAsia="仿宋"/>
          <w:b w:val="0"/>
          <w:bCs w:val="0"/>
        </w:rPr>
        <w:t>国有资本经营预算财政拨款支出决算表</w:t>
      </w:r>
    </w:p>
    <w:p>
      <w:pPr>
        <w:pStyle w:val="4"/>
        <w:rPr>
          <w:rFonts w:eastAsia="仿宋"/>
        </w:rPr>
      </w:pPr>
      <w:bookmarkStart w:id="66" w:name="_Toc15396631"/>
      <w:r>
        <w:rPr>
          <w:rStyle w:val="25"/>
          <w:rFonts w:hint="eastAsia" w:ascii="仿宋" w:hAnsi="仿宋" w:eastAsia="仿宋"/>
          <w:b w:val="0"/>
          <w:bCs w:val="0"/>
        </w:rPr>
        <w:t>十三、</w:t>
      </w:r>
      <w:bookmarkEnd w:id="66"/>
      <w:r>
        <w:rPr>
          <w:rStyle w:val="25"/>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32D0B"/>
    <w:rsid w:val="00142216"/>
    <w:rsid w:val="00144D6A"/>
    <w:rsid w:val="0014729F"/>
    <w:rsid w:val="00157BAB"/>
    <w:rsid w:val="001654D1"/>
    <w:rsid w:val="00166E95"/>
    <w:rsid w:val="00174518"/>
    <w:rsid w:val="0018106D"/>
    <w:rsid w:val="001877A7"/>
    <w:rsid w:val="00191536"/>
    <w:rsid w:val="00196687"/>
    <w:rsid w:val="00197DA0"/>
    <w:rsid w:val="001C0962"/>
    <w:rsid w:val="001D7531"/>
    <w:rsid w:val="001E737D"/>
    <w:rsid w:val="001F0592"/>
    <w:rsid w:val="001F7506"/>
    <w:rsid w:val="002006CD"/>
    <w:rsid w:val="00202B36"/>
    <w:rsid w:val="00204B7A"/>
    <w:rsid w:val="00204CDE"/>
    <w:rsid w:val="00205DFC"/>
    <w:rsid w:val="0021101A"/>
    <w:rsid w:val="00220536"/>
    <w:rsid w:val="00235629"/>
    <w:rsid w:val="00260950"/>
    <w:rsid w:val="00260C38"/>
    <w:rsid w:val="00260C9E"/>
    <w:rsid w:val="002616C0"/>
    <w:rsid w:val="00265372"/>
    <w:rsid w:val="002662AA"/>
    <w:rsid w:val="002779E4"/>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0C9D"/>
    <w:rsid w:val="004A711F"/>
    <w:rsid w:val="004B199D"/>
    <w:rsid w:val="004B4690"/>
    <w:rsid w:val="004E0A2D"/>
    <w:rsid w:val="004E206B"/>
    <w:rsid w:val="004E6DF7"/>
    <w:rsid w:val="004F0FBD"/>
    <w:rsid w:val="004F3C1E"/>
    <w:rsid w:val="00505A47"/>
    <w:rsid w:val="00512FDA"/>
    <w:rsid w:val="00520DA0"/>
    <w:rsid w:val="005664BB"/>
    <w:rsid w:val="00566FFA"/>
    <w:rsid w:val="0057481D"/>
    <w:rsid w:val="0058486E"/>
    <w:rsid w:val="00585B33"/>
    <w:rsid w:val="0059014D"/>
    <w:rsid w:val="005A049A"/>
    <w:rsid w:val="005B5C64"/>
    <w:rsid w:val="005B745D"/>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571A0"/>
    <w:rsid w:val="0066343B"/>
    <w:rsid w:val="00664777"/>
    <w:rsid w:val="006748A4"/>
    <w:rsid w:val="00681A31"/>
    <w:rsid w:val="00683E73"/>
    <w:rsid w:val="006A0077"/>
    <w:rsid w:val="006A3141"/>
    <w:rsid w:val="006A5E34"/>
    <w:rsid w:val="006B2422"/>
    <w:rsid w:val="006B2B9A"/>
    <w:rsid w:val="006C1937"/>
    <w:rsid w:val="006D19EF"/>
    <w:rsid w:val="006F020C"/>
    <w:rsid w:val="007127B7"/>
    <w:rsid w:val="0071798E"/>
    <w:rsid w:val="007416B6"/>
    <w:rsid w:val="007457B8"/>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E26C7"/>
    <w:rsid w:val="007F1991"/>
    <w:rsid w:val="007F2C2F"/>
    <w:rsid w:val="007F55FC"/>
    <w:rsid w:val="007F5665"/>
    <w:rsid w:val="00800112"/>
    <w:rsid w:val="00813348"/>
    <w:rsid w:val="00820AA9"/>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B7BB8"/>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4E8D"/>
    <w:rsid w:val="0098660A"/>
    <w:rsid w:val="009931C3"/>
    <w:rsid w:val="009A55F9"/>
    <w:rsid w:val="009B2C43"/>
    <w:rsid w:val="009B4EAE"/>
    <w:rsid w:val="009B7573"/>
    <w:rsid w:val="009C22F4"/>
    <w:rsid w:val="009C2A4B"/>
    <w:rsid w:val="009C2E98"/>
    <w:rsid w:val="009C531C"/>
    <w:rsid w:val="009D3447"/>
    <w:rsid w:val="009D4711"/>
    <w:rsid w:val="009F1185"/>
    <w:rsid w:val="009F18CD"/>
    <w:rsid w:val="009F2A13"/>
    <w:rsid w:val="009F7527"/>
    <w:rsid w:val="009F76D8"/>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41B"/>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4082"/>
    <w:rsid w:val="00B2562A"/>
    <w:rsid w:val="00B310B9"/>
    <w:rsid w:val="00B35F3F"/>
    <w:rsid w:val="00B36CBB"/>
    <w:rsid w:val="00B425E0"/>
    <w:rsid w:val="00B440AA"/>
    <w:rsid w:val="00B44B70"/>
    <w:rsid w:val="00B53C56"/>
    <w:rsid w:val="00B57DAF"/>
    <w:rsid w:val="00B67AC8"/>
    <w:rsid w:val="00B67E91"/>
    <w:rsid w:val="00B77EA6"/>
    <w:rsid w:val="00B81598"/>
    <w:rsid w:val="00B841F1"/>
    <w:rsid w:val="00B944D6"/>
    <w:rsid w:val="00BB4DF0"/>
    <w:rsid w:val="00BC289F"/>
    <w:rsid w:val="00BC2D50"/>
    <w:rsid w:val="00BC5361"/>
    <w:rsid w:val="00BC5460"/>
    <w:rsid w:val="00BC6B50"/>
    <w:rsid w:val="00BD0E25"/>
    <w:rsid w:val="00BF5BD6"/>
    <w:rsid w:val="00C03E31"/>
    <w:rsid w:val="00C23A5C"/>
    <w:rsid w:val="00C26A74"/>
    <w:rsid w:val="00C33E72"/>
    <w:rsid w:val="00C354B2"/>
    <w:rsid w:val="00C35554"/>
    <w:rsid w:val="00C42709"/>
    <w:rsid w:val="00C533CC"/>
    <w:rsid w:val="00C5751C"/>
    <w:rsid w:val="00C61BFC"/>
    <w:rsid w:val="00C62B85"/>
    <w:rsid w:val="00C65438"/>
    <w:rsid w:val="00C7524A"/>
    <w:rsid w:val="00C87FD8"/>
    <w:rsid w:val="00C91381"/>
    <w:rsid w:val="00C91CBB"/>
    <w:rsid w:val="00CA182D"/>
    <w:rsid w:val="00CB4E70"/>
    <w:rsid w:val="00CC09B6"/>
    <w:rsid w:val="00CC666F"/>
    <w:rsid w:val="00CD1E3F"/>
    <w:rsid w:val="00CE44F6"/>
    <w:rsid w:val="00CE49DA"/>
    <w:rsid w:val="00CE7B61"/>
    <w:rsid w:val="00D00095"/>
    <w:rsid w:val="00D114F0"/>
    <w:rsid w:val="00D2050B"/>
    <w:rsid w:val="00D20620"/>
    <w:rsid w:val="00D254F7"/>
    <w:rsid w:val="00D26091"/>
    <w:rsid w:val="00D2685C"/>
    <w:rsid w:val="00D34E7C"/>
    <w:rsid w:val="00D35489"/>
    <w:rsid w:val="00D36AFE"/>
    <w:rsid w:val="00D51276"/>
    <w:rsid w:val="00D7035F"/>
    <w:rsid w:val="00DA634F"/>
    <w:rsid w:val="00DA65AC"/>
    <w:rsid w:val="00DB1913"/>
    <w:rsid w:val="00DB4E38"/>
    <w:rsid w:val="00DC410D"/>
    <w:rsid w:val="00DC5A81"/>
    <w:rsid w:val="00DC68CA"/>
    <w:rsid w:val="00DC7CBA"/>
    <w:rsid w:val="00DD73B7"/>
    <w:rsid w:val="00DE6510"/>
    <w:rsid w:val="00DF28BC"/>
    <w:rsid w:val="00DF34B9"/>
    <w:rsid w:val="00E01053"/>
    <w:rsid w:val="00E05F71"/>
    <w:rsid w:val="00E07ACF"/>
    <w:rsid w:val="00E331A1"/>
    <w:rsid w:val="00E33202"/>
    <w:rsid w:val="00E336A9"/>
    <w:rsid w:val="00E472B1"/>
    <w:rsid w:val="00E50624"/>
    <w:rsid w:val="00E568DF"/>
    <w:rsid w:val="00E64269"/>
    <w:rsid w:val="00E82267"/>
    <w:rsid w:val="00E82A30"/>
    <w:rsid w:val="00E853CE"/>
    <w:rsid w:val="00E867B6"/>
    <w:rsid w:val="00EA010F"/>
    <w:rsid w:val="00ED1B63"/>
    <w:rsid w:val="00ED3C1F"/>
    <w:rsid w:val="00ED4085"/>
    <w:rsid w:val="00ED420E"/>
    <w:rsid w:val="00ED6CF8"/>
    <w:rsid w:val="00ED6FBE"/>
    <w:rsid w:val="00EE27D5"/>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A2032A3"/>
    <w:rsid w:val="0B8A37D8"/>
    <w:rsid w:val="10C055FF"/>
    <w:rsid w:val="118107EC"/>
    <w:rsid w:val="11DD6519"/>
    <w:rsid w:val="16BB723D"/>
    <w:rsid w:val="18015F3F"/>
    <w:rsid w:val="1BE8440E"/>
    <w:rsid w:val="1BFA78F0"/>
    <w:rsid w:val="1D155CEE"/>
    <w:rsid w:val="20F57F95"/>
    <w:rsid w:val="240371BF"/>
    <w:rsid w:val="25711CC6"/>
    <w:rsid w:val="25C741E6"/>
    <w:rsid w:val="27842671"/>
    <w:rsid w:val="29FD04D3"/>
    <w:rsid w:val="2ABE7A3E"/>
    <w:rsid w:val="2CA234A8"/>
    <w:rsid w:val="2EFA178C"/>
    <w:rsid w:val="30B46D73"/>
    <w:rsid w:val="319F7F4E"/>
    <w:rsid w:val="383D272C"/>
    <w:rsid w:val="39AE70AB"/>
    <w:rsid w:val="3C0C0783"/>
    <w:rsid w:val="3E785A07"/>
    <w:rsid w:val="3F9F3A96"/>
    <w:rsid w:val="48BF60AB"/>
    <w:rsid w:val="493C27E9"/>
    <w:rsid w:val="496F39ED"/>
    <w:rsid w:val="49FF41D3"/>
    <w:rsid w:val="4BE068DB"/>
    <w:rsid w:val="4BF6002B"/>
    <w:rsid w:val="4ECE2238"/>
    <w:rsid w:val="51DB4B86"/>
    <w:rsid w:val="55333C3E"/>
    <w:rsid w:val="5FFF430C"/>
    <w:rsid w:val="64CA39A1"/>
    <w:rsid w:val="69630ADE"/>
    <w:rsid w:val="6C4A05C8"/>
    <w:rsid w:val="6D3B1A89"/>
    <w:rsid w:val="71BF4EC2"/>
    <w:rsid w:val="72734D90"/>
    <w:rsid w:val="7412278C"/>
    <w:rsid w:val="79E7B28D"/>
    <w:rsid w:val="7AD77674"/>
    <w:rsid w:val="7F9F20EE"/>
    <w:rsid w:val="95F7EA9C"/>
    <w:rsid w:val="9E3A10E2"/>
    <w:rsid w:val="EEFF82DD"/>
    <w:rsid w:val="EFBF3B2C"/>
    <w:rsid w:val="EFCE21A9"/>
    <w:rsid w:val="F2E1F9D4"/>
    <w:rsid w:val="F7880819"/>
    <w:rsid w:val="FBF833E3"/>
    <w:rsid w:val="FF7F8DF8"/>
    <w:rsid w:val="FFEEC50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609;&#29366;&#2227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609;&#29366;&#2227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609;&#29366;&#2227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609;&#29366;&#2227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609;&#29366;&#2227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609;&#29366;&#2227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6609;&#29366;&#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rgbClr val="000000"/>
                </a:solidFill>
                <a:latin typeface="宋体"/>
                <a:ea typeface="宋体"/>
                <a:cs typeface="宋体"/>
              </a:defRPr>
            </a:pPr>
            <a:r>
              <a:rPr lang="zh-CN" altLang="en-US"/>
              <a:t>收、支决算总计变动情况图</a:t>
            </a:r>
            <a:endParaRPr lang="zh-CN" altLang="en-US"/>
          </a:p>
        </c:rich>
      </c:tx>
      <c:layout/>
      <c:overlay val="false"/>
    </c:title>
    <c:autoTitleDeleted val="false"/>
    <c:plotArea>
      <c:layout>
        <c:manualLayout>
          <c:layoutTarget val="inner"/>
          <c:xMode val="edge"/>
          <c:yMode val="edge"/>
          <c:x val="0.146711635750422"/>
          <c:y val="0.242622950819672"/>
          <c:w val="0.817875210792582"/>
          <c:h val="0.472131147540983"/>
        </c:manualLayout>
      </c:layout>
      <c:barChart>
        <c:barDir val="col"/>
        <c:grouping val="clustered"/>
        <c:varyColors val="false"/>
        <c:ser>
          <c:idx val="0"/>
          <c:order val="0"/>
          <c:tx>
            <c:strRef>
              <c:f>图1!$B$1</c:f>
              <c:strCache>
                <c:ptCount val="1"/>
                <c:pt idx="0">
                  <c:v>2021年</c:v>
                </c:pt>
              </c:strCache>
            </c:strRef>
          </c:tx>
          <c:spPr>
            <a:gradFill>
              <a:gsLst>
                <a:gs pos="0">
                  <a:srgbClr val="E30000"/>
                </a:gs>
                <a:gs pos="100000">
                  <a:srgbClr val="760303"/>
                </a:gs>
              </a:gsLst>
              <a:lin ang="5400000" scaled="false"/>
            </a:gra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宋体"/>
                    <a:ea typeface="宋体"/>
                    <a:cs typeface="宋体"/>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图1!$A$2:$A$3</c:f>
              <c:strCache>
                <c:ptCount val="2"/>
                <c:pt idx="0">
                  <c:v>收入总计</c:v>
                </c:pt>
                <c:pt idx="1">
                  <c:v>支出总计</c:v>
                </c:pt>
              </c:strCache>
            </c:strRef>
          </c:cat>
          <c:val>
            <c:numRef>
              <c:f>图1!$B$2:$B$3</c:f>
              <c:numCache>
                <c:formatCode>General</c:formatCode>
                <c:ptCount val="2"/>
                <c:pt idx="0">
                  <c:v>422.03</c:v>
                </c:pt>
                <c:pt idx="1">
                  <c:v>422.03</c:v>
                </c:pt>
              </c:numCache>
            </c:numRef>
          </c:val>
        </c:ser>
        <c:ser>
          <c:idx val="1"/>
          <c:order val="1"/>
          <c:tx>
            <c:strRef>
              <c:f>图1!$C$1</c:f>
              <c:strCache>
                <c:ptCount val="1"/>
                <c:pt idx="0">
                  <c:v>2022年</c:v>
                </c:pt>
              </c:strCache>
            </c:strRef>
          </c:tx>
          <c:spPr>
            <a:gradFill>
              <a:gsLst>
                <a:gs pos="0">
                  <a:srgbClr val="007BD3"/>
                </a:gs>
                <a:gs pos="100000">
                  <a:srgbClr val="034373"/>
                </a:gs>
              </a:gsLst>
              <a:lin ang="5400000" scaled="false"/>
            </a:gra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宋体"/>
                    <a:ea typeface="宋体"/>
                    <a:cs typeface="宋体"/>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图1!$A$2:$A$3</c:f>
              <c:strCache>
                <c:ptCount val="2"/>
                <c:pt idx="0">
                  <c:v>收入总计</c:v>
                </c:pt>
                <c:pt idx="1">
                  <c:v>支出总计</c:v>
                </c:pt>
              </c:strCache>
            </c:strRef>
          </c:cat>
          <c:val>
            <c:numRef>
              <c:f>图1!$C$2:$C$3</c:f>
              <c:numCache>
                <c:formatCode>General</c:formatCode>
                <c:ptCount val="2"/>
                <c:pt idx="0">
                  <c:v>505.53</c:v>
                </c:pt>
                <c:pt idx="1">
                  <c:v>505.53</c:v>
                </c:pt>
              </c:numCache>
            </c:numRef>
          </c:val>
        </c:ser>
        <c:dLbls>
          <c:showLegendKey val="false"/>
          <c:showVal val="true"/>
          <c:showCatName val="false"/>
          <c:showSerName val="false"/>
          <c:showPercent val="false"/>
          <c:showBubbleSize val="false"/>
        </c:dLbls>
        <c:gapWidth val="150"/>
        <c:axId val="133213568"/>
        <c:axId val="135480448"/>
      </c:barChart>
      <c:catAx>
        <c:axId val="133213568"/>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true"/>
          <a:lstStyle/>
          <a:p>
            <a:pPr>
              <a:defRPr lang="zh-CN" sz="900" b="0" i="0" u="none" strike="noStrike" kern="1200" baseline="0">
                <a:solidFill>
                  <a:srgbClr val="333333"/>
                </a:solidFill>
                <a:latin typeface="宋体"/>
                <a:ea typeface="宋体"/>
                <a:cs typeface="宋体"/>
              </a:defRPr>
            </a:pPr>
          </a:p>
        </c:txPr>
        <c:crossAx val="135480448"/>
        <c:crosses val="autoZero"/>
        <c:auto val="true"/>
        <c:lblAlgn val="ctr"/>
        <c:lblOffset val="100"/>
        <c:noMultiLvlLbl val="false"/>
      </c:catAx>
      <c:valAx>
        <c:axId val="135480448"/>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6350" cap="flat" cmpd="sng" algn="ctr">
            <a:noFill/>
            <a:prstDash val="solid"/>
            <a:round/>
          </a:ln>
          <a:effectLst/>
        </c:spPr>
        <c:txPr>
          <a:bodyPr rot="0" spcFirstLastPara="0" vertOverflow="ellipsis" vert="horz" wrap="square" anchor="ctr" anchorCtr="true"/>
          <a:lstStyle/>
          <a:p>
            <a:pPr>
              <a:defRPr lang="zh-CN" sz="900" b="0" i="0" u="none" strike="noStrike" kern="1200" baseline="0">
                <a:solidFill>
                  <a:srgbClr val="333333"/>
                </a:solidFill>
                <a:latin typeface="宋体"/>
                <a:ea typeface="宋体"/>
                <a:cs typeface="宋体"/>
              </a:defRPr>
            </a:pPr>
          </a:p>
        </c:txPr>
        <c:crossAx val="133213568"/>
        <c:crosses val="autoZero"/>
        <c:crossBetween val="between"/>
      </c:valAx>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825" b="0" i="0" u="none" strike="noStrike" kern="1200" baseline="0">
              <a:solidFill>
                <a:srgbClr val="333333"/>
              </a:solidFill>
              <a:latin typeface="宋体"/>
              <a:ea typeface="宋体"/>
              <a:cs typeface="宋体"/>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a:ea typeface="宋体"/>
          <a:cs typeface="宋体"/>
        </a:defRPr>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rgbClr val="000000"/>
                </a:solidFill>
                <a:latin typeface="宋体"/>
                <a:ea typeface="宋体"/>
                <a:cs typeface="宋体"/>
              </a:defRPr>
            </a:pPr>
            <a:r>
              <a:rPr lang="zh-CN" altLang="en-US"/>
              <a:t>收、支决算总计变动情况图</a:t>
            </a:r>
            <a:endParaRPr lang="zh-CN" altLang="en-US"/>
          </a:p>
        </c:rich>
      </c:tx>
      <c:layout/>
      <c:overlay val="false"/>
    </c:title>
    <c:autoTitleDeleted val="false"/>
    <c:plotArea>
      <c:layout>
        <c:manualLayout>
          <c:layoutTarget val="inner"/>
          <c:xMode val="edge"/>
          <c:yMode val="edge"/>
          <c:x val="0.146711635750422"/>
          <c:y val="0.242622950819672"/>
          <c:w val="0.817875210792582"/>
          <c:h val="0.472131147540983"/>
        </c:manualLayout>
      </c:layout>
      <c:barChart>
        <c:barDir val="col"/>
        <c:grouping val="clustered"/>
        <c:varyColors val="false"/>
        <c:ser>
          <c:idx val="0"/>
          <c:order val="0"/>
          <c:tx>
            <c:strRef>
              <c:f>图1!$B$1</c:f>
              <c:strCache>
                <c:ptCount val="1"/>
                <c:pt idx="0">
                  <c:v>2021年</c:v>
                </c:pt>
              </c:strCache>
            </c:strRef>
          </c:tx>
          <c:spPr>
            <a:gradFill>
              <a:gsLst>
                <a:gs pos="0">
                  <a:srgbClr val="E30000"/>
                </a:gs>
                <a:gs pos="100000">
                  <a:srgbClr val="760303"/>
                </a:gs>
              </a:gsLst>
              <a:lin ang="5400000" scaled="false"/>
            </a:gra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宋体"/>
                    <a:ea typeface="宋体"/>
                    <a:cs typeface="宋体"/>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图1!$A$2:$A$3</c:f>
              <c:strCache>
                <c:ptCount val="2"/>
                <c:pt idx="0">
                  <c:v>收入总计</c:v>
                </c:pt>
                <c:pt idx="1">
                  <c:v>支出总计</c:v>
                </c:pt>
              </c:strCache>
            </c:strRef>
          </c:cat>
          <c:val>
            <c:numRef>
              <c:f>图1!$B$2:$B$3</c:f>
              <c:numCache>
                <c:formatCode>General</c:formatCode>
                <c:ptCount val="2"/>
                <c:pt idx="0">
                  <c:v>422.03</c:v>
                </c:pt>
                <c:pt idx="1">
                  <c:v>422.03</c:v>
                </c:pt>
              </c:numCache>
            </c:numRef>
          </c:val>
        </c:ser>
        <c:ser>
          <c:idx val="1"/>
          <c:order val="1"/>
          <c:tx>
            <c:strRef>
              <c:f>图1!$C$1</c:f>
              <c:strCache>
                <c:ptCount val="1"/>
                <c:pt idx="0">
                  <c:v>2022年</c:v>
                </c:pt>
              </c:strCache>
            </c:strRef>
          </c:tx>
          <c:spPr>
            <a:gradFill>
              <a:gsLst>
                <a:gs pos="0">
                  <a:srgbClr val="007BD3"/>
                </a:gs>
                <a:gs pos="100000">
                  <a:srgbClr val="034373"/>
                </a:gs>
              </a:gsLst>
              <a:lin ang="5400000" scaled="false"/>
            </a:gra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宋体"/>
                    <a:ea typeface="宋体"/>
                    <a:cs typeface="宋体"/>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图1!$A$2:$A$3</c:f>
              <c:strCache>
                <c:ptCount val="2"/>
                <c:pt idx="0">
                  <c:v>收入总计</c:v>
                </c:pt>
                <c:pt idx="1">
                  <c:v>支出总计</c:v>
                </c:pt>
              </c:strCache>
            </c:strRef>
          </c:cat>
          <c:val>
            <c:numRef>
              <c:f>图1!$C$2:$C$3</c:f>
              <c:numCache>
                <c:formatCode>General</c:formatCode>
                <c:ptCount val="2"/>
                <c:pt idx="0">
                  <c:v>505.53</c:v>
                </c:pt>
                <c:pt idx="1">
                  <c:v>505.53</c:v>
                </c:pt>
              </c:numCache>
            </c:numRef>
          </c:val>
        </c:ser>
        <c:dLbls>
          <c:showLegendKey val="false"/>
          <c:showVal val="true"/>
          <c:showCatName val="false"/>
          <c:showSerName val="false"/>
          <c:showPercent val="false"/>
          <c:showBubbleSize val="false"/>
        </c:dLbls>
        <c:gapWidth val="150"/>
        <c:axId val="135592192"/>
        <c:axId val="135664768"/>
      </c:barChart>
      <c:catAx>
        <c:axId val="135592192"/>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true"/>
          <a:lstStyle/>
          <a:p>
            <a:pPr>
              <a:defRPr lang="zh-CN" sz="900" b="0" i="0" u="none" strike="noStrike" kern="1200" baseline="0">
                <a:solidFill>
                  <a:srgbClr val="333333"/>
                </a:solidFill>
                <a:latin typeface="宋体"/>
                <a:ea typeface="宋体"/>
                <a:cs typeface="宋体"/>
              </a:defRPr>
            </a:pPr>
          </a:p>
        </c:txPr>
        <c:crossAx val="135664768"/>
        <c:crosses val="autoZero"/>
        <c:auto val="true"/>
        <c:lblAlgn val="ctr"/>
        <c:lblOffset val="100"/>
        <c:noMultiLvlLbl val="false"/>
      </c:catAx>
      <c:valAx>
        <c:axId val="135664768"/>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6350" cap="flat" cmpd="sng" algn="ctr">
            <a:noFill/>
            <a:prstDash val="solid"/>
            <a:round/>
          </a:ln>
          <a:effectLst/>
        </c:spPr>
        <c:txPr>
          <a:bodyPr rot="0" spcFirstLastPara="0" vertOverflow="ellipsis" vert="horz" wrap="square" anchor="ctr" anchorCtr="true"/>
          <a:lstStyle/>
          <a:p>
            <a:pPr>
              <a:defRPr lang="zh-CN" sz="900" b="0" i="0" u="none" strike="noStrike" kern="1200" baseline="0">
                <a:solidFill>
                  <a:srgbClr val="333333"/>
                </a:solidFill>
                <a:latin typeface="宋体"/>
                <a:ea typeface="宋体"/>
                <a:cs typeface="宋体"/>
              </a:defRPr>
            </a:pPr>
          </a:p>
        </c:txPr>
        <c:crossAx val="135592192"/>
        <c:crosses val="autoZero"/>
        <c:crossBetween val="between"/>
      </c:valAx>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825" b="0" i="0" u="none" strike="noStrike" kern="1200" baseline="0">
              <a:solidFill>
                <a:srgbClr val="333333"/>
              </a:solidFill>
              <a:latin typeface="宋体"/>
              <a:ea typeface="宋体"/>
              <a:cs typeface="宋体"/>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a:ea typeface="宋体"/>
          <a:cs typeface="宋体"/>
        </a:defRPr>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rgbClr val="333333"/>
                </a:solidFill>
                <a:latin typeface="宋体"/>
                <a:ea typeface="宋体"/>
                <a:cs typeface="宋体"/>
              </a:defRPr>
            </a:pPr>
            <a:r>
              <a:rPr lang="zh-CN" altLang="en-US"/>
              <a:t>支出决算结构图</a:t>
            </a:r>
            <a:endParaRPr lang="zh-CN" altLang="en-US"/>
          </a:p>
        </c:rich>
      </c:tx>
      <c:layout/>
      <c:overlay val="false"/>
      <c:spPr>
        <a:noFill/>
        <a:ln>
          <a:noFill/>
        </a:ln>
        <a:effectLst/>
      </c:spPr>
    </c:title>
    <c:autoTitleDeleted val="false"/>
    <c:plotArea>
      <c:layout/>
      <c:pieChart>
        <c:varyColors val="true"/>
        <c:ser>
          <c:idx val="0"/>
          <c:order val="0"/>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333333"/>
                    </a:solidFill>
                    <a:latin typeface="宋体"/>
                    <a:ea typeface="宋体"/>
                    <a:cs typeface="宋体"/>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3175" cap="flat" cmpd="sng" algn="ctr">
                      <a:solidFill>
                        <a:srgbClr val="969696"/>
                      </a:solidFill>
                      <a:prstDash val="solid"/>
                      <a:round/>
                    </a:ln>
                  </c:spPr>
                </c15:leaderLines>
              </c:ext>
            </c:extLst>
          </c:dLbls>
          <c:cat>
            <c:strRef>
              <c:f>图3!$A$1:$B$1</c:f>
              <c:strCache>
                <c:ptCount val="2"/>
                <c:pt idx="0">
                  <c:v>基本支出</c:v>
                </c:pt>
                <c:pt idx="1">
                  <c:v>项目支出</c:v>
                </c:pt>
              </c:strCache>
            </c:strRef>
          </c:cat>
          <c:val>
            <c:numRef>
              <c:f>图3!$A$2:$B$2</c:f>
              <c:numCache>
                <c:formatCode>0.00%</c:formatCode>
                <c:ptCount val="2"/>
                <c:pt idx="0">
                  <c:v>0.9968</c:v>
                </c:pt>
                <c:pt idx="1">
                  <c:v>0.0032</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825" b="0" i="0" u="none" strike="noStrike" kern="1200" baseline="0">
              <a:solidFill>
                <a:srgbClr val="333333"/>
              </a:solidFill>
              <a:latin typeface="宋体"/>
              <a:ea typeface="宋体"/>
              <a:cs typeface="宋体"/>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a:ea typeface="宋体"/>
          <a:cs typeface="宋体"/>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rgbClr val="000000"/>
                </a:solidFill>
                <a:latin typeface="宋体"/>
                <a:ea typeface="宋体"/>
                <a:cs typeface="宋体"/>
              </a:defRPr>
            </a:pPr>
            <a:r>
              <a:rPr lang="zh-CN" altLang="en-US"/>
              <a:t>财政拨款收、支决算总计变动情况</a:t>
            </a:r>
            <a:endParaRPr lang="zh-CN" altLang="en-US"/>
          </a:p>
        </c:rich>
      </c:tx>
      <c:layout>
        <c:manualLayout>
          <c:xMode val="edge"/>
          <c:yMode val="edge"/>
          <c:x val="0.268391764051196"/>
          <c:y val="0.0286624203821656"/>
        </c:manualLayout>
      </c:layout>
      <c:overlay val="false"/>
    </c:title>
    <c:autoTitleDeleted val="false"/>
    <c:plotArea>
      <c:layout>
        <c:manualLayout>
          <c:layoutTarget val="inner"/>
          <c:xMode val="edge"/>
          <c:yMode val="edge"/>
          <c:x val="0.145242070116862"/>
          <c:y val="0.253521126760563"/>
          <c:w val="0.819699499165277"/>
          <c:h val="0.454225352112676"/>
        </c:manualLayout>
      </c:layout>
      <c:barChart>
        <c:barDir val="col"/>
        <c:grouping val="clustered"/>
        <c:varyColors val="false"/>
        <c:ser>
          <c:idx val="0"/>
          <c:order val="0"/>
          <c:tx>
            <c:strRef>
              <c:f>图4!$B$1</c:f>
              <c:strCache>
                <c:ptCount val="1"/>
                <c:pt idx="0">
                  <c:v>2021年</c:v>
                </c:pt>
              </c:strCache>
            </c:strRef>
          </c:tx>
          <c:spPr>
            <a:gradFill>
              <a:gsLst>
                <a:gs pos="0">
                  <a:srgbClr val="FECF40"/>
                </a:gs>
                <a:gs pos="100000">
                  <a:srgbClr val="846C21"/>
                </a:gs>
              </a:gsLst>
              <a:lin ang="5400000" scaled="false"/>
            </a:gra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宋体"/>
                    <a:ea typeface="宋体"/>
                    <a:cs typeface="宋体"/>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图4!$A$2:$A$3</c:f>
              <c:strCache>
                <c:ptCount val="2"/>
                <c:pt idx="0">
                  <c:v>财政拨款收入</c:v>
                </c:pt>
                <c:pt idx="1">
                  <c:v>财政拨款支出</c:v>
                </c:pt>
              </c:strCache>
            </c:strRef>
          </c:cat>
          <c:val>
            <c:numRef>
              <c:f>图4!$B$2:$B$3</c:f>
              <c:numCache>
                <c:formatCode>General</c:formatCode>
                <c:ptCount val="2"/>
                <c:pt idx="0">
                  <c:v>422.03</c:v>
                </c:pt>
                <c:pt idx="1">
                  <c:v>422.03</c:v>
                </c:pt>
              </c:numCache>
            </c:numRef>
          </c:val>
        </c:ser>
        <c:ser>
          <c:idx val="1"/>
          <c:order val="1"/>
          <c:tx>
            <c:strRef>
              <c:f>图4!$C$1</c:f>
              <c:strCache>
                <c:ptCount val="1"/>
                <c:pt idx="0">
                  <c:v>2022年</c:v>
                </c:pt>
              </c:strCache>
            </c:strRef>
          </c:tx>
          <c:spPr>
            <a:gradFill>
              <a:gsLst>
                <a:gs pos="0">
                  <a:srgbClr val="14CD68"/>
                </a:gs>
                <a:gs pos="100000">
                  <a:srgbClr val="035C7D"/>
                </a:gs>
              </a:gsLst>
              <a:lin ang="5400000" scaled="false"/>
            </a:gra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宋体"/>
                    <a:ea typeface="宋体"/>
                    <a:cs typeface="宋体"/>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图4!$A$2:$A$3</c:f>
              <c:strCache>
                <c:ptCount val="2"/>
                <c:pt idx="0">
                  <c:v>财政拨款收入</c:v>
                </c:pt>
                <c:pt idx="1">
                  <c:v>财政拨款支出</c:v>
                </c:pt>
              </c:strCache>
            </c:strRef>
          </c:cat>
          <c:val>
            <c:numRef>
              <c:f>图4!$C$2:$C$3</c:f>
              <c:numCache>
                <c:formatCode>General</c:formatCode>
                <c:ptCount val="2"/>
                <c:pt idx="0">
                  <c:v>505.53</c:v>
                </c:pt>
                <c:pt idx="1">
                  <c:v>505.53</c:v>
                </c:pt>
              </c:numCache>
            </c:numRef>
          </c:val>
        </c:ser>
        <c:dLbls>
          <c:showLegendKey val="false"/>
          <c:showVal val="true"/>
          <c:showCatName val="false"/>
          <c:showSerName val="false"/>
          <c:showPercent val="false"/>
          <c:showBubbleSize val="false"/>
        </c:dLbls>
        <c:gapWidth val="150"/>
        <c:axId val="135974912"/>
        <c:axId val="135976448"/>
      </c:barChart>
      <c:catAx>
        <c:axId val="135974912"/>
        <c:scaling>
          <c:orientation val="minMax"/>
        </c:scaling>
        <c:delete val="false"/>
        <c:axPos val="b"/>
        <c:numFmt formatCode="General" sourceLinked="true"/>
        <c:majorTickMark val="out"/>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true"/>
          <a:lstStyle/>
          <a:p>
            <a:pPr>
              <a:defRPr lang="zh-CN" sz="900" b="0" i="0" u="none" strike="noStrike" kern="1200" baseline="0">
                <a:solidFill>
                  <a:srgbClr val="333333"/>
                </a:solidFill>
                <a:latin typeface="宋体"/>
                <a:ea typeface="宋体"/>
                <a:cs typeface="宋体"/>
              </a:defRPr>
            </a:pPr>
          </a:p>
        </c:txPr>
        <c:crossAx val="135976448"/>
        <c:crosses val="autoZero"/>
        <c:auto val="true"/>
        <c:lblAlgn val="ctr"/>
        <c:lblOffset val="100"/>
        <c:noMultiLvlLbl val="false"/>
      </c:catAx>
      <c:valAx>
        <c:axId val="135976448"/>
        <c:scaling>
          <c:orientation val="minMax"/>
          <c:max val="400"/>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out"/>
        <c:minorTickMark val="none"/>
        <c:tickLblPos val="nextTo"/>
        <c:spPr>
          <a:noFill/>
          <a:ln w="6350" cap="flat" cmpd="sng" algn="ctr">
            <a:noFill/>
            <a:prstDash val="solid"/>
            <a:round/>
          </a:ln>
          <a:effectLst/>
        </c:spPr>
        <c:txPr>
          <a:bodyPr rot="0" spcFirstLastPara="0" vertOverflow="ellipsis" vert="horz" wrap="square" anchor="ctr" anchorCtr="true"/>
          <a:lstStyle/>
          <a:p>
            <a:pPr>
              <a:defRPr lang="zh-CN" sz="900" b="0" i="0" u="none" strike="noStrike" kern="1200" baseline="0">
                <a:solidFill>
                  <a:srgbClr val="333333"/>
                </a:solidFill>
                <a:latin typeface="宋体"/>
                <a:ea typeface="宋体"/>
                <a:cs typeface="宋体"/>
              </a:defRPr>
            </a:pPr>
          </a:p>
        </c:txPr>
        <c:crossAx val="135974912"/>
        <c:crosses val="autoZero"/>
        <c:crossBetween val="between"/>
      </c:valAx>
      <c:spPr>
        <a:noFill/>
        <a:ln>
          <a:noFill/>
        </a:ln>
        <a:effectLst/>
      </c:spPr>
    </c:plotArea>
    <c:legend>
      <c:legendPos val="r"/>
      <c:layout/>
      <c:overlay val="false"/>
      <c:txPr>
        <a:bodyPr rot="0" spcFirstLastPara="0" vertOverflow="ellipsis" vert="horz" wrap="square" anchor="ctr" anchorCtr="true"/>
        <a:lstStyle/>
        <a:p>
          <a:pPr>
            <a:defRPr lang="zh-CN" sz="825" b="0" i="0" u="none" strike="noStrike" kern="1200" baseline="0">
              <a:solidFill>
                <a:srgbClr val="333333"/>
              </a:solidFill>
              <a:latin typeface="宋体"/>
              <a:ea typeface="宋体"/>
              <a:cs typeface="宋体"/>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a:ea typeface="宋体"/>
          <a:cs typeface="宋体"/>
        </a:defRPr>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rgbClr val="000000"/>
                </a:solidFill>
                <a:latin typeface="宋体"/>
                <a:ea typeface="宋体"/>
                <a:cs typeface="宋体"/>
              </a:defRPr>
            </a:pPr>
            <a:r>
              <a:rPr lang="zh-CN" altLang="en-US"/>
              <a:t>一般公共预算财政拨款支出决算变动情况</a:t>
            </a:r>
            <a:endParaRPr lang="zh-CN" altLang="en-US"/>
          </a:p>
        </c:rich>
      </c:tx>
      <c:layout/>
      <c:overlay val="false"/>
    </c:title>
    <c:autoTitleDeleted val="false"/>
    <c:plotArea>
      <c:layout/>
      <c:barChart>
        <c:barDir val="col"/>
        <c:grouping val="stacked"/>
        <c:varyColors val="false"/>
        <c:ser>
          <c:idx val="0"/>
          <c:order val="0"/>
          <c:tx>
            <c:strRef>
              <c:f>图5!#REF!</c:f>
              <c:strCache>
                <c:ptCount val="1"/>
                <c:pt idx="0">
                  <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宋体"/>
                    <a:ea typeface="宋体"/>
                    <a:cs typeface="宋体"/>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图5!$B$1:$C$1</c:f>
              <c:strCache>
                <c:ptCount val="2"/>
                <c:pt idx="0">
                  <c:v>2021年</c:v>
                </c:pt>
                <c:pt idx="1">
                  <c:v>2022年</c:v>
                </c:pt>
              </c:strCache>
            </c:strRef>
          </c:cat>
          <c:val>
            <c:numRef>
              <c:f>图5!#REF!</c:f>
              <c:numCache>
                <c:formatCode>General</c:formatCode>
                <c:ptCount val="1"/>
                <c:pt idx="0">
                  <c:v>0</c:v>
                </c:pt>
              </c:numCache>
            </c:numRef>
          </c:val>
        </c:ser>
        <c:ser>
          <c:idx val="1"/>
          <c:order val="1"/>
          <c:tx>
            <c:strRef>
              <c:f>图5!$A$2</c:f>
              <c:strCache>
                <c:ptCount val="1"/>
                <c:pt idx="0">
                  <c:v>一般公共预算财政拨款支出</c:v>
                </c:pt>
              </c:strCache>
            </c:strRef>
          </c:tx>
          <c:spPr>
            <a:gradFill>
              <a:gsLst>
                <a:gs pos="0">
                  <a:srgbClr val="FECF40"/>
                </a:gs>
                <a:gs pos="100000">
                  <a:srgbClr val="846C21"/>
                </a:gs>
              </a:gsLst>
              <a:lin ang="5400000" scaled="false"/>
            </a:gra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rgbClr val="000000"/>
                    </a:solidFill>
                    <a:latin typeface="宋体"/>
                    <a:ea typeface="宋体"/>
                    <a:cs typeface="宋体"/>
                  </a:defRPr>
                </a:pPr>
              </a:p>
            </c:txPr>
            <c:dLblPos val="ctr"/>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false"/>
                <c15:leaderLines/>
              </c:ext>
            </c:extLst>
          </c:dLbls>
          <c:cat>
            <c:strRef>
              <c:f>图5!$B$1:$C$1</c:f>
              <c:strCache>
                <c:ptCount val="2"/>
                <c:pt idx="0">
                  <c:v>2021年</c:v>
                </c:pt>
                <c:pt idx="1">
                  <c:v>2022年</c:v>
                </c:pt>
              </c:strCache>
            </c:strRef>
          </c:cat>
          <c:val>
            <c:numRef>
              <c:f>图5!$B$2:$C$2</c:f>
              <c:numCache>
                <c:formatCode>General</c:formatCode>
                <c:ptCount val="2"/>
                <c:pt idx="0">
                  <c:v>422.06</c:v>
                </c:pt>
                <c:pt idx="1">
                  <c:v>496.4</c:v>
                </c:pt>
              </c:numCache>
            </c:numRef>
          </c:val>
        </c:ser>
        <c:dLbls>
          <c:showLegendKey val="false"/>
          <c:showVal val="true"/>
          <c:showCatName val="false"/>
          <c:showSerName val="false"/>
          <c:showPercent val="false"/>
          <c:showBubbleSize val="false"/>
        </c:dLbls>
        <c:gapWidth val="150"/>
        <c:overlap val="100"/>
        <c:axId val="134900736"/>
        <c:axId val="135402240"/>
      </c:barChart>
      <c:catAx>
        <c:axId val="134900736"/>
        <c:scaling>
          <c:orientation val="minMax"/>
        </c:scaling>
        <c:delete val="false"/>
        <c:axPos val="b"/>
        <c:numFmt formatCode="General" sourceLinked="true"/>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0" vertOverflow="ellipsis" vert="horz" wrap="square" anchor="ctr" anchorCtr="true"/>
          <a:lstStyle/>
          <a:p>
            <a:pPr>
              <a:defRPr lang="zh-CN" sz="900" b="0" i="0" u="none" strike="noStrike" kern="1200" baseline="0">
                <a:solidFill>
                  <a:srgbClr val="333333"/>
                </a:solidFill>
                <a:latin typeface="宋体"/>
                <a:ea typeface="宋体"/>
                <a:cs typeface="宋体"/>
              </a:defRPr>
            </a:pPr>
          </a:p>
        </c:txPr>
        <c:crossAx val="135402240"/>
        <c:crosses val="autoZero"/>
        <c:auto val="true"/>
        <c:lblAlgn val="ctr"/>
        <c:lblOffset val="100"/>
        <c:noMultiLvlLbl val="false"/>
      </c:catAx>
      <c:valAx>
        <c:axId val="135402240"/>
        <c:scaling>
          <c:orientation val="minMax"/>
        </c:scaling>
        <c:delete val="false"/>
        <c:axPos val="l"/>
        <c:majorGridlines>
          <c:spPr>
            <a:ln w="9525" cap="flat" cmpd="sng" algn="ctr">
              <a:solidFill>
                <a:schemeClr val="tx1">
                  <a:lumMod val="15000"/>
                  <a:lumOff val="85000"/>
                </a:schemeClr>
              </a:solidFill>
              <a:prstDash val="solid"/>
              <a:round/>
            </a:ln>
            <a:effectLst/>
          </c:spPr>
        </c:majorGridlines>
        <c:numFmt formatCode="General" sourceLinked="true"/>
        <c:majorTickMark val="none"/>
        <c:minorTickMark val="none"/>
        <c:tickLblPos val="nextTo"/>
        <c:spPr>
          <a:noFill/>
          <a:ln w="6350" cap="flat" cmpd="sng" algn="ctr">
            <a:noFill/>
            <a:prstDash val="solid"/>
            <a:round/>
          </a:ln>
          <a:effectLst/>
        </c:spPr>
        <c:txPr>
          <a:bodyPr rot="0" spcFirstLastPara="0" vertOverflow="ellipsis" vert="horz" wrap="square" anchor="ctr" anchorCtr="true"/>
          <a:lstStyle/>
          <a:p>
            <a:pPr>
              <a:defRPr lang="zh-CN" sz="900" b="0" i="0" u="none" strike="noStrike" kern="1200" baseline="0">
                <a:solidFill>
                  <a:srgbClr val="333333"/>
                </a:solidFill>
                <a:latin typeface="宋体"/>
                <a:ea typeface="宋体"/>
                <a:cs typeface="宋体"/>
              </a:defRPr>
            </a:pPr>
          </a:p>
        </c:txPr>
        <c:crossAx val="134900736"/>
        <c:crosses val="autoZero"/>
        <c:crossBetween val="between"/>
      </c:valAx>
      <c:spPr>
        <a:noFill/>
        <a:ln>
          <a:noFill/>
        </a:ln>
        <a:effectLst/>
      </c:spPr>
    </c:plotArea>
    <c:legend>
      <c:legendPos val="b"/>
      <c:legendEntry>
        <c:idx val="1"/>
        <c:delete val="true"/>
      </c:legendEntry>
      <c:layout>
        <c:manualLayout>
          <c:xMode val="edge"/>
          <c:yMode val="edge"/>
          <c:x val="0.27575"/>
          <c:y val="0.895"/>
          <c:w val="0.44825"/>
          <c:h val="0.077"/>
        </c:manualLayout>
      </c:layout>
      <c:overlay val="false"/>
      <c:spPr>
        <a:noFill/>
        <a:ln>
          <a:noFill/>
        </a:ln>
        <a:effectLst/>
      </c:spPr>
      <c:txPr>
        <a:bodyPr rot="0" spcFirstLastPara="0" vertOverflow="ellipsis" vert="horz" wrap="square" anchor="ctr" anchorCtr="true"/>
        <a:lstStyle/>
        <a:p>
          <a:pPr>
            <a:defRPr lang="zh-CN" sz="825" b="0" i="0" u="none" strike="noStrike" kern="1200" baseline="0">
              <a:solidFill>
                <a:srgbClr val="333333"/>
              </a:solidFill>
              <a:latin typeface="宋体"/>
              <a:ea typeface="宋体"/>
              <a:cs typeface="宋体"/>
            </a:defRPr>
          </a:pPr>
        </a:p>
      </c:txPr>
    </c:legend>
    <c:plotVisOnly val="true"/>
    <c:dispBlanksAs val="gap"/>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a:ea typeface="宋体"/>
          <a:cs typeface="宋体"/>
        </a:defRPr>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rgbClr val="333333"/>
                </a:solidFill>
                <a:latin typeface="宋体"/>
                <a:ea typeface="宋体"/>
                <a:cs typeface="宋体"/>
              </a:defRPr>
            </a:pPr>
            <a:r>
              <a:rPr lang="zh-CN" altLang="en-US"/>
              <a:t>一般公共预算财政拨款支出决算结构</a:t>
            </a:r>
            <a:endParaRPr lang="zh-CN" altLang="en-US"/>
          </a:p>
        </c:rich>
      </c:tx>
      <c:layout/>
      <c:overlay val="false"/>
      <c:spPr>
        <a:noFill/>
        <a:ln>
          <a:noFill/>
        </a:ln>
        <a:effectLst/>
      </c:spPr>
    </c:title>
    <c:autoTitleDeleted val="false"/>
    <c:plotArea>
      <c:layout/>
      <c:pieChart>
        <c:varyColors val="true"/>
        <c:ser>
          <c:idx val="0"/>
          <c:order val="0"/>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dLbl>
              <c:idx val="0"/>
              <c:layout>
                <c:manualLayout>
                  <c:x val="0.0689059206954346"/>
                  <c:y val="0.0015424470705107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333333"/>
                    </a:solidFill>
                    <a:latin typeface="宋体"/>
                    <a:ea typeface="宋体"/>
                    <a:cs typeface="宋体"/>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3175" cap="flat" cmpd="sng" algn="ctr">
                      <a:solidFill>
                        <a:srgbClr val="969696"/>
                      </a:solidFill>
                      <a:prstDash val="solid"/>
                      <a:round/>
                    </a:ln>
                  </c:spPr>
                </c15:leaderLines>
              </c:ext>
            </c:extLst>
          </c:dLbls>
          <c:cat>
            <c:strRef>
              <c:f>图6!$A$1:$C$1</c:f>
              <c:strCache>
                <c:ptCount val="3"/>
                <c:pt idx="0">
                  <c:v>科学技术支出</c:v>
                </c:pt>
                <c:pt idx="1">
                  <c:v>社会保障和就业支出</c:v>
                </c:pt>
                <c:pt idx="2">
                  <c:v>住房保障支出</c:v>
                </c:pt>
              </c:strCache>
            </c:strRef>
          </c:cat>
          <c:val>
            <c:numRef>
              <c:f>图6!$A$2:$C$2</c:f>
              <c:numCache>
                <c:formatCode>0.00%</c:formatCode>
                <c:ptCount val="3"/>
                <c:pt idx="0">
                  <c:v>0.7182</c:v>
                </c:pt>
                <c:pt idx="1">
                  <c:v>0.2153</c:v>
                </c:pt>
                <c:pt idx="2">
                  <c:v>0.0665</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825" b="0" i="0" u="none" strike="noStrike" kern="1200" baseline="0">
              <a:solidFill>
                <a:srgbClr val="333333"/>
              </a:solidFill>
              <a:latin typeface="宋体"/>
              <a:ea typeface="宋体"/>
              <a:cs typeface="宋体"/>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a:ea typeface="宋体"/>
          <a:cs typeface="宋体"/>
        </a:defRPr>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a:defRPr lang="zh-CN" sz="1400" b="0" i="0" u="none" strike="noStrike" kern="1200" baseline="0">
                <a:solidFill>
                  <a:srgbClr val="333333"/>
                </a:solidFill>
                <a:latin typeface="宋体"/>
                <a:ea typeface="宋体"/>
                <a:cs typeface="宋体"/>
              </a:defRPr>
            </a:pPr>
            <a:r>
              <a:rPr lang="zh-CN" altLang="en-US"/>
              <a:t>“三公”经费财政拨款支出结构</a:t>
            </a:r>
            <a:endParaRPr lang="zh-CN" altLang="en-US"/>
          </a:p>
        </c:rich>
      </c:tx>
      <c:layout/>
      <c:overlay val="false"/>
      <c:spPr>
        <a:noFill/>
        <a:ln>
          <a:noFill/>
        </a:ln>
        <a:effectLst/>
      </c:spPr>
    </c:title>
    <c:autoTitleDeleted val="false"/>
    <c:plotArea>
      <c:layout/>
      <c:pieChart>
        <c:varyColors val="true"/>
        <c:ser>
          <c:idx val="0"/>
          <c:order val="0"/>
          <c:explosion val="0"/>
          <c:dPt>
            <c:idx val="0"/>
            <c:bubble3D val="false"/>
            <c:spPr>
              <a:solidFill>
                <a:schemeClr val="accent1"/>
              </a:solidFill>
              <a:ln w="19050">
                <a:solidFill>
                  <a:schemeClr val="lt1"/>
                </a:solidFill>
              </a:ln>
              <a:effectLst/>
            </c:spPr>
          </c:dPt>
          <c:dPt>
            <c:idx val="1"/>
            <c:bubble3D val="false"/>
          </c:dPt>
          <c:dLbls>
            <c:dLbl>
              <c:idx val="0"/>
              <c:layout>
                <c:manualLayout>
                  <c:x val="-0.133992630029203"/>
                  <c:y val="0.10302077330453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rgbClr val="333333"/>
                    </a:solidFill>
                    <a:latin typeface="宋体"/>
                    <a:ea typeface="宋体"/>
                    <a:cs typeface="宋体"/>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3175" cap="flat" cmpd="sng" algn="ctr">
                      <a:solidFill>
                        <a:srgbClr val="969696"/>
                      </a:solidFill>
                      <a:prstDash val="solid"/>
                      <a:round/>
                    </a:ln>
                  </c:spPr>
                </c15:leaderLines>
              </c:ext>
            </c:extLst>
          </c:dLbls>
          <c:cat>
            <c:strRef>
              <c:f>图7!$A$1:$B$1</c:f>
              <c:strCache>
                <c:ptCount val="2"/>
                <c:pt idx="0">
                  <c:v>公务用车购置及运行维护费</c:v>
                </c:pt>
                <c:pt idx="1">
                  <c:v>公务接待费</c:v>
                </c:pt>
              </c:strCache>
            </c:strRef>
          </c:cat>
          <c:val>
            <c:numRef>
              <c:f>图7!$A$2:$B$2</c:f>
              <c:numCache>
                <c:formatCode>0.00%</c:formatCode>
                <c:ptCount val="2"/>
                <c:pt idx="0">
                  <c:v>0.8734</c:v>
                </c:pt>
                <c:pt idx="1">
                  <c:v>0.1266</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825" b="0" i="0" u="none" strike="noStrike" kern="1200" baseline="0">
              <a:solidFill>
                <a:srgbClr val="333333"/>
              </a:solidFill>
              <a:latin typeface="宋体"/>
              <a:ea typeface="宋体"/>
              <a:cs typeface="宋体"/>
            </a:defRPr>
          </a:pPr>
        </a:p>
      </c:txPr>
    </c:legend>
    <c:plotVisOnly val="true"/>
    <c:dispBlanksAs val="zero"/>
    <c:showDLblsOverMax val="false"/>
  </c:chart>
  <c:spPr>
    <a:solidFill>
      <a:schemeClr val="bg1"/>
    </a:solidFill>
    <a:ln w="9525" cap="flat" cmpd="sng" algn="ctr">
      <a:solidFill>
        <a:schemeClr val="tx1">
          <a:lumMod val="15000"/>
          <a:lumOff val="85000"/>
        </a:schemeClr>
      </a:solidFill>
      <a:prstDash val="solid"/>
      <a:round/>
    </a:ln>
    <a:effectLst/>
  </c:spPr>
  <c:txPr>
    <a:bodyPr/>
    <a:lstStyle/>
    <a:p>
      <a:pPr>
        <a:defRPr lang="zh-CN" sz="1000" b="0" i="0" u="none" strike="noStrike" baseline="0">
          <a:solidFill>
            <a:srgbClr val="000000"/>
          </a:solidFill>
          <a:latin typeface="宋体"/>
          <a:ea typeface="宋体"/>
          <a:cs typeface="宋体"/>
        </a:defRPr>
      </a:pPr>
    </a:p>
  </c:txPr>
  <c:externalData r:id="rId1">
    <c:autoUpdate val="false"/>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19</Pages>
  <Words>919</Words>
  <Characters>5241</Characters>
  <Lines>43</Lines>
  <Paragraphs>12</Paragraphs>
  <TotalTime>7</TotalTime>
  <ScaleCrop>false</ScaleCrop>
  <LinksUpToDate>false</LinksUpToDate>
  <CharactersWithSpaces>6148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2023-08-18T09:24:00Z</dcterms:created>
  <dc:creator>曹颖</dc:creator>
  <cp:lastModifiedBy>user</cp:lastModifiedBy>
  <cp:lastPrinted>2023-08-01T10:35:00Z</cp:lastPrinted>
  <dcterms:modified xsi:type="dcterms:W3CDTF">2023-09-13T08:50:41Z</dcterms:modified>
  <dc:title>四川省***</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