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8441"/>
      <w:bookmarkStart w:id="3" w:name="_Toc15377425"/>
      <w:bookmarkStart w:id="4" w:name="_Toc15377193"/>
      <w:bookmarkStart w:id="5"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96598"/>
      <w:bookmarkStart w:id="8" w:name="_Toc15377194"/>
      <w:bookmarkStart w:id="9" w:name="_Toc15377426"/>
      <w:bookmarkStart w:id="10" w:name="_Toc15378442"/>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lang w:eastAsia="zh-CN"/>
        </w:rPr>
        <w:t>科技基础条件平台服务中心</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pStyle w:val="10"/>
      </w:pPr>
      <w:r>
        <w:rPr>
          <w:rFonts w:ascii="方正小标宋简体" w:hAnsi="宋体" w:eastAsia="方正小标宋简体"/>
          <w:sz w:val="36"/>
          <w:szCs w:val="36"/>
        </w:rPr>
        <w:br w:type="page"/>
      </w:r>
    </w:p>
    <w:p/>
    <w:p>
      <w:pPr>
        <w:widowControl/>
        <w:jc w:val="center"/>
        <w:rPr>
          <w:rFonts w:ascii="黑体" w:hAnsi="黑体" w:eastAsia="黑体"/>
          <w:sz w:val="48"/>
          <w:szCs w:val="48"/>
        </w:rPr>
      </w:pPr>
      <w:bookmarkStart w:id="12" w:name="_Toc15396599"/>
      <w:bookmarkStart w:id="13" w:name="_Toc15377196"/>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w:t>
      </w:r>
      <w:r>
        <w:rPr>
          <w:rFonts w:hint="default"/>
          <w:lang w:val="en"/>
        </w:rPr>
        <w:t>4</w:t>
      </w:r>
      <w:bookmarkStart w:id="67" w:name="_GoBack"/>
      <w:bookmarkEnd w:id="67"/>
      <w:r>
        <w:rPr>
          <w:rFonts w:hint="eastAsia"/>
        </w:rPr>
        <w:t>日</w:t>
      </w:r>
    </w:p>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4</w:t>
      </w:r>
    </w:p>
    <w:p>
      <w:pPr>
        <w:pStyle w:val="11"/>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rFonts w:hint="eastAsia" w:eastAsia="宋体"/>
          <w:lang w:val="en-US" w:eastAsia="zh-CN"/>
        </w:rPr>
      </w:pPr>
      <w:r>
        <w:rPr>
          <w:rFonts w:hint="eastAsia"/>
          <w:sz w:val="24"/>
        </w:rPr>
        <w:t>二、机构设置</w:t>
      </w:r>
      <w:r>
        <w:rPr>
          <w:rFonts w:cstheme="minorBidi"/>
          <w:sz w:val="24"/>
        </w:rPr>
        <w:tab/>
      </w:r>
      <w:r>
        <w:rPr>
          <w:rFonts w:hint="eastAsia" w:cstheme="minorBidi"/>
          <w:sz w:val="24"/>
          <w:lang w:val="en-US" w:eastAsia="zh-CN"/>
        </w:rPr>
        <w:t>5</w:t>
      </w:r>
    </w:p>
    <w:p>
      <w:pPr>
        <w:pStyle w:val="10"/>
        <w:adjustRightInd w:val="0"/>
        <w:snapToGrid w:val="0"/>
        <w:spacing w:before="0" w:line="440" w:lineRule="exact"/>
        <w:jc w:val="left"/>
        <w:rPr>
          <w:rFonts w:hint="default" w:eastAsia="仿宋"/>
          <w:sz w:val="24"/>
          <w:szCs w:val="24"/>
          <w:lang w:val="en-US" w:eastAsia="zh-CN"/>
        </w:rPr>
      </w:pPr>
      <w:r>
        <w:rPr>
          <w:rFonts w:hint="eastAsia"/>
          <w:sz w:val="24"/>
        </w:rPr>
        <w:t>第二部分 2022年度单位决算情况说明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cstheme="minorBidi"/>
          <w:sz w:val="24"/>
        </w:rPr>
        <w:tab/>
      </w:r>
      <w:r>
        <w:rPr>
          <w:rFonts w:hint="eastAsia" w:cstheme="minorBidi"/>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cstheme="minorBidi"/>
          <w:sz w:val="24"/>
        </w:rPr>
        <w:tab/>
      </w:r>
      <w:r>
        <w:rPr>
          <w:rFonts w:hint="eastAsia" w:cstheme="minorBidi"/>
          <w:sz w:val="24"/>
          <w:lang w:val="en-US" w:eastAsia="zh-CN"/>
        </w:rPr>
        <w:t>11</w:t>
      </w:r>
    </w:p>
    <w:p>
      <w:pPr>
        <w:pStyle w:val="11"/>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cstheme="minorBidi"/>
          <w:sz w:val="24"/>
        </w:rPr>
        <w:tab/>
      </w:r>
      <w:r>
        <w:rPr>
          <w:rFonts w:hint="eastAsia" w:cstheme="minorBidi"/>
          <w:sz w:val="24"/>
          <w:lang w:val="en-US" w:eastAsia="zh-CN"/>
        </w:rPr>
        <w:t>12</w:t>
      </w:r>
    </w:p>
    <w:p>
      <w:pPr>
        <w:pStyle w:val="11"/>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cstheme="minorBidi"/>
          <w:sz w:val="24"/>
        </w:rPr>
        <w:tab/>
      </w:r>
      <w:r>
        <w:rPr>
          <w:rFonts w:hint="eastAsia" w:cstheme="minorBidi"/>
          <w:sz w:val="24"/>
          <w:lang w:val="en-US" w:eastAsia="zh-CN"/>
        </w:rPr>
        <w:t>12</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lang w:val="en-US" w:eastAsia="zh-CN"/>
        </w:rPr>
        <w:t>14</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lang w:val="en-US" w:eastAsia="zh-CN"/>
        </w:rPr>
        <w:t>16</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一、收入支出决算总表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二、收入决算表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三、支出决算表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四、财政拨款收入支出决算总表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五、财政拨款支出决算明细表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六、一般公共预算财政拨款支出决算表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七、一般公共预算财政拨款支出决算明细表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八、一般公共预算财政拨款基本支出决算明细表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cstheme="minorBidi"/>
          <w:sz w:val="24"/>
          <w:lang w:val="en-US" w:eastAsia="zh-CN"/>
        </w:rPr>
      </w:pPr>
      <w:r>
        <w:rPr>
          <w:rFonts w:hint="eastAsia"/>
          <w:sz w:val="24"/>
        </w:rPr>
        <w:t>九、一般公共预算财政拨款项目支出决算表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十、政府性基金预算财政拨款收入支出决算表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十一、国有资本经营预算财政拨款收入支出决算表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十二、国有资本经营预算财政拨款支出决算表</w:t>
      </w:r>
      <w:r>
        <w:rPr>
          <w:rFonts w:cstheme="minorBidi"/>
          <w:sz w:val="24"/>
        </w:rPr>
        <w:tab/>
      </w:r>
      <w:r>
        <w:rPr>
          <w:rFonts w:hint="eastAsia" w:cstheme="minorBidi"/>
          <w:sz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十三、财政拨款“三公”经费支出决算表</w:t>
      </w:r>
      <w:r>
        <w:rPr>
          <w:rFonts w:cstheme="minorBidi"/>
          <w:sz w:val="24"/>
        </w:rPr>
        <w:tab/>
      </w:r>
      <w:r>
        <w:rPr>
          <w:rFonts w:hint="eastAsia" w:cstheme="minorBidi"/>
          <w:sz w:val="24"/>
          <w:lang w:val="en-US" w:eastAsia="zh-CN"/>
        </w:rPr>
        <w:t>17</w:t>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rPr>
        <w:t>主要职责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研究实验基地和大型科学仪器设备共享平台的建设与管理，市级重点实验室的管理，自然科技资源共享平台的建设和管理，科学数据共享平台的建设与管理，科技文献共享平台的建设与管理，成果转化公共服务平台的建设与管理，网络科技环境平台的建设与管理，全市技术创新人才库的建设与管理，承担农村产业科技服务工作。</w:t>
      </w:r>
    </w:p>
    <w:p>
      <w:pPr>
        <w:pStyle w:val="4"/>
        <w:rPr>
          <w:rFonts w:ascii="黑体" w:hAnsi="黑体" w:eastAsia="黑体"/>
          <w:b w:val="0"/>
        </w:rPr>
      </w:pPr>
      <w:r>
        <w:rPr>
          <w:rFonts w:hint="eastAsia" w:ascii="黑体" w:hAnsi="黑体" w:eastAsia="黑体"/>
          <w:b w:val="0"/>
        </w:rPr>
        <w:t>二、机构设置</w:t>
      </w:r>
    </w:p>
    <w:bookmarkEnd w:id="14"/>
    <w:bookmarkEnd w:id="15"/>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攀枝花市科技基础条件平台属财政拨款公益二类事业单位</w:t>
      </w:r>
      <w:r>
        <w:rPr>
          <w:rFonts w:hint="eastAsia" w:ascii="仿宋_GB2312" w:eastAsia="仿宋_GB2312"/>
          <w:sz w:val="32"/>
          <w:szCs w:val="32"/>
          <w:lang w:val="en-US" w:eastAsia="zh-CN"/>
        </w:rPr>
        <w:t>，内设机构2个（综合部、业务部），事业编制12人。2022年底，实有在职人员8人，退休人员6人。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br w:type="page"/>
      </w:r>
    </w:p>
    <w:p>
      <w:pPr>
        <w:pStyle w:val="3"/>
        <w:ind w:right="440"/>
        <w:jc w:val="center"/>
        <w:rPr>
          <w:rStyle w:val="24"/>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0"/>
        </w:numPr>
        <w:spacing w:line="600" w:lineRule="exact"/>
        <w:ind w:left="640" w:left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lang w:eastAsia="zh-CN"/>
        </w:rPr>
        <w:t>一、</w:t>
      </w:r>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2022年度收、支总计</w:t>
      </w:r>
      <w:r>
        <w:rPr>
          <w:rFonts w:hint="eastAsia" w:ascii="仿宋" w:hAnsi="仿宋" w:eastAsia="仿宋"/>
          <w:sz w:val="32"/>
          <w:szCs w:val="32"/>
          <w:lang w:val="en-US" w:eastAsia="zh-CN"/>
        </w:rPr>
        <w:t>224.51</w:t>
      </w:r>
      <w:r>
        <w:rPr>
          <w:rFonts w:hint="eastAsia" w:ascii="仿宋" w:hAnsi="仿宋" w:eastAsia="仿宋"/>
          <w:sz w:val="32"/>
          <w:szCs w:val="32"/>
        </w:rPr>
        <w:t>万元。与2021年</w:t>
      </w:r>
      <w:r>
        <w:rPr>
          <w:rFonts w:hint="eastAsia" w:ascii="仿宋" w:hAnsi="仿宋" w:eastAsia="仿宋"/>
          <w:sz w:val="32"/>
          <w:szCs w:val="32"/>
          <w:lang w:val="en-US" w:eastAsia="zh-CN"/>
        </w:rPr>
        <w:t>258.91</w:t>
      </w:r>
      <w:r>
        <w:rPr>
          <w:rFonts w:hint="eastAsia" w:ascii="仿宋" w:hAnsi="仿宋" w:eastAsia="仿宋"/>
          <w:sz w:val="32"/>
          <w:szCs w:val="32"/>
        </w:rPr>
        <w:t>相比，收、支总计各减少</w:t>
      </w:r>
      <w:r>
        <w:rPr>
          <w:rFonts w:hint="eastAsia" w:ascii="仿宋" w:hAnsi="仿宋" w:eastAsia="仿宋"/>
          <w:sz w:val="32"/>
          <w:szCs w:val="32"/>
          <w:lang w:val="en-US" w:eastAsia="zh-CN"/>
        </w:rPr>
        <w:t>34.4</w:t>
      </w:r>
      <w:r>
        <w:rPr>
          <w:rFonts w:hint="eastAsia" w:ascii="仿宋" w:hAnsi="仿宋" w:eastAsia="仿宋"/>
          <w:sz w:val="32"/>
          <w:szCs w:val="32"/>
        </w:rPr>
        <w:t>万元，下降</w:t>
      </w:r>
      <w:r>
        <w:rPr>
          <w:rFonts w:hint="eastAsia" w:ascii="仿宋" w:hAnsi="仿宋" w:eastAsia="仿宋"/>
          <w:sz w:val="32"/>
          <w:szCs w:val="32"/>
          <w:lang w:val="en-US" w:eastAsia="zh-CN"/>
        </w:rPr>
        <w:t>13.29</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：一</w:t>
      </w:r>
      <w:r>
        <w:rPr>
          <w:rFonts w:hint="eastAsia" w:ascii="仿宋" w:hAnsi="仿宋" w:eastAsia="仿宋"/>
          <w:sz w:val="32"/>
          <w:szCs w:val="32"/>
        </w:rPr>
        <w:t>是</w:t>
      </w:r>
      <w:r>
        <w:rPr>
          <w:rFonts w:hint="eastAsia" w:ascii="仿宋" w:hAnsi="仿宋" w:eastAsia="仿宋"/>
          <w:sz w:val="32"/>
          <w:szCs w:val="32"/>
          <w:lang w:eastAsia="zh-CN"/>
        </w:rPr>
        <w:t>有两名新退休人员，人员经费支出减少；二是项目经费支出减少。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5272405" cy="3002280"/>
            <wp:effectExtent l="0" t="0" r="4445" b="7620"/>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10"/>
                    <a:stretch>
                      <a:fillRect/>
                    </a:stretch>
                  </pic:blipFill>
                  <pic:spPr>
                    <a:xfrm>
                      <a:off x="0" y="0"/>
                      <a:ext cx="5272405" cy="3002280"/>
                    </a:xfrm>
                    <a:prstGeom prst="rect">
                      <a:avLst/>
                    </a:prstGeom>
                  </pic:spPr>
                </pic:pic>
              </a:graphicData>
            </a:graphic>
          </wp:inline>
        </w:drawing>
      </w:r>
    </w:p>
    <w:p>
      <w:pPr>
        <w:pStyle w:val="23"/>
        <w:numPr>
          <w:ilvl w:val="0"/>
          <w:numId w:val="0"/>
        </w:numPr>
        <w:spacing w:line="600" w:lineRule="exact"/>
        <w:ind w:left="640" w:leftChars="0"/>
        <w:outlineLvl w:val="1"/>
        <w:rPr>
          <w:rStyle w:val="25"/>
          <w:rFonts w:ascii="黑体" w:hAnsi="黑体" w:eastAsia="黑体"/>
          <w:b w:val="0"/>
        </w:rPr>
      </w:pPr>
      <w:bookmarkStart w:id="20" w:name="_Toc15377206"/>
      <w:bookmarkStart w:id="21" w:name="_Toc15396604"/>
      <w:r>
        <w:rPr>
          <w:rFonts w:hint="eastAsia" w:ascii="黑体" w:hAnsi="黑体" w:eastAsia="黑体"/>
          <w:sz w:val="32"/>
          <w:szCs w:val="32"/>
          <w:lang w:eastAsia="zh-CN"/>
        </w:rPr>
        <w:t>二、</w:t>
      </w:r>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auto"/>
          <w:sz w:val="32"/>
          <w:szCs w:val="32"/>
        </w:rPr>
      </w:pPr>
      <w:r>
        <w:rPr>
          <w:rFonts w:ascii="仿宋" w:hAnsi="仿宋" w:eastAsia="仿宋"/>
          <w:sz w:val="32"/>
          <w:szCs w:val="32"/>
        </w:rPr>
        <w:t>20</w:t>
      </w:r>
      <w:r>
        <w:rPr>
          <w:rFonts w:hint="eastAsia" w:ascii="仿宋" w:hAnsi="仿宋" w:eastAsia="仿宋"/>
          <w:sz w:val="32"/>
          <w:szCs w:val="32"/>
        </w:rPr>
        <w:t>22年本年收入合计218.37万元，其中：一般公共预算财政拨款收入218.37万元，占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auto"/>
          <w:sz w:val="32"/>
          <w:szCs w:val="32"/>
        </w:rPr>
        <w:t>政府性基金预算财政拨款收入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；国有资本经营预算财政拨款收入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；上级补助收入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；事业收入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；附属单位上缴收入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（图2：收入决算结构图）（饼状图）</w:t>
      </w:r>
    </w:p>
    <w:p>
      <w:pPr>
        <w:pStyle w:val="2"/>
        <w:rPr>
          <w:rFonts w:hint="eastAsia" w:ascii="仿宋" w:hAnsi="仿宋" w:eastAsia="仿宋"/>
          <w:sz w:val="32"/>
          <w:szCs w:val="32"/>
        </w:rPr>
      </w:pPr>
      <w:r>
        <w:rPr>
          <w:rFonts w:hint="eastAsia" w:ascii="仿宋_GB2312" w:eastAsia="仿宋_GB2312"/>
          <w:sz w:val="32"/>
          <w:szCs w:val="32"/>
          <w:lang w:eastAsia="zh-CN"/>
        </w:rPr>
        <w:drawing>
          <wp:anchor distT="0" distB="0" distL="114300" distR="114300" simplePos="0" relativeHeight="251658240" behindDoc="0" locked="0" layoutInCell="1" allowOverlap="1">
            <wp:simplePos x="0" y="0"/>
            <wp:positionH relativeFrom="column">
              <wp:posOffset>177800</wp:posOffset>
            </wp:positionH>
            <wp:positionV relativeFrom="paragraph">
              <wp:posOffset>297180</wp:posOffset>
            </wp:positionV>
            <wp:extent cx="4584065" cy="2755265"/>
            <wp:effectExtent l="0" t="0" r="6985" b="6985"/>
            <wp:wrapSquare wrapText="bothSides"/>
            <wp:docPr id="2" name="图片 2"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3"/>
                    <pic:cNvPicPr>
                      <a:picLocks noChangeAspect="true"/>
                    </pic:cNvPicPr>
                  </pic:nvPicPr>
                  <pic:blipFill>
                    <a:blip r:embed="rId11"/>
                    <a:stretch>
                      <a:fillRect/>
                    </a:stretch>
                  </pic:blipFill>
                  <pic:spPr>
                    <a:xfrm>
                      <a:off x="0" y="0"/>
                      <a:ext cx="4584065" cy="2755265"/>
                    </a:xfrm>
                    <a:prstGeom prst="rect">
                      <a:avLst/>
                    </a:prstGeom>
                  </pic:spPr>
                </pic:pic>
              </a:graphicData>
            </a:graphic>
          </wp:anchor>
        </w:drawing>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spacing w:line="600" w:lineRule="exact"/>
        <w:ind w:firstLine="640" w:firstLineChars="200"/>
        <w:rPr>
          <w:rFonts w:hint="eastAsia" w:ascii="仿宋_GB2312" w:eastAsia="仿宋_GB2312"/>
          <w:sz w:val="32"/>
          <w:szCs w:val="32"/>
          <w:lang w:eastAsia="zh-CN"/>
        </w:rPr>
      </w:pPr>
    </w:p>
    <w:p>
      <w:pPr>
        <w:pStyle w:val="23"/>
        <w:numPr>
          <w:ilvl w:val="0"/>
          <w:numId w:val="0"/>
        </w:numPr>
        <w:spacing w:line="600" w:lineRule="exact"/>
        <w:ind w:left="640" w:leftChars="0"/>
        <w:outlineLvl w:val="1"/>
        <w:rPr>
          <w:rFonts w:hint="eastAsia" w:ascii="黑体" w:hAnsi="黑体" w:eastAsia="黑体"/>
          <w:sz w:val="32"/>
          <w:szCs w:val="32"/>
          <w:lang w:eastAsia="zh-CN"/>
        </w:rPr>
      </w:pPr>
      <w:bookmarkStart w:id="22" w:name="_Toc15396605"/>
      <w:bookmarkStart w:id="23" w:name="_Toc15377207"/>
    </w:p>
    <w:p>
      <w:pPr>
        <w:pStyle w:val="23"/>
        <w:numPr>
          <w:ilvl w:val="0"/>
          <w:numId w:val="0"/>
        </w:numPr>
        <w:spacing w:line="600" w:lineRule="exact"/>
        <w:ind w:left="640" w:leftChars="0"/>
        <w:outlineLvl w:val="1"/>
        <w:rPr>
          <w:rFonts w:hint="eastAsia" w:ascii="黑体" w:hAnsi="黑体" w:eastAsia="黑体"/>
          <w:sz w:val="32"/>
          <w:szCs w:val="32"/>
          <w:lang w:eastAsia="zh-CN"/>
        </w:rPr>
      </w:pPr>
    </w:p>
    <w:p>
      <w:pPr>
        <w:pStyle w:val="23"/>
        <w:numPr>
          <w:ilvl w:val="0"/>
          <w:numId w:val="0"/>
        </w:numPr>
        <w:spacing w:line="600" w:lineRule="exact"/>
        <w:ind w:left="640" w:leftChars="0"/>
        <w:outlineLvl w:val="1"/>
        <w:rPr>
          <w:rFonts w:hint="eastAsia" w:ascii="黑体" w:hAnsi="黑体" w:eastAsia="黑体"/>
          <w:sz w:val="32"/>
          <w:szCs w:val="32"/>
          <w:lang w:eastAsia="zh-CN"/>
        </w:rPr>
      </w:pPr>
    </w:p>
    <w:p>
      <w:pPr>
        <w:pStyle w:val="23"/>
        <w:numPr>
          <w:ilvl w:val="0"/>
          <w:numId w:val="0"/>
        </w:numPr>
        <w:spacing w:line="600" w:lineRule="exact"/>
        <w:ind w:left="640" w:leftChars="0"/>
        <w:outlineLvl w:val="1"/>
        <w:rPr>
          <w:rStyle w:val="25"/>
          <w:rFonts w:ascii="黑体" w:hAnsi="黑体" w:eastAsia="黑体"/>
          <w:b w:val="0"/>
        </w:rPr>
      </w:pPr>
      <w:r>
        <w:rPr>
          <w:rFonts w:hint="eastAsia" w:ascii="黑体" w:hAnsi="黑体" w:eastAsia="黑体"/>
          <w:sz w:val="32"/>
          <w:szCs w:val="32"/>
          <w:lang w:eastAsia="zh-CN"/>
        </w:rPr>
        <w:t>三、</w:t>
      </w:r>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22年本年支出合计224.51万元，其中：基本支出</w:t>
      </w:r>
      <w:r>
        <w:rPr>
          <w:rFonts w:hint="eastAsia" w:ascii="仿宋" w:hAnsi="仿宋" w:eastAsia="仿宋"/>
          <w:sz w:val="32"/>
          <w:szCs w:val="32"/>
          <w:lang w:val="en-US" w:eastAsia="zh-CN"/>
        </w:rPr>
        <w:t>215.99</w:t>
      </w:r>
      <w:r>
        <w:rPr>
          <w:rFonts w:hint="eastAsia" w:ascii="仿宋" w:hAnsi="仿宋" w:eastAsia="仿宋"/>
          <w:sz w:val="32"/>
          <w:szCs w:val="32"/>
        </w:rPr>
        <w:t>万元，占</w:t>
      </w:r>
      <w:r>
        <w:rPr>
          <w:rFonts w:hint="eastAsia" w:ascii="仿宋" w:hAnsi="仿宋" w:eastAsia="仿宋"/>
          <w:sz w:val="32"/>
          <w:szCs w:val="32"/>
          <w:lang w:val="en-US" w:eastAsia="zh-CN"/>
        </w:rPr>
        <w:t>96.21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8.52</w:t>
      </w:r>
      <w:r>
        <w:rPr>
          <w:rFonts w:hint="eastAsia" w:ascii="仿宋" w:hAnsi="仿宋" w:eastAsia="仿宋"/>
          <w:sz w:val="32"/>
          <w:szCs w:val="32"/>
        </w:rPr>
        <w:t>万元，占</w:t>
      </w:r>
      <w:r>
        <w:rPr>
          <w:rFonts w:hint="eastAsia" w:ascii="仿宋" w:hAnsi="仿宋" w:eastAsia="仿宋"/>
          <w:sz w:val="32"/>
          <w:szCs w:val="32"/>
          <w:lang w:val="en-US" w:eastAsia="zh-CN"/>
        </w:rPr>
        <w:t>3.79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182880</wp:posOffset>
            </wp:positionV>
            <wp:extent cx="3956050" cy="2548255"/>
            <wp:effectExtent l="0" t="0" r="6350" b="4445"/>
            <wp:wrapSquare wrapText="bothSides"/>
            <wp:docPr id="3" name="图片 3"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4"/>
                    <pic:cNvPicPr>
                      <a:picLocks noChangeAspect="true"/>
                    </pic:cNvPicPr>
                  </pic:nvPicPr>
                  <pic:blipFill>
                    <a:blip r:embed="rId12"/>
                    <a:stretch>
                      <a:fillRect/>
                    </a:stretch>
                  </pic:blipFill>
                  <pic:spPr>
                    <a:xfrm>
                      <a:off x="0" y="0"/>
                      <a:ext cx="3956050" cy="2548255"/>
                    </a:xfrm>
                    <a:prstGeom prst="rect">
                      <a:avLst/>
                    </a:prstGeom>
                  </pic:spPr>
                </pic:pic>
              </a:graphicData>
            </a:graphic>
          </wp:anchor>
        </w:drawing>
      </w: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hint="eastAsia" w:ascii="仿宋_GB2312" w:eastAsia="仿宋_GB2312"/>
          <w:sz w:val="32"/>
          <w:szCs w:val="32"/>
          <w:lang w:eastAsia="zh-CN"/>
        </w:rPr>
      </w:pPr>
    </w:p>
    <w:p>
      <w:pPr>
        <w:spacing w:line="600" w:lineRule="exact"/>
        <w:ind w:firstLine="640" w:firstLineChars="200"/>
        <w:outlineLvl w:val="1"/>
        <w:rPr>
          <w:rFonts w:hint="eastAsia" w:ascii="黑体" w:hAnsi="黑体" w:eastAsia="黑体"/>
          <w:sz w:val="32"/>
          <w:szCs w:val="32"/>
        </w:rPr>
      </w:pPr>
      <w:bookmarkStart w:id="24" w:name="_Toc15377208"/>
      <w:bookmarkStart w:id="25" w:name="_Toc15396606"/>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22年财政拨款收、支总计224.51万元。与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14.4</w:t>
      </w:r>
      <w:r>
        <w:rPr>
          <w:rFonts w:hint="eastAsia" w:ascii="仿宋" w:hAnsi="仿宋" w:eastAsia="仿宋"/>
          <w:sz w:val="32"/>
          <w:szCs w:val="32"/>
        </w:rPr>
        <w:t>万元，下降</w:t>
      </w:r>
      <w:r>
        <w:rPr>
          <w:rFonts w:hint="eastAsia" w:ascii="仿宋" w:hAnsi="仿宋" w:eastAsia="仿宋"/>
          <w:sz w:val="32"/>
          <w:szCs w:val="32"/>
          <w:lang w:val="en-US" w:eastAsia="zh-CN"/>
        </w:rPr>
        <w:t>6.03</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：一</w:t>
      </w:r>
      <w:r>
        <w:rPr>
          <w:rFonts w:hint="eastAsia" w:ascii="仿宋" w:hAnsi="仿宋" w:eastAsia="仿宋"/>
          <w:sz w:val="32"/>
          <w:szCs w:val="32"/>
        </w:rPr>
        <w:t>是</w:t>
      </w:r>
      <w:r>
        <w:rPr>
          <w:rFonts w:hint="eastAsia" w:ascii="仿宋" w:hAnsi="仿宋" w:eastAsia="仿宋"/>
          <w:sz w:val="32"/>
          <w:szCs w:val="32"/>
          <w:lang w:eastAsia="zh-CN"/>
        </w:rPr>
        <w:t>有两名新退休人员，人员经费支出减少；二是项目经费支出减少。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Style w:val="25"/>
          <w:rFonts w:ascii="黑体" w:hAnsi="黑体" w:eastAsia="黑体"/>
          <w:b w:val="0"/>
        </w:rPr>
      </w:pPr>
      <w:r>
        <w:rPr>
          <w:rFonts w:hint="eastAsia" w:ascii="仿宋" w:hAnsi="仿宋" w:eastAsia="仿宋"/>
          <w:b/>
          <w:sz w:val="32"/>
          <w:szCs w:val="32"/>
          <w:lang w:eastAsia="zh-CN"/>
        </w:rPr>
        <w:drawing>
          <wp:anchor distT="0" distB="0" distL="114300" distR="114300" simplePos="0" relativeHeight="251660288" behindDoc="0" locked="0" layoutInCell="1" allowOverlap="1">
            <wp:simplePos x="0" y="0"/>
            <wp:positionH relativeFrom="column">
              <wp:posOffset>161925</wp:posOffset>
            </wp:positionH>
            <wp:positionV relativeFrom="paragraph">
              <wp:posOffset>296545</wp:posOffset>
            </wp:positionV>
            <wp:extent cx="5272405" cy="2771140"/>
            <wp:effectExtent l="0" t="0" r="4445" b="10160"/>
            <wp:wrapSquare wrapText="bothSides"/>
            <wp:docPr id="4" name="图片 4"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5"/>
                    <pic:cNvPicPr>
                      <a:picLocks noChangeAspect="true"/>
                    </pic:cNvPicPr>
                  </pic:nvPicPr>
                  <pic:blipFill>
                    <a:blip r:embed="rId13"/>
                    <a:stretch>
                      <a:fillRect/>
                    </a:stretch>
                  </pic:blipFill>
                  <pic:spPr>
                    <a:xfrm>
                      <a:off x="0" y="0"/>
                      <a:ext cx="5272405" cy="2771140"/>
                    </a:xfrm>
                    <a:prstGeom prst="rect">
                      <a:avLst/>
                    </a:prstGeom>
                  </pic:spPr>
                </pic:pic>
              </a:graphicData>
            </a:graphic>
          </wp:anchor>
        </w:drawing>
      </w: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22年一般公共预算财政拨款支出224.51万元，占本年支出合计的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w:t>
      </w:r>
      <w:r>
        <w:rPr>
          <w:rFonts w:hint="eastAsia" w:ascii="仿宋" w:hAnsi="仿宋" w:eastAsia="仿宋"/>
          <w:sz w:val="32"/>
          <w:szCs w:val="32"/>
          <w:lang w:val="en-US" w:eastAsia="zh-CN"/>
        </w:rPr>
        <w:t>238.73</w:t>
      </w:r>
      <w:r>
        <w:rPr>
          <w:rFonts w:hint="eastAsia" w:ascii="仿宋" w:hAnsi="仿宋" w:eastAsia="仿宋"/>
          <w:sz w:val="32"/>
          <w:szCs w:val="32"/>
        </w:rPr>
        <w:t>，一般公共预算财政拨款支出减少</w:t>
      </w:r>
      <w:r>
        <w:rPr>
          <w:rFonts w:hint="eastAsia" w:ascii="仿宋" w:hAnsi="仿宋" w:eastAsia="仿宋"/>
          <w:sz w:val="32"/>
          <w:szCs w:val="32"/>
          <w:lang w:val="en-US" w:eastAsia="zh-CN"/>
        </w:rPr>
        <w:t>14.22</w:t>
      </w:r>
      <w:r>
        <w:rPr>
          <w:rFonts w:hint="eastAsia" w:ascii="仿宋" w:hAnsi="仿宋" w:eastAsia="仿宋"/>
          <w:sz w:val="32"/>
          <w:szCs w:val="32"/>
        </w:rPr>
        <w:t>万元，下降</w:t>
      </w:r>
      <w:r>
        <w:rPr>
          <w:rFonts w:hint="eastAsia" w:ascii="仿宋" w:hAnsi="仿宋" w:eastAsia="仿宋"/>
          <w:sz w:val="32"/>
          <w:szCs w:val="32"/>
          <w:lang w:val="en-US" w:eastAsia="zh-CN"/>
        </w:rPr>
        <w:t>5.96</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：一</w:t>
      </w:r>
      <w:r>
        <w:rPr>
          <w:rFonts w:hint="eastAsia" w:ascii="仿宋" w:hAnsi="仿宋" w:eastAsia="仿宋"/>
          <w:sz w:val="32"/>
          <w:szCs w:val="32"/>
        </w:rPr>
        <w:t>是</w:t>
      </w:r>
      <w:r>
        <w:rPr>
          <w:rFonts w:hint="eastAsia" w:ascii="仿宋" w:hAnsi="仿宋" w:eastAsia="仿宋"/>
          <w:sz w:val="32"/>
          <w:szCs w:val="32"/>
          <w:lang w:eastAsia="zh-CN"/>
        </w:rPr>
        <w:t>有两名新退休人员，人员经费支出减少；二是项目经费支出减少。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pStyle w:val="2"/>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1312" behindDoc="0" locked="0" layoutInCell="1" allowOverlap="1">
            <wp:simplePos x="0" y="0"/>
            <wp:positionH relativeFrom="column">
              <wp:posOffset>447675</wp:posOffset>
            </wp:positionH>
            <wp:positionV relativeFrom="paragraph">
              <wp:posOffset>92710</wp:posOffset>
            </wp:positionV>
            <wp:extent cx="4584065" cy="2785745"/>
            <wp:effectExtent l="0" t="0" r="6985" b="14605"/>
            <wp:wrapSquare wrapText="bothSides"/>
            <wp:docPr id="5" name="图片 5"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6"/>
                    <pic:cNvPicPr>
                      <a:picLocks noChangeAspect="true"/>
                    </pic:cNvPicPr>
                  </pic:nvPicPr>
                  <pic:blipFill>
                    <a:blip r:embed="rId14"/>
                    <a:stretch>
                      <a:fillRect/>
                    </a:stretch>
                  </pic:blipFill>
                  <pic:spPr>
                    <a:xfrm>
                      <a:off x="0" y="0"/>
                      <a:ext cx="4584065" cy="2785745"/>
                    </a:xfrm>
                    <a:prstGeom prst="rect">
                      <a:avLst/>
                    </a:prstGeom>
                  </pic:spPr>
                </pic:pic>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hint="eastAsia" w:ascii="仿宋" w:hAnsi="仿宋" w:eastAsia="仿宋"/>
          <w:sz w:val="32"/>
          <w:szCs w:val="32"/>
          <w:lang w:eastAsia="zh-CN"/>
        </w:rPr>
      </w:pPr>
    </w:p>
    <w:p>
      <w:pPr>
        <w:spacing w:line="600" w:lineRule="exact"/>
        <w:ind w:firstLine="642" w:firstLineChars="200"/>
        <w:outlineLvl w:val="2"/>
        <w:rPr>
          <w:rFonts w:hint="eastAsia" w:ascii="仿宋" w:hAnsi="仿宋" w:eastAsia="仿宋"/>
          <w:b/>
          <w:sz w:val="32"/>
          <w:szCs w:val="32"/>
        </w:rPr>
      </w:pPr>
      <w:bookmarkStart w:id="29" w:name="_Toc15377211"/>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22年一般公共预算财政拨款支出224.51万元，主要用于以下方面</w:t>
      </w:r>
      <w:r>
        <w:rPr>
          <w:rFonts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180.18万元，占</w:t>
      </w:r>
      <w:r>
        <w:rPr>
          <w:rFonts w:hint="eastAsia" w:ascii="仿宋" w:hAnsi="仿宋" w:eastAsia="仿宋"/>
          <w:sz w:val="32"/>
          <w:szCs w:val="32"/>
          <w:lang w:val="en-US" w:eastAsia="zh-CN"/>
        </w:rPr>
        <w:t>80.25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29.11万元，占</w:t>
      </w:r>
      <w:r>
        <w:rPr>
          <w:rFonts w:hint="eastAsia" w:ascii="仿宋" w:hAnsi="仿宋" w:eastAsia="仿宋"/>
          <w:sz w:val="32"/>
          <w:szCs w:val="32"/>
          <w:lang w:val="en-US" w:eastAsia="zh-CN"/>
        </w:rPr>
        <w:t>12.97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15.22万元，占</w:t>
      </w:r>
      <w:r>
        <w:rPr>
          <w:rFonts w:hint="eastAsia" w:ascii="仿宋" w:hAnsi="仿宋" w:eastAsia="仿宋"/>
          <w:sz w:val="32"/>
          <w:szCs w:val="32"/>
          <w:lang w:val="en-US" w:eastAsia="zh-CN"/>
        </w:rPr>
        <w:t>6.78%</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2336" behindDoc="0" locked="0" layoutInCell="1" allowOverlap="1">
            <wp:simplePos x="0" y="0"/>
            <wp:positionH relativeFrom="column">
              <wp:posOffset>800100</wp:posOffset>
            </wp:positionH>
            <wp:positionV relativeFrom="paragraph">
              <wp:posOffset>213995</wp:posOffset>
            </wp:positionV>
            <wp:extent cx="3956050" cy="2548255"/>
            <wp:effectExtent l="0" t="0" r="6350" b="4445"/>
            <wp:wrapSquare wrapText="bothSides"/>
            <wp:docPr id="6" name="图片 6" descr="图片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7"/>
                    <pic:cNvPicPr>
                      <a:picLocks noChangeAspect="true"/>
                    </pic:cNvPicPr>
                  </pic:nvPicPr>
                  <pic:blipFill>
                    <a:blip r:embed="rId15"/>
                    <a:stretch>
                      <a:fillRect/>
                    </a:stretch>
                  </pic:blipFill>
                  <pic:spPr>
                    <a:xfrm>
                      <a:off x="0" y="0"/>
                      <a:ext cx="3956050" cy="2548255"/>
                    </a:xfrm>
                    <a:prstGeom prst="rect">
                      <a:avLst/>
                    </a:prstGeom>
                  </pic:spPr>
                </pic:pic>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hint="eastAsia" w:ascii="仿宋" w:hAnsi="仿宋" w:eastAsia="仿宋"/>
          <w:sz w:val="32"/>
          <w:szCs w:val="32"/>
          <w:lang w:eastAsia="zh-CN"/>
        </w:rPr>
      </w:pP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7213"/>
      <w:bookmarkStart w:id="32" w:name="_Toc15378460"/>
      <w:bookmarkStart w:id="33"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224.51</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2" w:firstLineChars="200"/>
        <w:rPr>
          <w:rStyle w:val="14"/>
          <w:rFonts w:hint="eastAsia" w:ascii="仿宋" w:hAnsi="仿宋" w:eastAsia="仿宋"/>
          <w:b w:val="0"/>
          <w:bCs/>
          <w:sz w:val="32"/>
          <w:szCs w:val="32"/>
          <w:lang w:eastAsia="zh-CN"/>
        </w:rPr>
      </w:pPr>
      <w:r>
        <w:rPr>
          <w:rStyle w:val="14"/>
          <w:rFonts w:ascii="仿宋" w:hAnsi="仿宋" w:eastAsia="仿宋"/>
          <w:bCs/>
          <w:sz w:val="32"/>
          <w:szCs w:val="32"/>
        </w:rPr>
        <w:t>1.</w:t>
      </w:r>
      <w:r>
        <w:rPr>
          <w:rStyle w:val="14"/>
          <w:rFonts w:hint="eastAsia" w:ascii="仿宋" w:hAnsi="仿宋" w:eastAsia="仿宋"/>
          <w:bCs/>
          <w:sz w:val="32"/>
          <w:szCs w:val="32"/>
        </w:rPr>
        <w:t>科学技术（类）技术研究与开发（款） 科技成果转化与扩散（项）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8.52</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r>
        <w:rPr>
          <w:rStyle w:val="14"/>
          <w:rFonts w:hint="eastAsia" w:ascii="仿宋" w:hAnsi="仿宋" w:eastAsia="仿宋" w:cstheme="minorBidi"/>
          <w:bCs/>
          <w:sz w:val="32"/>
          <w:szCs w:val="32"/>
          <w:lang w:eastAsia="zh-CN"/>
        </w:rPr>
        <w:t>科技条件与服务（款）机构运行（项）</w:t>
      </w:r>
      <w:r>
        <w:rPr>
          <w:rStyle w:val="14"/>
          <w:rFonts w:hint="eastAsia" w:ascii="仿宋" w:hAnsi="仿宋" w:eastAsia="仿宋"/>
          <w:b w:val="0"/>
          <w:bCs/>
          <w:sz w:val="32"/>
          <w:szCs w:val="32"/>
          <w:lang w:eastAsia="zh-CN"/>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171.66</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p>
    <w:p>
      <w:pPr>
        <w:spacing w:line="600" w:lineRule="exact"/>
        <w:ind w:firstLine="642" w:firstLineChars="200"/>
        <w:rPr>
          <w:rFonts w:hint="eastAsia" w:ascii="仿宋" w:hAnsi="仿宋" w:eastAsia="仿宋"/>
          <w:b/>
          <w:sz w:val="32"/>
          <w:szCs w:val="32"/>
          <w:lang w:eastAsia="zh-CN"/>
        </w:rPr>
      </w:pPr>
      <w:r>
        <w:rPr>
          <w:rStyle w:val="14"/>
          <w:rFonts w:hint="eastAsia" w:ascii="仿宋" w:hAnsi="仿宋" w:eastAsia="仿宋"/>
          <w:bCs/>
          <w:sz w:val="32"/>
          <w:szCs w:val="32"/>
          <w:lang w:val="en-US" w:eastAsia="zh-CN"/>
        </w:rPr>
        <w:t>2</w:t>
      </w:r>
      <w:r>
        <w:rPr>
          <w:rStyle w:val="14"/>
          <w:rFonts w:ascii="仿宋" w:hAnsi="仿宋" w:eastAsia="仿宋"/>
          <w:bCs/>
          <w:sz w:val="32"/>
          <w:szCs w:val="32"/>
        </w:rPr>
        <w:t>.</w:t>
      </w:r>
      <w:r>
        <w:rPr>
          <w:rStyle w:val="14"/>
          <w:rFonts w:hint="eastAsia" w:ascii="仿宋" w:hAnsi="仿宋" w:eastAsia="仿宋"/>
          <w:bCs/>
          <w:sz w:val="32"/>
          <w:szCs w:val="32"/>
        </w:rPr>
        <w:t>社会保障和就业（类）行政事业单位养老支出（款）事业单位离退休（项）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支出决算为15.08万元，完成预算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r>
        <w:rPr>
          <w:rStyle w:val="14"/>
          <w:rFonts w:hint="eastAsia" w:ascii="仿宋" w:hAnsi="仿宋" w:eastAsia="仿宋"/>
          <w:bCs/>
          <w:sz w:val="32"/>
          <w:szCs w:val="32"/>
        </w:rPr>
        <w:t>行政事业单位养老支出（款）机关事业单位基本养老保险缴费支出（项）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支出决算为14.03万元，完成预算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p>
    <w:p>
      <w:pPr>
        <w:spacing w:line="600" w:lineRule="exact"/>
        <w:ind w:firstLine="642" w:firstLineChars="200"/>
        <w:rPr>
          <w:rFonts w:ascii="仿宋" w:hAnsi="仿宋" w:eastAsia="仿宋"/>
          <w:sz w:val="32"/>
          <w:szCs w:val="32"/>
        </w:rPr>
      </w:pPr>
      <w:r>
        <w:rPr>
          <w:rStyle w:val="14"/>
          <w:rFonts w:hint="eastAsia" w:ascii="仿宋" w:hAnsi="仿宋" w:eastAsia="仿宋"/>
          <w:bCs/>
          <w:sz w:val="32"/>
          <w:szCs w:val="32"/>
          <w:lang w:val="en-US" w:eastAsia="zh-CN"/>
        </w:rPr>
        <w:t>3</w:t>
      </w:r>
      <w:r>
        <w:rPr>
          <w:rStyle w:val="14"/>
          <w:rFonts w:ascii="仿宋" w:hAnsi="仿宋" w:eastAsia="仿宋"/>
          <w:bCs/>
          <w:sz w:val="32"/>
          <w:szCs w:val="32"/>
        </w:rPr>
        <w:t>.</w:t>
      </w:r>
      <w:r>
        <w:rPr>
          <w:rStyle w:val="14"/>
          <w:rFonts w:hint="eastAsia" w:ascii="仿宋" w:hAnsi="仿宋" w:eastAsia="仿宋"/>
          <w:bCs/>
          <w:sz w:val="32"/>
          <w:szCs w:val="32"/>
        </w:rPr>
        <w:t>住房保障（类）住房改革支出（款） 住房公积金（项）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支出决算为15.22万元，完成预算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p>
    <w:p>
      <w:pPr>
        <w:tabs>
          <w:tab w:val="right" w:pos="8306"/>
        </w:tabs>
        <w:spacing w:line="600" w:lineRule="exact"/>
        <w:ind w:firstLine="640"/>
        <w:outlineLvl w:val="1"/>
        <w:rPr>
          <w:rStyle w:val="25"/>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22年一般公共预算财政拨款基本支出215.99万元，其中：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人员经费204.56万元，主要包括：基本工资、津贴补贴、奖金、绩效工资、机关事业单位基本养老保险缴费、职工基本医疗保险缴费</w:t>
      </w:r>
      <w:r>
        <w:rPr>
          <w:rFonts w:hint="eastAsia" w:ascii="仿宋" w:hAnsi="仿宋" w:eastAsia="仿宋"/>
          <w:sz w:val="32"/>
          <w:szCs w:val="32"/>
          <w:lang w:eastAsia="zh-CN"/>
        </w:rPr>
        <w:t>、公务员医疗补助缴费、</w:t>
      </w:r>
      <w:r>
        <w:rPr>
          <w:rFonts w:hint="eastAsia" w:ascii="仿宋" w:hAnsi="仿宋" w:eastAsia="仿宋"/>
          <w:sz w:val="32"/>
          <w:szCs w:val="32"/>
        </w:rPr>
        <w:t>其他社会保障缴费、其他工资福利支出、生活补助、医疗费补助、住房公积金</w:t>
      </w:r>
      <w:r>
        <w:rPr>
          <w:rFonts w:hint="eastAsia" w:ascii="仿宋" w:hAnsi="仿宋" w:eastAsia="仿宋"/>
          <w:sz w:val="32"/>
          <w:szCs w:val="32"/>
          <w:lang w:eastAsia="zh-CN"/>
        </w:rPr>
        <w:t>、对个人和家庭的补助</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公用经费11.43万元，主要包括：办公费、电费、邮电费、差旅费、培训费、工会经费、福利费、公务用车运行维护费、其他商品和服务支出。</w:t>
      </w: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1.58</w:t>
      </w:r>
      <w:r>
        <w:rPr>
          <w:rFonts w:hint="eastAsia" w:ascii="仿宋" w:hAnsi="仿宋" w:eastAsia="仿宋"/>
          <w:sz w:val="32"/>
          <w:szCs w:val="32"/>
        </w:rPr>
        <w:t>万元，完成预算</w:t>
      </w:r>
      <w:r>
        <w:rPr>
          <w:rFonts w:hint="eastAsia" w:ascii="仿宋" w:hAnsi="仿宋" w:eastAsia="仿宋"/>
          <w:sz w:val="32"/>
          <w:szCs w:val="32"/>
          <w:lang w:val="en-US" w:eastAsia="zh-CN"/>
        </w:rPr>
        <w:t>84.04</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0.23</w:t>
      </w:r>
      <w:r>
        <w:rPr>
          <w:rFonts w:hint="eastAsia" w:ascii="仿宋" w:hAnsi="仿宋" w:eastAsia="仿宋"/>
          <w:sz w:val="32"/>
          <w:szCs w:val="32"/>
        </w:rPr>
        <w:t>万元，下降</w:t>
      </w:r>
      <w:r>
        <w:rPr>
          <w:rFonts w:hint="eastAsia" w:ascii="仿宋" w:hAnsi="仿宋" w:eastAsia="仿宋"/>
          <w:sz w:val="32"/>
          <w:szCs w:val="32"/>
          <w:lang w:val="en-US" w:eastAsia="zh-CN"/>
        </w:rPr>
        <w:t>12.71</w:t>
      </w:r>
      <w:r>
        <w:rPr>
          <w:rFonts w:hint="eastAsia" w:ascii="仿宋" w:hAnsi="仿宋" w:eastAsia="仿宋"/>
          <w:sz w:val="32"/>
          <w:szCs w:val="32"/>
        </w:rPr>
        <w:t>%。决算数小于预算数</w:t>
      </w:r>
      <w:r>
        <w:rPr>
          <w:rFonts w:hint="eastAsia" w:ascii="仿宋" w:hAnsi="仿宋" w:eastAsia="仿宋"/>
          <w:sz w:val="32"/>
          <w:szCs w:val="32"/>
          <w:lang w:eastAsia="zh-CN"/>
        </w:rPr>
        <w:t>，</w:t>
      </w:r>
      <w:r>
        <w:rPr>
          <w:rFonts w:hint="eastAsia" w:ascii="仿宋" w:hAnsi="仿宋" w:eastAsia="仿宋"/>
          <w:sz w:val="32"/>
          <w:szCs w:val="32"/>
        </w:rPr>
        <w:t>的主要原因是</w:t>
      </w:r>
      <w:r>
        <w:rPr>
          <w:rFonts w:hint="eastAsia" w:ascii="仿宋" w:hAnsi="仿宋" w:eastAsia="仿宋"/>
          <w:sz w:val="32"/>
          <w:szCs w:val="32"/>
          <w:lang w:eastAsia="zh-CN"/>
        </w:rPr>
        <w:t>本年度无接待任务，未产生公务接待费</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1.58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hint="eastAsia" w:ascii="仿宋_GB2312" w:eastAsia="仿宋_GB2312"/>
          <w:b/>
          <w:sz w:val="32"/>
          <w:szCs w:val="32"/>
          <w:lang w:eastAsia="zh-CN"/>
        </w:rPr>
        <w:drawing>
          <wp:anchor distT="0" distB="0" distL="114300" distR="114300" simplePos="0" relativeHeight="251663360" behindDoc="0" locked="0" layoutInCell="1" allowOverlap="1">
            <wp:simplePos x="0" y="0"/>
            <wp:positionH relativeFrom="column">
              <wp:posOffset>501650</wp:posOffset>
            </wp:positionH>
            <wp:positionV relativeFrom="paragraph">
              <wp:posOffset>190500</wp:posOffset>
            </wp:positionV>
            <wp:extent cx="3956050" cy="2548255"/>
            <wp:effectExtent l="0" t="0" r="6350" b="4445"/>
            <wp:wrapSquare wrapText="bothSides"/>
            <wp:docPr id="7" name="图片 7" descr="图片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8"/>
                    <pic:cNvPicPr>
                      <a:picLocks noChangeAspect="true"/>
                    </pic:cNvPicPr>
                  </pic:nvPicPr>
                  <pic:blipFill>
                    <a:blip r:embed="rId16"/>
                    <a:stretch>
                      <a:fillRect/>
                    </a:stretch>
                  </pic:blipFill>
                  <pic:spPr>
                    <a:xfrm>
                      <a:off x="0" y="0"/>
                      <a:ext cx="3956050" cy="2548255"/>
                    </a:xfrm>
                    <a:prstGeom prst="rect">
                      <a:avLst/>
                    </a:prstGeom>
                  </pic:spPr>
                </pic:pic>
              </a:graphicData>
            </a:graphic>
          </wp:anchor>
        </w:drawing>
      </w: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hint="eastAsia" w:ascii="仿宋_GB2312" w:eastAsia="仿宋_GB2312"/>
          <w:b/>
          <w:sz w:val="32"/>
          <w:szCs w:val="32"/>
          <w:lang w:eastAsia="zh-CN"/>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hint="eastAsia"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。主要原因是未产生因公出国经费。</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1.58</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97.53</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0.04</w:t>
      </w:r>
      <w:r>
        <w:rPr>
          <w:rFonts w:hint="eastAsia" w:ascii="仿宋_GB2312" w:eastAsia="仿宋_GB2312"/>
          <w:sz w:val="32"/>
          <w:szCs w:val="32"/>
        </w:rPr>
        <w:t>万元，增长</w:t>
      </w:r>
      <w:r>
        <w:rPr>
          <w:rFonts w:hint="eastAsia" w:ascii="仿宋_GB2312" w:eastAsia="仿宋_GB2312"/>
          <w:sz w:val="32"/>
          <w:szCs w:val="32"/>
          <w:lang w:val="en-US" w:eastAsia="zh-CN"/>
        </w:rPr>
        <w:t>0.6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车辆老旧，日常维修保养支出增加</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w:t>
      </w:r>
      <w:r>
        <w:rPr>
          <w:rFonts w:hint="eastAsia" w:ascii="仿宋_GB2312" w:eastAsia="仿宋_GB2312"/>
          <w:sz w:val="32"/>
          <w:szCs w:val="32"/>
        </w:rPr>
        <w:t>辆，其中：轿车</w:t>
      </w:r>
      <w:r>
        <w:rPr>
          <w:rFonts w:hint="eastAsia" w:ascii="仿宋_GB2312" w:eastAsia="仿宋_GB2312"/>
          <w:sz w:val="32"/>
          <w:szCs w:val="32"/>
          <w:lang w:val="en-US" w:eastAsia="zh-CN"/>
        </w:rPr>
        <w:t>1</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1.58</w:t>
      </w:r>
      <w:r>
        <w:rPr>
          <w:rFonts w:hint="eastAsia" w:ascii="仿宋_GB2312" w:eastAsia="仿宋_GB2312"/>
          <w:sz w:val="32"/>
          <w:szCs w:val="32"/>
        </w:rPr>
        <w:t>万元。主要用于</w:t>
      </w:r>
      <w:r>
        <w:rPr>
          <w:rFonts w:hint="eastAsia" w:ascii="仿宋_GB2312" w:eastAsia="仿宋_GB2312"/>
          <w:sz w:val="32"/>
          <w:szCs w:val="32"/>
          <w:lang w:eastAsia="zh-CN"/>
        </w:rPr>
        <w:t>四川科技扶贫在线平台建设、回访，农村产业培训等</w:t>
      </w:r>
      <w:r>
        <w:rPr>
          <w:rFonts w:hint="eastAsia" w:ascii="仿宋_GB2312" w:eastAsia="仿宋_GB2312"/>
          <w:sz w:val="32"/>
          <w:szCs w:val="32"/>
        </w:rPr>
        <w:t>的公务用车燃料费、维修费、过路过桥费、保险费等支出。</w:t>
      </w:r>
    </w:p>
    <w:p>
      <w:pPr>
        <w:spacing w:line="600" w:lineRule="exact"/>
        <w:ind w:firstLine="640"/>
        <w:rPr>
          <w:rFonts w:hint="eastAsia"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0.27</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本年度无接待任务，未产生公务接待费</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Style w:val="25"/>
          <w:rFonts w:ascii="黑体" w:hAnsi="黑体" w:eastAsia="黑体"/>
        </w:rPr>
      </w:pPr>
      <w:bookmarkStart w:id="40" w:name="_Toc15396610"/>
      <w:bookmarkStart w:id="41" w:name="_Toc15377218"/>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市科技基础条件平台服务中心</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万元，与</w:t>
      </w:r>
      <w:r>
        <w:rPr>
          <w:rFonts w:ascii="仿宋_GB2312" w:eastAsia="仿宋_GB2312"/>
          <w:sz w:val="32"/>
          <w:szCs w:val="32"/>
        </w:rPr>
        <w:t>20</w:t>
      </w:r>
      <w:r>
        <w:rPr>
          <w:rFonts w:hint="eastAsia" w:ascii="仿宋_GB2312" w:eastAsia="仿宋_GB2312"/>
          <w:sz w:val="32"/>
          <w:szCs w:val="32"/>
        </w:rPr>
        <w:t>21年决算数持平</w:t>
      </w:r>
      <w:r>
        <w:rPr>
          <w:rFonts w:hint="eastAsia" w:ascii="仿宋_GB2312" w:eastAsia="仿宋_GB2312"/>
          <w:sz w:val="32"/>
          <w:szCs w:val="32"/>
          <w:lang w:eastAsia="zh-CN"/>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市科技基础条件平台服务中心</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市科技基础条件平台服务中心</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辆，其他用车主要是用于企业调研，科技下乡等方面。单价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带薪年休假经费（事业）</w:t>
      </w:r>
      <w:r>
        <w:rPr>
          <w:rFonts w:hint="eastAsia" w:hAnsi="仿宋_GB2312" w:cs="仿宋_GB2312"/>
          <w:sz w:val="32"/>
          <w:szCs w:val="32"/>
        </w:rPr>
        <w:t>项目等</w:t>
      </w:r>
      <w:r>
        <w:rPr>
          <w:rFonts w:hint="eastAsia" w:hAnsi="仿宋_GB2312" w:cs="仿宋_GB2312"/>
          <w:sz w:val="32"/>
          <w:szCs w:val="32"/>
          <w:lang w:val="en-US" w:eastAsia="zh-CN"/>
        </w:rPr>
        <w:t>15</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15</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15</w:t>
      </w:r>
      <w:r>
        <w:rPr>
          <w:rFonts w:hint="eastAsia" w:hAnsi="仿宋_GB2312" w:cs="仿宋_GB2312"/>
          <w:sz w:val="32"/>
          <w:szCs w:val="32"/>
        </w:rPr>
        <w:t>个项目开展绩效监控，组织对</w:t>
      </w:r>
      <w:r>
        <w:rPr>
          <w:rFonts w:hint="eastAsia" w:hAnsi="仿宋_GB2312" w:cs="仿宋_GB2312"/>
          <w:sz w:val="32"/>
          <w:szCs w:val="32"/>
          <w:lang w:val="en-US" w:eastAsia="zh-CN"/>
        </w:rPr>
        <w:t>15</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spacing w:line="600" w:lineRule="exact"/>
        <w:ind w:firstLine="640" w:firstLineChars="200"/>
        <w:rPr>
          <w:rFonts w:hint="eastAsia" w:eastAsia="仿宋_GB2312"/>
          <w:color w:val="000000"/>
          <w:kern w:val="0"/>
          <w:sz w:val="32"/>
          <w:szCs w:val="32"/>
        </w:rPr>
      </w:pPr>
      <w:r>
        <w:rPr>
          <w:rFonts w:hint="eastAsia" w:eastAsia="仿宋_GB2312"/>
          <w:color w:val="000000"/>
          <w:kern w:val="0"/>
          <w:sz w:val="32"/>
          <w:szCs w:val="32"/>
          <w:lang w:val="en-US" w:eastAsia="zh-CN"/>
        </w:rPr>
        <w:t>3</w:t>
      </w:r>
      <w:r>
        <w:rPr>
          <w:rFonts w:hint="eastAsia" w:eastAsia="仿宋_GB2312"/>
          <w:color w:val="000000"/>
          <w:kern w:val="0"/>
          <w:sz w:val="32"/>
          <w:szCs w:val="32"/>
        </w:rPr>
        <w:t>.科学技术支出（类）技术研究与开发（款）科技成果转化与扩散（项）：</w:t>
      </w:r>
      <w:r>
        <w:rPr>
          <w:rFonts w:hint="eastAsia" w:eastAsia="仿宋_GB2312"/>
          <w:color w:val="000000"/>
          <w:kern w:val="0"/>
          <w:sz w:val="32"/>
          <w:szCs w:val="32"/>
          <w:lang w:eastAsia="zh-CN"/>
        </w:rPr>
        <w:t>指开展四川科技扶贫在线平台建设，下乡调研、农村实用技术培训等项目支出</w:t>
      </w:r>
      <w:r>
        <w:rPr>
          <w:rFonts w:hint="eastAsia" w:eastAsia="仿宋_GB2312"/>
          <w:color w:val="000000"/>
          <w:kern w:val="0"/>
          <w:sz w:val="32"/>
          <w:szCs w:val="32"/>
        </w:rPr>
        <w:t>。</w:t>
      </w:r>
    </w:p>
    <w:p>
      <w:pPr>
        <w:spacing w:line="600" w:lineRule="exact"/>
        <w:ind w:firstLine="640" w:firstLineChars="200"/>
        <w:rPr>
          <w:rFonts w:hint="eastAsia" w:eastAsia="仿宋_GB2312"/>
          <w:color w:val="000000"/>
          <w:kern w:val="0"/>
          <w:sz w:val="32"/>
          <w:szCs w:val="32"/>
        </w:rPr>
      </w:pPr>
      <w:r>
        <w:rPr>
          <w:rFonts w:hint="eastAsia" w:eastAsia="仿宋_GB2312"/>
          <w:color w:val="000000"/>
          <w:kern w:val="0"/>
          <w:sz w:val="32"/>
          <w:szCs w:val="32"/>
          <w:lang w:val="en-US" w:eastAsia="zh-CN"/>
        </w:rPr>
        <w:t>4</w:t>
      </w:r>
      <w:r>
        <w:rPr>
          <w:rFonts w:hint="eastAsia" w:eastAsia="仿宋_GB2312"/>
          <w:color w:val="000000"/>
          <w:kern w:val="0"/>
          <w:sz w:val="32"/>
          <w:szCs w:val="32"/>
        </w:rPr>
        <w:t>.科学技术支出（类）科技条件与服务（款） 机构运行（项）：指</w:t>
      </w:r>
      <w:r>
        <w:rPr>
          <w:rFonts w:hint="eastAsia" w:eastAsia="仿宋_GB2312"/>
          <w:color w:val="000000"/>
          <w:kern w:val="0"/>
          <w:sz w:val="32"/>
          <w:szCs w:val="32"/>
          <w:lang w:val="en-US" w:eastAsia="zh-CN"/>
        </w:rPr>
        <w:t>用于保障单位正常运行、开展日常工作</w:t>
      </w:r>
      <w:r>
        <w:rPr>
          <w:rFonts w:hint="eastAsia" w:eastAsia="仿宋_GB2312"/>
          <w:color w:val="000000"/>
          <w:kern w:val="0"/>
          <w:sz w:val="32"/>
          <w:szCs w:val="32"/>
          <w:lang w:eastAsia="zh-CN"/>
        </w:rPr>
        <w:t>等</w:t>
      </w:r>
      <w:r>
        <w:rPr>
          <w:rFonts w:hint="eastAsia" w:eastAsia="仿宋_GB2312"/>
          <w:color w:val="000000"/>
          <w:kern w:val="0"/>
          <w:sz w:val="32"/>
          <w:szCs w:val="32"/>
        </w:rPr>
        <w:t>基本支出。</w:t>
      </w:r>
    </w:p>
    <w:p>
      <w:pPr>
        <w:spacing w:line="600" w:lineRule="exact"/>
        <w:ind w:firstLine="640" w:firstLineChars="200"/>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5</w:t>
      </w:r>
      <w:r>
        <w:rPr>
          <w:rFonts w:hint="eastAsia" w:eastAsia="仿宋_GB2312"/>
          <w:color w:val="000000"/>
          <w:kern w:val="0"/>
          <w:sz w:val="32"/>
          <w:szCs w:val="32"/>
        </w:rPr>
        <w:t>.社会保障和就业（类）行政事业单位养老支出（款） 事业单位离退休（项）: 指</w:t>
      </w:r>
      <w:r>
        <w:rPr>
          <w:rFonts w:hint="eastAsia" w:eastAsia="仿宋_GB2312"/>
          <w:color w:val="000000"/>
          <w:kern w:val="0"/>
          <w:sz w:val="32"/>
          <w:szCs w:val="32"/>
          <w:lang w:val="en-US" w:eastAsia="zh-CN"/>
        </w:rPr>
        <w:t>财政统一供养的事业单位退休人员的支出。</w:t>
      </w:r>
    </w:p>
    <w:p>
      <w:pPr>
        <w:spacing w:line="600" w:lineRule="exact"/>
        <w:ind w:firstLine="640" w:firstLineChars="200"/>
      </w:pPr>
      <w:r>
        <w:rPr>
          <w:rFonts w:hint="eastAsia" w:eastAsia="仿宋_GB2312"/>
          <w:color w:val="000000"/>
          <w:kern w:val="0"/>
          <w:sz w:val="32"/>
          <w:szCs w:val="32"/>
          <w:lang w:val="en-US" w:eastAsia="zh-CN"/>
        </w:rPr>
        <w:t>6.</w:t>
      </w:r>
      <w:r>
        <w:rPr>
          <w:rFonts w:hint="eastAsia" w:eastAsia="仿宋_GB2312"/>
          <w:color w:val="000000"/>
          <w:kern w:val="0"/>
          <w:sz w:val="32"/>
          <w:szCs w:val="32"/>
        </w:rPr>
        <w:t>社会保障和就业（类）行政事业单位养老支出（款）机关事业单位基本养老保险缴费支出（项）：</w:t>
      </w:r>
      <w:r>
        <w:rPr>
          <w:rFonts w:ascii="仿宋_gb2312" w:hAnsi="仿宋_gb2312" w:eastAsia="仿宋_gb2312" w:cs="仿宋_gb2312"/>
          <w:kern w:val="0"/>
          <w:sz w:val="33"/>
          <w:szCs w:val="33"/>
          <w:lang w:val="en-US" w:eastAsia="zh-CN" w:bidi="ar"/>
        </w:rPr>
        <w:t>指机关事业单位实施养老保险制度由单位缴纳的基本养老保险费支出。</w:t>
      </w:r>
    </w:p>
    <w:p>
      <w:pPr>
        <w:pStyle w:val="2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住房保障支出（类）住房改革支出（款）住房公积金（项）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指反映行政事业单位按</w:t>
      </w:r>
      <w:r>
        <w:rPr>
          <w:rFonts w:hint="eastAsia" w:ascii="Times New Roman" w:hAnsi="Times New Roman" w:eastAsia="仿宋_GB2312" w:cs="Times New Roman"/>
          <w:sz w:val="32"/>
          <w:szCs w:val="32"/>
        </w:rPr>
        <w:t>人力资源和社会保障部</w:t>
      </w:r>
      <w:r>
        <w:rPr>
          <w:rFonts w:ascii="Times New Roman" w:hAnsi="Times New Roman" w:eastAsia="仿宋_GB2312" w:cs="Times New Roman"/>
          <w:sz w:val="32"/>
          <w:szCs w:val="32"/>
        </w:rPr>
        <w:t>、财政部门规定的基本工资和津贴补贴以及规定比例为职工缴纳的住房公积金。</w:t>
      </w:r>
    </w:p>
    <w:p>
      <w:pPr>
        <w:ind w:firstLine="640" w:firstLineChars="200"/>
        <w:rPr>
          <w:rFonts w:ascii="仿宋_GB2312" w:eastAsia="仿宋_GB2312"/>
          <w:sz w:val="32"/>
          <w:szCs w:val="32"/>
        </w:rPr>
      </w:pPr>
      <w:r>
        <w:rPr>
          <w:rFonts w:hint="eastAsia" w:eastAsia="仿宋_GB2312"/>
          <w:color w:val="000000"/>
          <w:kern w:val="0"/>
          <w:sz w:val="32"/>
          <w:szCs w:val="32"/>
          <w:lang w:val="en-US" w:eastAsia="zh-CN"/>
        </w:rPr>
        <w:t>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10</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宋体" w:hAnsi="宋体" w:eastAsia="宋体" w:cs="宋体"/>
          <w:kern w:val="0"/>
          <w:sz w:val="32"/>
          <w:szCs w:val="32"/>
          <w:lang w:eastAsia="zh-CN"/>
        </w:rPr>
      </w:pPr>
      <w:bookmarkStart w:id="53" w:name="_Toc15396618"/>
      <w:r>
        <w:rPr>
          <w:rFonts w:hint="eastAsia" w:ascii="宋体" w:hAnsi="宋体" w:cs="宋体"/>
          <w:kern w:val="0"/>
          <w:sz w:val="32"/>
          <w:szCs w:val="32"/>
        </w:rPr>
        <w:t>部门预算项目支出绩效自评表（2022年度）见附件</w:t>
      </w:r>
      <w:r>
        <w:rPr>
          <w:rFonts w:hint="eastAsia" w:ascii="宋体" w:hAnsi="宋体" w:cs="宋体"/>
          <w:kern w:val="0"/>
          <w:sz w:val="32"/>
          <w:szCs w:val="32"/>
          <w:lang w:val="en-US" w:eastAsia="zh-CN"/>
        </w:rPr>
        <w:t>1</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w:t>
      </w:r>
    </w:p>
    <w:p>
      <w:pPr>
        <w:pStyle w:val="4"/>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FDE0EA4"/>
    <w:rsid w:val="10C055FF"/>
    <w:rsid w:val="118107EC"/>
    <w:rsid w:val="11DD6519"/>
    <w:rsid w:val="16BB723D"/>
    <w:rsid w:val="18015F3F"/>
    <w:rsid w:val="1BE8440E"/>
    <w:rsid w:val="1D155CEE"/>
    <w:rsid w:val="1FDF3964"/>
    <w:rsid w:val="20F57F95"/>
    <w:rsid w:val="240371BF"/>
    <w:rsid w:val="25711CC6"/>
    <w:rsid w:val="25C741E6"/>
    <w:rsid w:val="27842671"/>
    <w:rsid w:val="29FD04D3"/>
    <w:rsid w:val="2ABE7A3E"/>
    <w:rsid w:val="2B9E8EFF"/>
    <w:rsid w:val="2CA234A8"/>
    <w:rsid w:val="2EFA178C"/>
    <w:rsid w:val="30B46D73"/>
    <w:rsid w:val="319F7F4E"/>
    <w:rsid w:val="383D272C"/>
    <w:rsid w:val="39AE70AB"/>
    <w:rsid w:val="3BDB793E"/>
    <w:rsid w:val="3C0C0783"/>
    <w:rsid w:val="3F3DFCAB"/>
    <w:rsid w:val="3F9F3A96"/>
    <w:rsid w:val="3FEDFA46"/>
    <w:rsid w:val="48BF60AB"/>
    <w:rsid w:val="493C27E9"/>
    <w:rsid w:val="496F39ED"/>
    <w:rsid w:val="49FF41D3"/>
    <w:rsid w:val="4BCF9140"/>
    <w:rsid w:val="4BE068DB"/>
    <w:rsid w:val="4BF6002B"/>
    <w:rsid w:val="4CF1EBAF"/>
    <w:rsid w:val="4DF31930"/>
    <w:rsid w:val="4ECE2238"/>
    <w:rsid w:val="4EFBC66C"/>
    <w:rsid w:val="51DB4B86"/>
    <w:rsid w:val="55333C3E"/>
    <w:rsid w:val="577F8B28"/>
    <w:rsid w:val="5BFF90AC"/>
    <w:rsid w:val="5EFD5A46"/>
    <w:rsid w:val="5F746573"/>
    <w:rsid w:val="5FFBCB9F"/>
    <w:rsid w:val="64BF10C2"/>
    <w:rsid w:val="64CA39A1"/>
    <w:rsid w:val="69630ADE"/>
    <w:rsid w:val="69FEFC0E"/>
    <w:rsid w:val="6C3F6360"/>
    <w:rsid w:val="6C4A05C8"/>
    <w:rsid w:val="6D3B1A89"/>
    <w:rsid w:val="6EBE423B"/>
    <w:rsid w:val="6F7F1802"/>
    <w:rsid w:val="6FA6DCA4"/>
    <w:rsid w:val="71BF4EC2"/>
    <w:rsid w:val="72734D90"/>
    <w:rsid w:val="7412278C"/>
    <w:rsid w:val="74F79D40"/>
    <w:rsid w:val="79E7B28D"/>
    <w:rsid w:val="79F5A62D"/>
    <w:rsid w:val="7BAEE5FE"/>
    <w:rsid w:val="7BBB108E"/>
    <w:rsid w:val="7BFF97AD"/>
    <w:rsid w:val="7CFF31E7"/>
    <w:rsid w:val="7CFF79EF"/>
    <w:rsid w:val="7D2C90DC"/>
    <w:rsid w:val="7DAF7514"/>
    <w:rsid w:val="7DF7922C"/>
    <w:rsid w:val="7F9F20EE"/>
    <w:rsid w:val="7FEFAF11"/>
    <w:rsid w:val="9E3A10E2"/>
    <w:rsid w:val="9FCCE9E1"/>
    <w:rsid w:val="B7FFFF82"/>
    <w:rsid w:val="BFAB1234"/>
    <w:rsid w:val="BFFCCE29"/>
    <w:rsid w:val="C2B7B895"/>
    <w:rsid w:val="CE69705A"/>
    <w:rsid w:val="D7E577F5"/>
    <w:rsid w:val="DBDB0CA6"/>
    <w:rsid w:val="DBFCDC55"/>
    <w:rsid w:val="DCFBDA0F"/>
    <w:rsid w:val="DED74E73"/>
    <w:rsid w:val="DEDE2A9B"/>
    <w:rsid w:val="DF43AAFA"/>
    <w:rsid w:val="E96F2FFF"/>
    <w:rsid w:val="EDBD8204"/>
    <w:rsid w:val="F2E1F9D4"/>
    <w:rsid w:val="F41F2D53"/>
    <w:rsid w:val="F6FDB5A4"/>
    <w:rsid w:val="F7880819"/>
    <w:rsid w:val="F7ED1CC7"/>
    <w:rsid w:val="F85740B5"/>
    <w:rsid w:val="F96B1B5B"/>
    <w:rsid w:val="F9EB4B31"/>
    <w:rsid w:val="F9EBE129"/>
    <w:rsid w:val="FAEEBE70"/>
    <w:rsid w:val="FBBB3AEE"/>
    <w:rsid w:val="FBFB1E7E"/>
    <w:rsid w:val="FE7EB512"/>
    <w:rsid w:val="FEDD70AD"/>
    <w:rsid w:val="FF67469D"/>
    <w:rsid w:val="FF9E368B"/>
    <w:rsid w:val="FF9F40CE"/>
    <w:rsid w:val="FFEBBD08"/>
    <w:rsid w:val="FFF74389"/>
    <w:rsid w:val="FFFF3097"/>
    <w:rsid w:val="FFFF3E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4</TotalTime>
  <ScaleCrop>false</ScaleCrop>
  <LinksUpToDate>false</LinksUpToDate>
  <CharactersWithSpaces>5901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user</cp:lastModifiedBy>
  <cp:lastPrinted>2023-08-01T18:35:00Z</cp:lastPrinted>
  <dcterms:modified xsi:type="dcterms:W3CDTF">2023-09-13T08:50:26Z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