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0"/>
        <w:rPr>
          <w:rFonts w:ascii="方正小标宋简体" w:hAnsi="宋体" w:eastAsia="方正小标宋简体"/>
          <w:szCs w:val="21"/>
        </w:rPr>
      </w:pPr>
      <w:bookmarkStart w:id="0" w:name="_Toc15306267"/>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1" w:name="_Toc15396475"/>
      <w:bookmarkStart w:id="2" w:name="_Toc15396597"/>
      <w:bookmarkStart w:id="3" w:name="_Toc15377193"/>
      <w:bookmarkStart w:id="4" w:name="_Toc15377425"/>
      <w:bookmarkStart w:id="5" w:name="_Toc15378441"/>
      <w:r>
        <w:rPr>
          <w:rFonts w:hint="eastAsia" w:ascii="方正小标宋简体" w:hAnsi="方正小标宋简体" w:eastAsia="方正小标宋简体" w:cs="方正小标宋简体"/>
          <w:sz w:val="72"/>
          <w:szCs w:val="72"/>
        </w:rPr>
        <w:t>2022年度</w:t>
      </w:r>
      <w:bookmarkEnd w:id="1"/>
      <w:bookmarkEnd w:id="2"/>
      <w:bookmarkEnd w:id="3"/>
      <w:bookmarkEnd w:id="4"/>
      <w:bookmarkEnd w:id="5"/>
    </w:p>
    <w:bookmarkEnd w:id="0"/>
    <w:p>
      <w:pPr>
        <w:adjustRightInd w:val="0"/>
        <w:snapToGrid w:val="0"/>
        <w:spacing w:line="360" w:lineRule="auto"/>
        <w:jc w:val="center"/>
        <w:outlineLvl w:val="0"/>
        <w:rPr>
          <w:rFonts w:hint="eastAsia" w:ascii="方正小标宋简体" w:hAnsi="方正小标宋简体" w:eastAsia="方正小标宋简体" w:cs="方正小标宋简体"/>
          <w:spacing w:val="-20"/>
          <w:sz w:val="72"/>
          <w:szCs w:val="72"/>
        </w:rPr>
      </w:pPr>
      <w:bookmarkStart w:id="6" w:name="_Toc15396476"/>
      <w:bookmarkStart w:id="7" w:name="_Toc15306268"/>
      <w:bookmarkStart w:id="8" w:name="_Toc15378442"/>
      <w:bookmarkStart w:id="9" w:name="_Toc15377194"/>
      <w:bookmarkStart w:id="10" w:name="_Toc15377426"/>
      <w:bookmarkStart w:id="11" w:name="_Toc15396598"/>
      <w:r>
        <w:rPr>
          <w:rFonts w:hint="eastAsia" w:ascii="方正小标宋简体" w:hAnsi="方正小标宋简体" w:eastAsia="方正小标宋简体" w:cs="方正小标宋简体"/>
          <w:spacing w:val="-20"/>
          <w:sz w:val="72"/>
          <w:szCs w:val="72"/>
        </w:rPr>
        <w:t>攀枝花市决策咨询服务中心</w:t>
      </w:r>
    </w:p>
    <w:p>
      <w:pPr>
        <w:adjustRightInd w:val="0"/>
        <w:snapToGrid w:val="0"/>
        <w:spacing w:line="360" w:lineRule="auto"/>
        <w:jc w:val="center"/>
        <w:outlineLvl w:val="0"/>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单位决算</w:t>
      </w:r>
      <w:bookmarkEnd w:id="6"/>
      <w:bookmarkEnd w:id="7"/>
      <w:bookmarkEnd w:id="8"/>
      <w:bookmarkEnd w:id="9"/>
      <w:bookmarkEnd w:id="10"/>
      <w:bookmarkEnd w:id="11"/>
    </w:p>
    <w:p>
      <w:pPr>
        <w:widowControl/>
        <w:jc w:val="center"/>
        <w:rPr>
          <w:rFonts w:ascii="黑体" w:hAnsi="黑体" w:eastAsia="黑体"/>
          <w:sz w:val="48"/>
          <w:szCs w:val="48"/>
        </w:rPr>
      </w:pPr>
      <w:r>
        <w:rPr>
          <w:rFonts w:ascii="方正小标宋简体" w:hAnsi="宋体" w:eastAsia="方正小标宋简体"/>
          <w:sz w:val="36"/>
          <w:szCs w:val="36"/>
        </w:rPr>
        <w:br w:type="page"/>
      </w:r>
      <w:r>
        <w:rPr>
          <w:rFonts w:hint="eastAsia" w:ascii="黑体" w:hAnsi="黑体" w:eastAsia="黑体"/>
          <w:sz w:val="48"/>
          <w:szCs w:val="48"/>
        </w:rPr>
        <w:t>目录</w:t>
      </w:r>
    </w:p>
    <w:p>
      <w:pPr>
        <w:widowControl/>
        <w:jc w:val="center"/>
        <w:rPr>
          <w:rFonts w:ascii="黑体" w:hAnsi="黑体" w:eastAsia="黑体" w:cstheme="minorBidi"/>
          <w:sz w:val="28"/>
          <w:szCs w:val="28"/>
        </w:rPr>
      </w:pPr>
    </w:p>
    <w:p>
      <w:pPr>
        <w:pStyle w:val="10"/>
      </w:pPr>
      <w:r>
        <w:rPr>
          <w:rFonts w:hint="eastAsia"/>
        </w:rPr>
        <w:t>公开时间：2023年9月</w:t>
      </w:r>
      <w:r>
        <w:t>1</w:t>
      </w:r>
      <w:r>
        <w:rPr>
          <w:rFonts w:hint="default"/>
          <w:lang w:val="en"/>
        </w:rPr>
        <w:t>4</w:t>
      </w:r>
      <w:bookmarkStart w:id="67" w:name="_GoBack"/>
      <w:bookmarkEnd w:id="67"/>
      <w:r>
        <w:rPr>
          <w:rFonts w:hint="eastAsia"/>
        </w:rPr>
        <w:t>日</w:t>
      </w:r>
    </w:p>
    <w:p/>
    <w:p>
      <w:pPr>
        <w:pStyle w:val="10"/>
        <w:adjustRightInd w:val="0"/>
        <w:snapToGrid w:val="0"/>
        <w:spacing w:before="0" w:line="440" w:lineRule="exact"/>
        <w:jc w:val="left"/>
        <w:rPr>
          <w:rFonts w:hint="eastAsia" w:eastAsia="仿宋" w:cstheme="minorBidi"/>
          <w:sz w:val="24"/>
          <w:szCs w:val="24"/>
          <w:lang w:val="en-US" w:eastAsia="zh-CN"/>
        </w:rPr>
      </w:pPr>
      <w:r>
        <w:rPr>
          <w:rFonts w:hint="eastAsia"/>
          <w:sz w:val="24"/>
        </w:rPr>
        <w:t>第一部分</w:t>
      </w:r>
      <w:r>
        <w:rPr>
          <w:sz w:val="24"/>
        </w:rPr>
        <w:t xml:space="preserve"> </w:t>
      </w:r>
      <w:r>
        <w:rPr>
          <w:rFonts w:hint="eastAsia"/>
          <w:sz w:val="24"/>
        </w:rPr>
        <w:t>单位概况</w:t>
      </w:r>
      <w:r>
        <w:rPr>
          <w:rFonts w:cstheme="minorBidi"/>
          <w:sz w:val="24"/>
          <w:szCs w:val="24"/>
        </w:rPr>
        <w:tab/>
      </w:r>
      <w:r>
        <w:rPr>
          <w:rFonts w:hint="eastAsia" w:cstheme="minorBidi"/>
          <w:sz w:val="24"/>
          <w:szCs w:val="24"/>
          <w:lang w:val="en-US" w:eastAsia="zh-CN"/>
        </w:rPr>
        <w:t>4</w:t>
      </w:r>
    </w:p>
    <w:p>
      <w:pPr>
        <w:pStyle w:val="11"/>
        <w:adjustRightInd w:val="0"/>
        <w:snapToGrid w:val="0"/>
        <w:spacing w:line="440" w:lineRule="exact"/>
        <w:jc w:val="left"/>
        <w:rPr>
          <w:rFonts w:hint="eastAsia" w:eastAsia="宋体"/>
          <w:sz w:val="24"/>
          <w:lang w:val="en-US" w:eastAsia="zh-CN"/>
        </w:rPr>
      </w:pPr>
      <w:r>
        <w:rPr>
          <w:rFonts w:hint="eastAsia"/>
          <w:sz w:val="24"/>
        </w:rPr>
        <w:t>一、主要职责</w:t>
      </w:r>
      <w:r>
        <w:rPr>
          <w:rFonts w:cstheme="minorBidi"/>
          <w:sz w:val="24"/>
        </w:rPr>
        <w:tab/>
      </w:r>
      <w:r>
        <w:rPr>
          <w:rFonts w:hint="eastAsia" w:cstheme="minorBidi"/>
          <w:sz w:val="24"/>
          <w:lang w:val="en-US" w:eastAsia="zh-CN"/>
        </w:rPr>
        <w:t>4</w:t>
      </w:r>
    </w:p>
    <w:p>
      <w:pPr>
        <w:pStyle w:val="11"/>
        <w:adjustRightInd w:val="0"/>
        <w:snapToGrid w:val="0"/>
        <w:spacing w:line="440" w:lineRule="exact"/>
        <w:jc w:val="left"/>
        <w:rPr>
          <w:rFonts w:hint="eastAsia" w:eastAsia="宋体"/>
          <w:lang w:val="en-US" w:eastAsia="zh-CN"/>
        </w:rPr>
      </w:pPr>
      <w:r>
        <w:rPr>
          <w:rFonts w:hint="eastAsia"/>
          <w:sz w:val="24"/>
        </w:rPr>
        <w:t>二、机构设置</w:t>
      </w:r>
      <w:r>
        <w:rPr>
          <w:rFonts w:cstheme="minorBidi"/>
          <w:sz w:val="24"/>
        </w:rPr>
        <w:tab/>
      </w:r>
      <w:r>
        <w:rPr>
          <w:rFonts w:hint="eastAsia" w:cstheme="minorBidi"/>
          <w:sz w:val="24"/>
          <w:lang w:val="en-US" w:eastAsia="zh-CN"/>
        </w:rPr>
        <w:t>5</w:t>
      </w:r>
    </w:p>
    <w:p>
      <w:pPr>
        <w:pStyle w:val="10"/>
        <w:adjustRightInd w:val="0"/>
        <w:snapToGrid w:val="0"/>
        <w:spacing w:before="0" w:line="440" w:lineRule="exact"/>
        <w:jc w:val="left"/>
        <w:rPr>
          <w:rFonts w:hint="eastAsia" w:eastAsia="仿宋"/>
          <w:sz w:val="24"/>
          <w:szCs w:val="24"/>
          <w:lang w:val="en-US" w:eastAsia="zh-CN"/>
        </w:rPr>
      </w:pPr>
      <w:r>
        <w:rPr>
          <w:rFonts w:hint="eastAsia"/>
          <w:sz w:val="24"/>
        </w:rPr>
        <w:t>第二部分 2022年度单位决算情况说明</w:t>
      </w:r>
      <w:r>
        <w:rPr>
          <w:rFonts w:cstheme="minorBidi"/>
          <w:sz w:val="24"/>
        </w:rPr>
        <w:tab/>
      </w:r>
      <w:r>
        <w:rPr>
          <w:rFonts w:hint="eastAsia" w:cstheme="minorBidi"/>
          <w:sz w:val="24"/>
          <w:lang w:val="en-US" w:eastAsia="zh-CN"/>
        </w:rPr>
        <w:t>6</w:t>
      </w:r>
    </w:p>
    <w:p>
      <w:pPr>
        <w:pStyle w:val="11"/>
        <w:adjustRightInd w:val="0"/>
        <w:snapToGrid w:val="0"/>
        <w:spacing w:line="440" w:lineRule="exact"/>
        <w:jc w:val="left"/>
        <w:rPr>
          <w:rFonts w:hint="eastAsia" w:ascii="仿宋" w:hAnsi="仿宋" w:eastAsia="宋体" w:cstheme="minorBidi"/>
          <w:sz w:val="24"/>
          <w:lang w:val="en-US" w:eastAsia="zh-CN"/>
        </w:rPr>
      </w:pPr>
      <w:r>
        <w:rPr>
          <w:rFonts w:hint="eastAsia"/>
          <w:sz w:val="24"/>
        </w:rPr>
        <w:t>一、收入支出决算总体情况说明</w:t>
      </w:r>
      <w:r>
        <w:rPr>
          <w:rFonts w:cstheme="minorBidi"/>
          <w:sz w:val="24"/>
        </w:rPr>
        <w:tab/>
      </w:r>
      <w:r>
        <w:rPr>
          <w:rFonts w:hint="eastAsia" w:cstheme="minorBidi"/>
          <w:sz w:val="24"/>
          <w:lang w:val="en-US" w:eastAsia="zh-CN"/>
        </w:rPr>
        <w:t>6</w:t>
      </w:r>
    </w:p>
    <w:p>
      <w:pPr>
        <w:pStyle w:val="11"/>
        <w:adjustRightInd w:val="0"/>
        <w:snapToGrid w:val="0"/>
        <w:spacing w:line="440" w:lineRule="exact"/>
        <w:jc w:val="left"/>
        <w:rPr>
          <w:rFonts w:hint="eastAsia" w:ascii="仿宋" w:hAnsi="仿宋" w:eastAsia="宋体" w:cstheme="minorBidi"/>
          <w:sz w:val="24"/>
          <w:lang w:val="en-US" w:eastAsia="zh-CN"/>
        </w:rPr>
      </w:pPr>
      <w:r>
        <w:rPr>
          <w:rFonts w:hint="eastAsia"/>
          <w:sz w:val="24"/>
        </w:rPr>
        <w:t>二、收入决算情况说明</w:t>
      </w:r>
      <w:r>
        <w:rPr>
          <w:rFonts w:cstheme="minorBidi"/>
          <w:sz w:val="24"/>
        </w:rPr>
        <w:tab/>
      </w:r>
      <w:r>
        <w:rPr>
          <w:rFonts w:hint="eastAsia" w:cstheme="minorBidi"/>
          <w:sz w:val="24"/>
          <w:lang w:val="en-US" w:eastAsia="zh-CN"/>
        </w:rPr>
        <w:t>6</w:t>
      </w:r>
    </w:p>
    <w:p>
      <w:pPr>
        <w:pStyle w:val="11"/>
        <w:adjustRightInd w:val="0"/>
        <w:snapToGrid w:val="0"/>
        <w:spacing w:line="440" w:lineRule="exact"/>
        <w:jc w:val="left"/>
        <w:rPr>
          <w:rFonts w:hint="eastAsia" w:ascii="仿宋" w:hAnsi="仿宋" w:eastAsia="宋体" w:cstheme="minorBidi"/>
          <w:sz w:val="24"/>
          <w:lang w:val="en-US" w:eastAsia="zh-CN"/>
        </w:rPr>
      </w:pPr>
      <w:r>
        <w:rPr>
          <w:rFonts w:hint="eastAsia"/>
          <w:sz w:val="24"/>
        </w:rPr>
        <w:t>三、支出决算情况说明</w:t>
      </w:r>
      <w:r>
        <w:rPr>
          <w:rFonts w:cstheme="minorBidi"/>
          <w:sz w:val="24"/>
        </w:rPr>
        <w:tab/>
      </w:r>
      <w:r>
        <w:rPr>
          <w:rFonts w:hint="eastAsia" w:cstheme="minorBidi"/>
          <w:sz w:val="24"/>
          <w:lang w:val="en-US" w:eastAsia="zh-CN"/>
        </w:rPr>
        <w:t>7</w:t>
      </w:r>
    </w:p>
    <w:p>
      <w:pPr>
        <w:pStyle w:val="11"/>
        <w:adjustRightInd w:val="0"/>
        <w:snapToGrid w:val="0"/>
        <w:spacing w:line="440" w:lineRule="exact"/>
        <w:jc w:val="left"/>
        <w:rPr>
          <w:rFonts w:hint="eastAsia" w:ascii="仿宋" w:hAnsi="仿宋" w:eastAsia="宋体" w:cstheme="minorBidi"/>
          <w:sz w:val="24"/>
          <w:lang w:val="en-US" w:eastAsia="zh-CN"/>
        </w:rPr>
      </w:pPr>
      <w:r>
        <w:rPr>
          <w:rFonts w:hint="eastAsia"/>
          <w:sz w:val="24"/>
        </w:rPr>
        <w:t>四、财政拨款收入支出决算总体情况说明</w:t>
      </w:r>
      <w:r>
        <w:rPr>
          <w:rFonts w:cstheme="minorBidi"/>
          <w:sz w:val="24"/>
        </w:rPr>
        <w:tab/>
      </w:r>
      <w:r>
        <w:rPr>
          <w:rFonts w:hint="eastAsia" w:cstheme="minorBidi"/>
          <w:sz w:val="24"/>
          <w:lang w:val="en-US" w:eastAsia="zh-CN"/>
        </w:rPr>
        <w:t>7</w:t>
      </w:r>
    </w:p>
    <w:p>
      <w:pPr>
        <w:pStyle w:val="11"/>
        <w:adjustRightInd w:val="0"/>
        <w:snapToGrid w:val="0"/>
        <w:spacing w:line="440" w:lineRule="exact"/>
        <w:jc w:val="left"/>
        <w:rPr>
          <w:rFonts w:hint="eastAsia" w:ascii="仿宋" w:hAnsi="仿宋" w:eastAsia="宋体" w:cstheme="minorBidi"/>
          <w:sz w:val="24"/>
          <w:lang w:val="en-US" w:eastAsia="zh-CN"/>
        </w:rPr>
      </w:pPr>
      <w:r>
        <w:rPr>
          <w:rFonts w:hint="eastAsia"/>
          <w:sz w:val="24"/>
        </w:rPr>
        <w:t>五、一般公共预算财政拨款支出决算情况说明</w:t>
      </w:r>
      <w:r>
        <w:rPr>
          <w:rFonts w:cstheme="minorBidi"/>
          <w:sz w:val="24"/>
        </w:rPr>
        <w:tab/>
      </w:r>
      <w:r>
        <w:rPr>
          <w:rFonts w:hint="eastAsia" w:cstheme="minorBidi"/>
          <w:sz w:val="24"/>
          <w:lang w:val="en-US" w:eastAsia="zh-CN"/>
        </w:rPr>
        <w:t>8</w:t>
      </w:r>
    </w:p>
    <w:p>
      <w:pPr>
        <w:pStyle w:val="11"/>
        <w:adjustRightInd w:val="0"/>
        <w:snapToGrid w:val="0"/>
        <w:spacing w:line="440" w:lineRule="exact"/>
        <w:jc w:val="left"/>
        <w:rPr>
          <w:rFonts w:hint="default" w:ascii="仿宋" w:hAnsi="仿宋" w:eastAsia="宋体" w:cstheme="minorBidi"/>
          <w:sz w:val="24"/>
          <w:lang w:val="en-US" w:eastAsia="zh-CN"/>
        </w:rPr>
      </w:pPr>
      <w:r>
        <w:rPr>
          <w:rFonts w:hint="eastAsia"/>
          <w:sz w:val="24"/>
        </w:rPr>
        <w:t>六、一般公共预算财政拨款基本支出决算情况说明</w:t>
      </w:r>
      <w:r>
        <w:rPr>
          <w:rFonts w:cstheme="minorBidi"/>
          <w:sz w:val="24"/>
        </w:rPr>
        <w:tab/>
      </w:r>
      <w:r>
        <w:rPr>
          <w:rFonts w:hint="eastAsia" w:cstheme="minorBidi"/>
          <w:sz w:val="24"/>
          <w:lang w:val="en-US" w:eastAsia="zh-CN"/>
        </w:rPr>
        <w:t>10</w:t>
      </w:r>
    </w:p>
    <w:p>
      <w:pPr>
        <w:pStyle w:val="11"/>
        <w:adjustRightInd w:val="0"/>
        <w:snapToGrid w:val="0"/>
        <w:spacing w:line="440" w:lineRule="exact"/>
        <w:jc w:val="left"/>
        <w:rPr>
          <w:rFonts w:hint="default" w:ascii="仿宋" w:hAnsi="仿宋" w:eastAsia="宋体" w:cstheme="minorBidi"/>
          <w:sz w:val="24"/>
          <w:lang w:val="en-US" w:eastAsia="zh-CN"/>
        </w:rPr>
      </w:pPr>
      <w:r>
        <w:rPr>
          <w:rFonts w:hint="eastAsia"/>
          <w:sz w:val="24"/>
        </w:rPr>
        <w:t>七、财政拨款“三公”经费支出决算情况说明</w:t>
      </w:r>
      <w:r>
        <w:rPr>
          <w:rFonts w:cstheme="minorBidi"/>
          <w:sz w:val="24"/>
        </w:rPr>
        <w:tab/>
      </w:r>
      <w:r>
        <w:rPr>
          <w:rFonts w:hint="eastAsia" w:cstheme="minorBidi"/>
          <w:sz w:val="24"/>
          <w:lang w:val="en-US" w:eastAsia="zh-CN"/>
        </w:rPr>
        <w:t>10</w:t>
      </w:r>
    </w:p>
    <w:p>
      <w:pPr>
        <w:pStyle w:val="11"/>
        <w:adjustRightInd w:val="0"/>
        <w:snapToGrid w:val="0"/>
        <w:spacing w:line="440" w:lineRule="exact"/>
        <w:jc w:val="left"/>
        <w:rPr>
          <w:rFonts w:hint="default" w:ascii="仿宋" w:hAnsi="仿宋" w:eastAsia="宋体" w:cstheme="minorBidi"/>
          <w:sz w:val="24"/>
          <w:lang w:val="en-US" w:eastAsia="zh-CN"/>
        </w:rPr>
      </w:pPr>
      <w:r>
        <w:rPr>
          <w:rFonts w:hint="eastAsia"/>
          <w:sz w:val="24"/>
        </w:rPr>
        <w:t>八、政府性基金预算支出决算情况说明</w:t>
      </w:r>
      <w:r>
        <w:rPr>
          <w:rFonts w:cstheme="minorBidi"/>
          <w:sz w:val="24"/>
        </w:rPr>
        <w:tab/>
      </w:r>
      <w:r>
        <w:rPr>
          <w:rFonts w:hint="eastAsia" w:cstheme="minorBidi"/>
          <w:sz w:val="24"/>
          <w:lang w:val="en-US" w:eastAsia="zh-CN"/>
        </w:rPr>
        <w:t>11</w:t>
      </w:r>
    </w:p>
    <w:p>
      <w:pPr>
        <w:pStyle w:val="11"/>
        <w:adjustRightInd w:val="0"/>
        <w:snapToGrid w:val="0"/>
        <w:spacing w:line="440" w:lineRule="exact"/>
        <w:jc w:val="left"/>
        <w:rPr>
          <w:rFonts w:hint="default" w:eastAsia="宋体"/>
          <w:sz w:val="24"/>
          <w:lang w:val="en-US" w:eastAsia="zh-CN"/>
        </w:rPr>
      </w:pPr>
      <w:r>
        <w:rPr>
          <w:rFonts w:hint="eastAsia"/>
          <w:sz w:val="24"/>
        </w:rPr>
        <w:t>九、国有资本经营预算支出决算情况说明</w:t>
      </w:r>
      <w:r>
        <w:rPr>
          <w:rFonts w:cstheme="minorBidi"/>
          <w:sz w:val="24"/>
        </w:rPr>
        <w:tab/>
      </w:r>
      <w:r>
        <w:rPr>
          <w:rFonts w:hint="eastAsia" w:cstheme="minorBidi"/>
          <w:sz w:val="24"/>
          <w:lang w:val="en-US" w:eastAsia="zh-CN"/>
        </w:rPr>
        <w:t>11</w:t>
      </w:r>
    </w:p>
    <w:p>
      <w:pPr>
        <w:pStyle w:val="11"/>
        <w:adjustRightInd w:val="0"/>
        <w:snapToGrid w:val="0"/>
        <w:spacing w:line="440" w:lineRule="exact"/>
        <w:jc w:val="left"/>
        <w:rPr>
          <w:rFonts w:hint="default" w:eastAsia="宋体"/>
          <w:sz w:val="24"/>
          <w:lang w:val="en-US" w:eastAsia="zh-CN"/>
        </w:rPr>
      </w:pPr>
      <w:r>
        <w:rPr>
          <w:rFonts w:hint="eastAsia"/>
          <w:sz w:val="24"/>
        </w:rPr>
        <w:t>十、其他重要事项的情况说明</w:t>
      </w:r>
      <w:r>
        <w:rPr>
          <w:rFonts w:cstheme="minorBidi"/>
          <w:sz w:val="24"/>
        </w:rPr>
        <w:tab/>
      </w:r>
      <w:r>
        <w:rPr>
          <w:rFonts w:hint="eastAsia" w:cstheme="minorBidi"/>
          <w:sz w:val="24"/>
          <w:lang w:val="en-US" w:eastAsia="zh-CN"/>
        </w:rPr>
        <w:t>11</w:t>
      </w:r>
    </w:p>
    <w:p>
      <w:pPr>
        <w:pStyle w:val="10"/>
        <w:adjustRightInd w:val="0"/>
        <w:snapToGrid w:val="0"/>
        <w:spacing w:before="0" w:line="440" w:lineRule="exact"/>
        <w:jc w:val="left"/>
        <w:rPr>
          <w:rFonts w:hint="default" w:eastAsia="仿宋" w:cstheme="minorBidi"/>
          <w:sz w:val="24"/>
          <w:szCs w:val="24"/>
          <w:lang w:val="en-US" w:eastAsia="zh-CN"/>
        </w:rPr>
      </w:pPr>
      <w:r>
        <w:rPr>
          <w:rFonts w:hint="eastAsia"/>
          <w:sz w:val="24"/>
        </w:rPr>
        <w:t>第三部分</w:t>
      </w:r>
      <w:r>
        <w:rPr>
          <w:sz w:val="24"/>
        </w:rPr>
        <w:t xml:space="preserve"> </w:t>
      </w:r>
      <w:r>
        <w:rPr>
          <w:rFonts w:hint="eastAsia"/>
          <w:sz w:val="24"/>
        </w:rPr>
        <w:t>名词解释</w:t>
      </w:r>
      <w:r>
        <w:rPr>
          <w:rFonts w:cstheme="minorBidi"/>
          <w:sz w:val="24"/>
        </w:rPr>
        <w:tab/>
      </w:r>
      <w:r>
        <w:rPr>
          <w:rFonts w:hint="eastAsia" w:cstheme="minorBidi"/>
          <w:sz w:val="24"/>
          <w:lang w:val="en-US" w:eastAsia="zh-CN"/>
        </w:rPr>
        <w:t>13</w:t>
      </w:r>
    </w:p>
    <w:p>
      <w:pPr>
        <w:pStyle w:val="10"/>
        <w:adjustRightInd w:val="0"/>
        <w:snapToGrid w:val="0"/>
        <w:spacing w:before="0" w:line="440" w:lineRule="exact"/>
        <w:jc w:val="left"/>
        <w:rPr>
          <w:rFonts w:hint="default" w:eastAsia="仿宋" w:cstheme="minorBidi"/>
          <w:sz w:val="24"/>
          <w:szCs w:val="24"/>
          <w:lang w:val="en-US" w:eastAsia="zh-CN"/>
        </w:rPr>
      </w:pPr>
      <w:r>
        <w:rPr>
          <w:rFonts w:hint="eastAsia"/>
          <w:sz w:val="24"/>
        </w:rPr>
        <w:t>第四部分</w:t>
      </w:r>
      <w:r>
        <w:rPr>
          <w:sz w:val="24"/>
        </w:rPr>
        <w:t xml:space="preserve"> </w:t>
      </w:r>
      <w:r>
        <w:rPr>
          <w:rFonts w:hint="eastAsia"/>
          <w:sz w:val="24"/>
        </w:rPr>
        <w:t>附件</w:t>
      </w:r>
      <w:r>
        <w:rPr>
          <w:rFonts w:cstheme="minorBidi"/>
          <w:sz w:val="24"/>
        </w:rPr>
        <w:tab/>
      </w:r>
      <w:r>
        <w:rPr>
          <w:rFonts w:hint="eastAsia" w:cstheme="minorBidi"/>
          <w:sz w:val="24"/>
          <w:lang w:val="en-US" w:eastAsia="zh-CN"/>
        </w:rPr>
        <w:t>14</w:t>
      </w:r>
    </w:p>
    <w:p>
      <w:pPr>
        <w:pStyle w:val="10"/>
        <w:adjustRightInd w:val="0"/>
        <w:snapToGrid w:val="0"/>
        <w:spacing w:before="0" w:line="440" w:lineRule="exact"/>
        <w:jc w:val="left"/>
        <w:rPr>
          <w:rFonts w:hint="default" w:eastAsia="仿宋" w:cstheme="minorBidi"/>
          <w:sz w:val="24"/>
          <w:szCs w:val="24"/>
          <w:lang w:val="en-US" w:eastAsia="zh-CN"/>
        </w:rPr>
      </w:pPr>
      <w:r>
        <w:rPr>
          <w:rFonts w:hint="eastAsia"/>
          <w:sz w:val="24"/>
        </w:rPr>
        <w:t>第五部分</w:t>
      </w:r>
      <w:r>
        <w:rPr>
          <w:sz w:val="24"/>
        </w:rPr>
        <w:t xml:space="preserve"> </w:t>
      </w:r>
      <w:r>
        <w:rPr>
          <w:rFonts w:hint="eastAsia"/>
          <w:sz w:val="24"/>
        </w:rPr>
        <w:t>附表</w:t>
      </w:r>
      <w:r>
        <w:rPr>
          <w:rFonts w:cstheme="minorBidi"/>
          <w:sz w:val="24"/>
        </w:rPr>
        <w:tab/>
      </w:r>
      <w:r>
        <w:rPr>
          <w:rFonts w:hint="eastAsia" w:cstheme="minorBidi"/>
          <w:sz w:val="24"/>
          <w:lang w:val="en-US" w:eastAsia="zh-CN"/>
        </w:rPr>
        <w:t>15</w:t>
      </w:r>
    </w:p>
    <w:p>
      <w:pPr>
        <w:pStyle w:val="11"/>
        <w:adjustRightInd w:val="0"/>
        <w:snapToGrid w:val="0"/>
        <w:spacing w:line="440" w:lineRule="exact"/>
        <w:jc w:val="left"/>
        <w:rPr>
          <w:rFonts w:hint="default" w:eastAsia="宋体"/>
          <w:sz w:val="24"/>
          <w:lang w:val="en-US" w:eastAsia="zh-CN"/>
        </w:rPr>
      </w:pPr>
      <w:r>
        <w:rPr>
          <w:rFonts w:hint="eastAsia"/>
          <w:sz w:val="24"/>
        </w:rPr>
        <w:t>一、收入支出决算总表</w:t>
      </w:r>
      <w:r>
        <w:rPr>
          <w:rFonts w:cstheme="minorBidi"/>
          <w:sz w:val="24"/>
        </w:rPr>
        <w:tab/>
      </w:r>
      <w:r>
        <w:rPr>
          <w:rFonts w:hint="eastAsia" w:cstheme="minorBidi"/>
          <w:sz w:val="24"/>
          <w:lang w:val="en-US" w:eastAsia="zh-CN"/>
        </w:rPr>
        <w:t>15</w:t>
      </w:r>
    </w:p>
    <w:p>
      <w:pPr>
        <w:pStyle w:val="11"/>
        <w:adjustRightInd w:val="0"/>
        <w:snapToGrid w:val="0"/>
        <w:spacing w:line="440" w:lineRule="exact"/>
        <w:jc w:val="left"/>
        <w:rPr>
          <w:rFonts w:hint="default" w:eastAsia="宋体"/>
          <w:sz w:val="24"/>
          <w:lang w:val="en-US" w:eastAsia="zh-CN"/>
        </w:rPr>
      </w:pPr>
      <w:r>
        <w:rPr>
          <w:rFonts w:hint="eastAsia"/>
          <w:sz w:val="24"/>
        </w:rPr>
        <w:t>二、收入决算表</w:t>
      </w:r>
      <w:r>
        <w:rPr>
          <w:rFonts w:cstheme="minorBidi"/>
          <w:sz w:val="24"/>
        </w:rPr>
        <w:tab/>
      </w:r>
      <w:r>
        <w:rPr>
          <w:rFonts w:hint="eastAsia" w:cstheme="minorBidi"/>
          <w:sz w:val="24"/>
          <w:lang w:val="en-US" w:eastAsia="zh-CN"/>
        </w:rPr>
        <w:t>15</w:t>
      </w:r>
    </w:p>
    <w:p>
      <w:pPr>
        <w:pStyle w:val="11"/>
        <w:adjustRightInd w:val="0"/>
        <w:snapToGrid w:val="0"/>
        <w:spacing w:line="440" w:lineRule="exact"/>
        <w:jc w:val="left"/>
        <w:rPr>
          <w:rFonts w:hint="default" w:eastAsia="宋体"/>
          <w:sz w:val="24"/>
          <w:lang w:val="en-US" w:eastAsia="zh-CN"/>
        </w:rPr>
      </w:pPr>
      <w:r>
        <w:rPr>
          <w:rFonts w:hint="eastAsia"/>
          <w:sz w:val="24"/>
        </w:rPr>
        <w:t>三、支出决算表</w:t>
      </w:r>
      <w:r>
        <w:rPr>
          <w:rFonts w:cstheme="minorBidi"/>
          <w:sz w:val="24"/>
        </w:rPr>
        <w:tab/>
      </w:r>
      <w:r>
        <w:rPr>
          <w:rFonts w:hint="eastAsia" w:cstheme="minorBidi"/>
          <w:sz w:val="24"/>
          <w:lang w:val="en-US" w:eastAsia="zh-CN"/>
        </w:rPr>
        <w:t>15</w:t>
      </w:r>
    </w:p>
    <w:p>
      <w:pPr>
        <w:pStyle w:val="11"/>
        <w:adjustRightInd w:val="0"/>
        <w:snapToGrid w:val="0"/>
        <w:spacing w:line="440" w:lineRule="exact"/>
        <w:jc w:val="left"/>
        <w:rPr>
          <w:rFonts w:hint="default" w:eastAsia="宋体"/>
          <w:sz w:val="24"/>
          <w:lang w:val="en-US" w:eastAsia="zh-CN"/>
        </w:rPr>
      </w:pPr>
      <w:r>
        <w:rPr>
          <w:rFonts w:hint="eastAsia"/>
          <w:sz w:val="24"/>
        </w:rPr>
        <w:t>四、财政拨款收入支出决算总表</w:t>
      </w:r>
      <w:r>
        <w:rPr>
          <w:rFonts w:cstheme="minorBidi"/>
          <w:sz w:val="24"/>
        </w:rPr>
        <w:tab/>
      </w:r>
      <w:r>
        <w:rPr>
          <w:rFonts w:hint="eastAsia" w:cstheme="minorBidi"/>
          <w:sz w:val="24"/>
          <w:lang w:val="en-US" w:eastAsia="zh-CN"/>
        </w:rPr>
        <w:t>15</w:t>
      </w:r>
    </w:p>
    <w:p>
      <w:pPr>
        <w:pStyle w:val="11"/>
        <w:adjustRightInd w:val="0"/>
        <w:snapToGrid w:val="0"/>
        <w:spacing w:line="440" w:lineRule="exact"/>
        <w:jc w:val="left"/>
        <w:rPr>
          <w:rFonts w:hint="default" w:eastAsia="宋体"/>
          <w:sz w:val="24"/>
          <w:lang w:val="en-US" w:eastAsia="zh-CN"/>
        </w:rPr>
      </w:pPr>
      <w:r>
        <w:rPr>
          <w:rFonts w:hint="eastAsia"/>
          <w:sz w:val="24"/>
        </w:rPr>
        <w:t>五、财政拨款支出决算明细表</w:t>
      </w:r>
      <w:r>
        <w:rPr>
          <w:rFonts w:cstheme="minorBidi"/>
          <w:sz w:val="24"/>
        </w:rPr>
        <w:tab/>
      </w:r>
      <w:r>
        <w:rPr>
          <w:rFonts w:hint="eastAsia" w:cstheme="minorBidi"/>
          <w:sz w:val="24"/>
          <w:lang w:val="en-US" w:eastAsia="zh-CN"/>
        </w:rPr>
        <w:t>15</w:t>
      </w:r>
    </w:p>
    <w:p>
      <w:pPr>
        <w:pStyle w:val="11"/>
        <w:adjustRightInd w:val="0"/>
        <w:snapToGrid w:val="0"/>
        <w:spacing w:line="440" w:lineRule="exact"/>
        <w:jc w:val="left"/>
        <w:rPr>
          <w:rFonts w:hint="default" w:eastAsia="宋体"/>
          <w:sz w:val="24"/>
          <w:lang w:val="en-US" w:eastAsia="zh-CN"/>
        </w:rPr>
      </w:pPr>
      <w:r>
        <w:rPr>
          <w:rFonts w:hint="eastAsia"/>
          <w:sz w:val="24"/>
        </w:rPr>
        <w:t>六、一般公共预算财政拨款支出决算表</w:t>
      </w:r>
      <w:r>
        <w:rPr>
          <w:rFonts w:cstheme="minorBidi"/>
          <w:sz w:val="24"/>
        </w:rPr>
        <w:tab/>
      </w:r>
      <w:r>
        <w:rPr>
          <w:rFonts w:hint="eastAsia" w:cstheme="minorBidi"/>
          <w:sz w:val="24"/>
          <w:lang w:val="en-US" w:eastAsia="zh-CN"/>
        </w:rPr>
        <w:t>15</w:t>
      </w:r>
    </w:p>
    <w:p>
      <w:pPr>
        <w:pStyle w:val="11"/>
        <w:adjustRightInd w:val="0"/>
        <w:snapToGrid w:val="0"/>
        <w:spacing w:line="440" w:lineRule="exact"/>
        <w:jc w:val="left"/>
        <w:rPr>
          <w:rFonts w:hint="default" w:eastAsia="宋体"/>
          <w:sz w:val="24"/>
          <w:lang w:val="en-US" w:eastAsia="zh-CN"/>
        </w:rPr>
      </w:pPr>
      <w:r>
        <w:rPr>
          <w:rFonts w:hint="eastAsia"/>
          <w:sz w:val="24"/>
        </w:rPr>
        <w:t>七、一般公共预算财政拨款支出决算明细表</w:t>
      </w:r>
      <w:r>
        <w:rPr>
          <w:rFonts w:cstheme="minorBidi"/>
          <w:sz w:val="24"/>
        </w:rPr>
        <w:tab/>
      </w:r>
      <w:r>
        <w:rPr>
          <w:rFonts w:hint="eastAsia" w:cstheme="minorBidi"/>
          <w:sz w:val="24"/>
          <w:lang w:val="en-US" w:eastAsia="zh-CN"/>
        </w:rPr>
        <w:t>15</w:t>
      </w:r>
    </w:p>
    <w:p>
      <w:pPr>
        <w:pStyle w:val="11"/>
        <w:adjustRightInd w:val="0"/>
        <w:snapToGrid w:val="0"/>
        <w:spacing w:line="440" w:lineRule="exact"/>
        <w:jc w:val="left"/>
        <w:rPr>
          <w:rFonts w:hint="default" w:eastAsia="宋体"/>
          <w:sz w:val="24"/>
          <w:lang w:val="en-US" w:eastAsia="zh-CN"/>
        </w:rPr>
      </w:pPr>
      <w:r>
        <w:rPr>
          <w:rFonts w:hint="eastAsia"/>
          <w:sz w:val="24"/>
        </w:rPr>
        <w:t>八、一般公共预算财政拨款基本支出决算明细表</w:t>
      </w:r>
      <w:r>
        <w:rPr>
          <w:rFonts w:cstheme="minorBidi"/>
          <w:sz w:val="24"/>
        </w:rPr>
        <w:tab/>
      </w:r>
      <w:r>
        <w:rPr>
          <w:rFonts w:hint="eastAsia" w:cstheme="minorBidi"/>
          <w:sz w:val="24"/>
          <w:lang w:val="en-US" w:eastAsia="zh-CN"/>
        </w:rPr>
        <w:t>15</w:t>
      </w:r>
    </w:p>
    <w:p>
      <w:pPr>
        <w:pStyle w:val="11"/>
        <w:adjustRightInd w:val="0"/>
        <w:snapToGrid w:val="0"/>
        <w:spacing w:line="440" w:lineRule="exact"/>
        <w:jc w:val="left"/>
        <w:rPr>
          <w:rFonts w:hint="default" w:eastAsia="宋体" w:cstheme="minorBidi"/>
          <w:sz w:val="24"/>
          <w:lang w:val="en-US" w:eastAsia="zh-CN"/>
        </w:rPr>
      </w:pPr>
      <w:r>
        <w:rPr>
          <w:rFonts w:hint="eastAsia"/>
          <w:sz w:val="24"/>
        </w:rPr>
        <w:t>九、一般公共预算财政拨款项目支出决算表</w:t>
      </w:r>
      <w:r>
        <w:rPr>
          <w:rFonts w:cstheme="minorBidi"/>
          <w:sz w:val="24"/>
        </w:rPr>
        <w:tab/>
      </w:r>
      <w:r>
        <w:rPr>
          <w:rFonts w:hint="eastAsia" w:cstheme="minorBidi"/>
          <w:sz w:val="24"/>
          <w:lang w:val="en-US" w:eastAsia="zh-CN"/>
        </w:rPr>
        <w:t>15</w:t>
      </w:r>
    </w:p>
    <w:p>
      <w:pPr>
        <w:pStyle w:val="11"/>
        <w:adjustRightInd w:val="0"/>
        <w:snapToGrid w:val="0"/>
        <w:spacing w:line="440" w:lineRule="exact"/>
        <w:jc w:val="left"/>
        <w:rPr>
          <w:rFonts w:hint="default" w:eastAsia="宋体"/>
          <w:sz w:val="24"/>
          <w:lang w:val="en-US" w:eastAsia="zh-CN"/>
        </w:rPr>
      </w:pPr>
      <w:r>
        <w:rPr>
          <w:rFonts w:hint="eastAsia"/>
          <w:sz w:val="24"/>
        </w:rPr>
        <w:t>十、政府性基金预算财政拨款收入支出决算表</w:t>
      </w:r>
      <w:r>
        <w:rPr>
          <w:rFonts w:cstheme="minorBidi"/>
          <w:sz w:val="24"/>
        </w:rPr>
        <w:tab/>
      </w:r>
      <w:r>
        <w:rPr>
          <w:rFonts w:hint="eastAsia" w:cstheme="minorBidi"/>
          <w:sz w:val="24"/>
          <w:lang w:val="en-US" w:eastAsia="zh-CN"/>
        </w:rPr>
        <w:t>15</w:t>
      </w:r>
    </w:p>
    <w:p>
      <w:pPr>
        <w:pStyle w:val="11"/>
        <w:adjustRightInd w:val="0"/>
        <w:snapToGrid w:val="0"/>
        <w:spacing w:line="440" w:lineRule="exact"/>
        <w:jc w:val="left"/>
        <w:rPr>
          <w:rFonts w:hint="default" w:eastAsia="宋体"/>
          <w:sz w:val="24"/>
          <w:lang w:val="en-US" w:eastAsia="zh-CN"/>
        </w:rPr>
      </w:pPr>
      <w:r>
        <w:rPr>
          <w:rFonts w:hint="eastAsia"/>
          <w:sz w:val="24"/>
        </w:rPr>
        <w:t>十一、国有资本经营预算财政拨款收入支出决算表</w:t>
      </w:r>
      <w:r>
        <w:rPr>
          <w:rFonts w:cstheme="minorBidi"/>
          <w:sz w:val="24"/>
        </w:rPr>
        <w:tab/>
      </w:r>
      <w:r>
        <w:rPr>
          <w:rFonts w:hint="eastAsia" w:cstheme="minorBidi"/>
          <w:sz w:val="24"/>
          <w:lang w:val="en-US" w:eastAsia="zh-CN"/>
        </w:rPr>
        <w:t>15</w:t>
      </w:r>
    </w:p>
    <w:p>
      <w:pPr>
        <w:pStyle w:val="11"/>
        <w:adjustRightInd w:val="0"/>
        <w:snapToGrid w:val="0"/>
        <w:spacing w:line="440" w:lineRule="exact"/>
        <w:jc w:val="left"/>
        <w:rPr>
          <w:rFonts w:hint="default" w:eastAsia="宋体"/>
          <w:sz w:val="24"/>
          <w:lang w:val="en-US" w:eastAsia="zh-CN"/>
        </w:rPr>
      </w:pPr>
      <w:r>
        <w:rPr>
          <w:rFonts w:hint="eastAsia"/>
          <w:sz w:val="24"/>
        </w:rPr>
        <w:t>十二、国有资本经营预算财政拨款支出决算表</w:t>
      </w:r>
      <w:r>
        <w:rPr>
          <w:rFonts w:cstheme="minorBidi"/>
          <w:sz w:val="24"/>
        </w:rPr>
        <w:tab/>
      </w:r>
      <w:r>
        <w:rPr>
          <w:rFonts w:hint="eastAsia" w:cstheme="minorBidi"/>
          <w:sz w:val="24"/>
          <w:lang w:val="en-US" w:eastAsia="zh-CN"/>
        </w:rPr>
        <w:t>15</w:t>
      </w:r>
    </w:p>
    <w:p>
      <w:pPr>
        <w:pStyle w:val="11"/>
        <w:adjustRightInd w:val="0"/>
        <w:snapToGrid w:val="0"/>
        <w:spacing w:line="440" w:lineRule="exact"/>
        <w:jc w:val="left"/>
        <w:rPr>
          <w:rFonts w:hint="default" w:eastAsia="宋体"/>
          <w:sz w:val="24"/>
          <w:lang w:val="en-US" w:eastAsia="zh-CN"/>
        </w:rPr>
      </w:pPr>
      <w:r>
        <w:rPr>
          <w:rFonts w:hint="eastAsia"/>
          <w:sz w:val="24"/>
        </w:rPr>
        <w:t>十三、财政拨款“三公”经费支出决算表</w:t>
      </w:r>
      <w:r>
        <w:rPr>
          <w:rFonts w:cstheme="minorBidi"/>
          <w:sz w:val="24"/>
        </w:rPr>
        <w:tab/>
      </w:r>
      <w:r>
        <w:rPr>
          <w:rFonts w:hint="eastAsia" w:cstheme="minorBidi"/>
          <w:sz w:val="24"/>
          <w:lang w:val="en-US" w:eastAsia="zh-CN"/>
        </w:rPr>
        <w:t>15</w:t>
      </w:r>
    </w:p>
    <w:p>
      <w:pPr>
        <w:widowControl/>
        <w:spacing w:line="440" w:lineRule="exact"/>
        <w:jc w:val="left"/>
        <w:rPr>
          <w:rFonts w:ascii="仿宋" w:hAnsi="仿宋" w:eastAsia="仿宋"/>
          <w:bCs/>
          <w:kern w:val="44"/>
          <w:sz w:val="24"/>
        </w:rPr>
      </w:pPr>
      <w:bookmarkStart w:id="12" w:name="_Toc15396599"/>
      <w:bookmarkStart w:id="13" w:name="_Toc15377196"/>
      <w:r>
        <w:rPr>
          <w:rFonts w:ascii="仿宋" w:hAnsi="仿宋" w:eastAsia="仿宋"/>
          <w:b/>
          <w:sz w:val="24"/>
        </w:rPr>
        <w:br w:type="page"/>
      </w:r>
    </w:p>
    <w:p>
      <w:pPr>
        <w:pStyle w:val="3"/>
        <w:jc w:val="center"/>
        <w:rPr>
          <w:rStyle w:val="24"/>
          <w:rFonts w:ascii="黑体" w:hAnsi="黑体" w:eastAsia="黑体"/>
          <w:b/>
          <w:bCs w:val="0"/>
        </w:rPr>
      </w:pPr>
      <w:r>
        <w:rPr>
          <w:rFonts w:hint="eastAsia" w:ascii="黑体" w:hAnsi="黑体" w:eastAsia="黑体"/>
          <w:b w:val="0"/>
        </w:rPr>
        <w:t>第一部分 单位</w:t>
      </w:r>
      <w:r>
        <w:rPr>
          <w:rStyle w:val="24"/>
          <w:rFonts w:hint="eastAsia" w:ascii="黑体" w:hAnsi="黑体" w:eastAsia="黑体"/>
          <w:b w:val="0"/>
          <w:bCs w:val="0"/>
        </w:rPr>
        <w:t>概况</w:t>
      </w:r>
      <w:bookmarkEnd w:id="12"/>
      <w:bookmarkEnd w:id="13"/>
    </w:p>
    <w:p>
      <w:pPr>
        <w:widowControl/>
        <w:jc w:val="left"/>
        <w:rPr>
          <w:rFonts w:ascii="黑体" w:eastAsia="黑体"/>
          <w:sz w:val="32"/>
          <w:szCs w:val="32"/>
        </w:rPr>
      </w:pPr>
    </w:p>
    <w:p>
      <w:pPr>
        <w:pStyle w:val="4"/>
        <w:numPr>
          <w:ilvl w:val="0"/>
          <w:numId w:val="1"/>
        </w:numPr>
        <w:rPr>
          <w:rStyle w:val="25"/>
          <w:rFonts w:ascii="黑体" w:hAnsi="黑体" w:eastAsia="黑体"/>
          <w:b w:val="0"/>
          <w:bCs w:val="0"/>
        </w:rPr>
      </w:pPr>
      <w:bookmarkStart w:id="14" w:name="_Toc15396600"/>
      <w:bookmarkStart w:id="15" w:name="_Toc15377197"/>
      <w:r>
        <w:rPr>
          <w:rStyle w:val="25"/>
          <w:rFonts w:hint="eastAsia" w:ascii="黑体" w:hAnsi="黑体" w:eastAsia="黑体"/>
          <w:b w:val="0"/>
          <w:bCs w:val="0"/>
        </w:rPr>
        <w:t>主要职责</w:t>
      </w:r>
    </w:p>
    <w:p>
      <w:pPr>
        <w:pStyle w:val="2"/>
        <w:adjustRightInd w:val="0"/>
        <w:spacing w:beforeLines="0" w:line="600" w:lineRule="exact"/>
        <w:ind w:firstLine="640" w:firstLineChars="200"/>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（1）根据市委、市政府安排，组织开展全市发展战略、中长期规划、方针政策、重大问题、重点项目的决策咨询论证活动。</w:t>
      </w:r>
    </w:p>
    <w:p>
      <w:pPr>
        <w:pStyle w:val="2"/>
        <w:adjustRightInd w:val="0"/>
        <w:spacing w:beforeLines="0" w:line="600" w:lineRule="exact"/>
        <w:ind w:firstLine="640" w:firstLineChars="200"/>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（2）负责全市经济社会发展重大问题决策咨询研究课题的安排、管理和组织实施。</w:t>
      </w:r>
    </w:p>
    <w:p>
      <w:pPr>
        <w:pStyle w:val="2"/>
        <w:adjustRightInd w:val="0"/>
        <w:spacing w:beforeLines="0" w:line="600" w:lineRule="exact"/>
        <w:ind w:firstLine="640" w:firstLineChars="200"/>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（3）负责决策咨询委员会各专业组决策咨询调研、考察及与相关部门的组织协调工作。</w:t>
      </w:r>
    </w:p>
    <w:p>
      <w:pPr>
        <w:pStyle w:val="2"/>
        <w:adjustRightInd w:val="0"/>
        <w:spacing w:beforeLines="0" w:line="600" w:lineRule="exact"/>
        <w:ind w:firstLine="640" w:firstLineChars="200"/>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（4）及时整理决策咨询委员会专家和各专业组提出的咨询意见、建议和课题研究成果，报送市委、市政府及有关部门，并进行成果应用的跟踪。</w:t>
      </w:r>
    </w:p>
    <w:p>
      <w:pPr>
        <w:pStyle w:val="2"/>
        <w:adjustRightInd w:val="0"/>
        <w:spacing w:beforeLines="0" w:line="600" w:lineRule="exact"/>
        <w:ind w:firstLine="640" w:firstLineChars="200"/>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（5）组织专家召开决策咨询研讨会议和决策咨询交流活动。</w:t>
      </w:r>
    </w:p>
    <w:p>
      <w:pPr>
        <w:pStyle w:val="2"/>
        <w:adjustRightInd w:val="0"/>
        <w:spacing w:beforeLines="0" w:line="600" w:lineRule="exact"/>
        <w:ind w:firstLine="640" w:firstLineChars="200"/>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（6）为专家提供相关信息和资料，组织专家列席市委、市政府重要会议，为专家开展咨询工作提供后勤服务。</w:t>
      </w:r>
    </w:p>
    <w:p>
      <w:pPr>
        <w:pStyle w:val="2"/>
        <w:adjustRightInd w:val="0"/>
        <w:spacing w:beforeLines="0" w:line="600" w:lineRule="exact"/>
        <w:ind w:firstLine="640" w:firstLineChars="200"/>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（7）负责起草决策咨询委员会的各种工作制度和文件草案；定期向主任会议汇报工作。</w:t>
      </w:r>
    </w:p>
    <w:p>
      <w:pPr>
        <w:pStyle w:val="2"/>
        <w:adjustRightInd w:val="0"/>
        <w:snapToGrid w:val="0"/>
        <w:spacing w:beforeLines="0" w:line="600" w:lineRule="exact"/>
        <w:ind w:firstLine="640" w:firstLineChars="200"/>
        <w:outlineLvl w:val="2"/>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（8）负责市委、市政府临时交办的工作任务和主任会议确定的其它工作。</w:t>
      </w:r>
    </w:p>
    <w:p>
      <w:pPr>
        <w:pStyle w:val="4"/>
        <w:rPr>
          <w:rFonts w:ascii="黑体" w:hAnsi="黑体" w:eastAsia="黑体"/>
          <w:b w:val="0"/>
        </w:rPr>
      </w:pPr>
      <w:r>
        <w:rPr>
          <w:rFonts w:hint="eastAsia" w:ascii="黑体" w:hAnsi="黑体" w:eastAsia="黑体"/>
          <w:b w:val="0"/>
        </w:rPr>
        <w:t>二、机构设置</w:t>
      </w:r>
    </w:p>
    <w:bookmarkEnd w:id="14"/>
    <w:bookmarkEnd w:id="15"/>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攀枝花市决策咨询服务中心属财政拨款公益一类事业单位，2021年11月隶属关系由市科技局管理调整为由市政府办公室管理，2022年3月已将经费（43.06万元）划拨至市政府办。</w:t>
      </w:r>
      <w:r>
        <w:rPr>
          <w:rFonts w:hint="eastAsia" w:ascii="仿宋" w:hAnsi="仿宋" w:eastAsia="仿宋" w:cs="Times New Roman"/>
          <w:kern w:val="2"/>
          <w:sz w:val="32"/>
          <w:szCs w:val="32"/>
          <w:lang w:val="en-US" w:eastAsia="zh-CN" w:bidi="ar-SA"/>
        </w:rPr>
        <w:br w:type="page"/>
      </w:r>
    </w:p>
    <w:p>
      <w:pPr>
        <w:pStyle w:val="3"/>
        <w:ind w:right="440"/>
        <w:jc w:val="center"/>
        <w:rPr>
          <w:rStyle w:val="24"/>
          <w:rFonts w:ascii="黑体" w:hAnsi="黑体" w:eastAsia="黑体"/>
          <w:b w:val="0"/>
          <w:bCs/>
        </w:rPr>
      </w:pPr>
      <w:bookmarkStart w:id="16" w:name="_Toc15377204"/>
      <w:bookmarkStart w:id="17" w:name="_Toc15396602"/>
      <w:r>
        <w:rPr>
          <w:rFonts w:hint="eastAsia" w:ascii="黑体" w:hAnsi="黑体" w:eastAsia="黑体"/>
          <w:b w:val="0"/>
        </w:rPr>
        <w:t>第二部分 2022年度</w:t>
      </w:r>
      <w:r>
        <w:rPr>
          <w:rStyle w:val="24"/>
          <w:rFonts w:hint="eastAsia" w:ascii="黑体" w:hAnsi="黑体" w:eastAsia="黑体"/>
          <w:b w:val="0"/>
          <w:bCs/>
        </w:rPr>
        <w:t>单位决算情况说明</w:t>
      </w:r>
      <w:bookmarkEnd w:id="16"/>
      <w:bookmarkEnd w:id="17"/>
    </w:p>
    <w:p/>
    <w:p>
      <w:pPr>
        <w:pStyle w:val="23"/>
        <w:numPr>
          <w:ilvl w:val="0"/>
          <w:numId w:val="0"/>
        </w:numPr>
        <w:spacing w:line="600" w:lineRule="exact"/>
        <w:ind w:left="640" w:leftChars="0"/>
        <w:outlineLvl w:val="1"/>
        <w:rPr>
          <w:rStyle w:val="25"/>
          <w:rFonts w:ascii="黑体" w:hAnsi="黑体" w:eastAsia="黑体"/>
          <w:b w:val="0"/>
        </w:rPr>
      </w:pPr>
      <w:bookmarkStart w:id="18" w:name="_Toc15396603"/>
      <w:bookmarkStart w:id="19" w:name="_Toc15377205"/>
      <w:r>
        <w:rPr>
          <w:rFonts w:hint="eastAsia" w:ascii="黑体" w:hAnsi="黑体" w:eastAsia="黑体"/>
          <w:sz w:val="32"/>
          <w:szCs w:val="32"/>
          <w:lang w:eastAsia="zh-CN"/>
        </w:rPr>
        <w:t>一、</w:t>
      </w:r>
      <w:r>
        <w:rPr>
          <w:rFonts w:hint="eastAsia" w:ascii="黑体" w:hAnsi="黑体" w:eastAsia="黑体"/>
          <w:sz w:val="32"/>
          <w:szCs w:val="32"/>
        </w:rPr>
        <w:t>收</w:t>
      </w:r>
      <w:r>
        <w:rPr>
          <w:rStyle w:val="25"/>
          <w:rFonts w:hint="eastAsia" w:ascii="黑体" w:hAnsi="黑体" w:eastAsia="黑体"/>
          <w:b w:val="0"/>
        </w:rPr>
        <w:t>入支出决算总体情况说明</w:t>
      </w:r>
      <w:bookmarkEnd w:id="18"/>
      <w:bookmarkEnd w:id="19"/>
    </w:p>
    <w:p>
      <w:pPr>
        <w:spacing w:line="600" w:lineRule="exact"/>
        <w:ind w:firstLine="640" w:firstLineChars="200"/>
        <w:rPr>
          <w:rFonts w:ascii="仿宋" w:hAnsi="仿宋" w:eastAsia="仿宋"/>
          <w:sz w:val="32"/>
          <w:szCs w:val="32"/>
        </w:rPr>
      </w:pPr>
      <w:r>
        <w:rPr>
          <w:rFonts w:hint="eastAsia" w:ascii="仿宋" w:hAnsi="仿宋" w:eastAsia="仿宋"/>
          <w:sz w:val="32"/>
          <w:szCs w:val="32"/>
        </w:rPr>
        <w:t>2022年度收、支总计17.64万元。与2021年相比，收、支总计各减少</w:t>
      </w:r>
      <w:r>
        <w:rPr>
          <w:rFonts w:hint="eastAsia" w:ascii="仿宋" w:hAnsi="仿宋" w:eastAsia="仿宋"/>
          <w:sz w:val="32"/>
          <w:szCs w:val="32"/>
          <w:lang w:val="en-US" w:eastAsia="zh-CN"/>
        </w:rPr>
        <w:t>141.59</w:t>
      </w:r>
      <w:r>
        <w:rPr>
          <w:rFonts w:hint="eastAsia" w:ascii="仿宋" w:hAnsi="仿宋" w:eastAsia="仿宋"/>
          <w:sz w:val="32"/>
          <w:szCs w:val="32"/>
        </w:rPr>
        <w:t>万元，下降</w:t>
      </w:r>
      <w:r>
        <w:rPr>
          <w:rFonts w:hint="eastAsia" w:ascii="仿宋" w:hAnsi="仿宋" w:eastAsia="仿宋"/>
          <w:sz w:val="32"/>
          <w:szCs w:val="32"/>
          <w:lang w:val="en-US" w:eastAsia="zh-CN"/>
        </w:rPr>
        <w:t>88.92</w:t>
      </w:r>
      <w:r>
        <w:rPr>
          <w:rFonts w:ascii="仿宋" w:hAnsi="仿宋" w:eastAsia="仿宋"/>
          <w:sz w:val="32"/>
          <w:szCs w:val="32"/>
        </w:rPr>
        <w:t>%</w:t>
      </w:r>
      <w:r>
        <w:rPr>
          <w:rFonts w:hint="eastAsia" w:ascii="仿宋" w:hAnsi="仿宋" w:eastAsia="仿宋"/>
          <w:sz w:val="32"/>
          <w:szCs w:val="32"/>
        </w:rPr>
        <w:t>。主要变动原因是</w:t>
      </w:r>
      <w:r>
        <w:rPr>
          <w:rFonts w:hint="eastAsia" w:ascii="仿宋" w:hAnsi="仿宋" w:eastAsia="仿宋"/>
          <w:sz w:val="32"/>
          <w:szCs w:val="32"/>
          <w:lang w:eastAsia="zh-CN"/>
        </w:rPr>
        <w:t>隶属关系调整，</w:t>
      </w:r>
      <w:r>
        <w:rPr>
          <w:rFonts w:hint="eastAsia" w:ascii="仿宋" w:hAnsi="仿宋" w:eastAsia="仿宋" w:cs="Times New Roman"/>
          <w:kern w:val="2"/>
          <w:sz w:val="32"/>
          <w:szCs w:val="32"/>
          <w:lang w:val="en-US" w:eastAsia="zh-CN" w:bidi="ar-SA"/>
        </w:rPr>
        <w:t>2022年3月已将经费全部划拨至市政府办</w:t>
      </w:r>
      <w:r>
        <w:rPr>
          <w:rFonts w:hint="eastAsia" w:ascii="仿宋" w:hAnsi="仿宋" w:eastAsia="仿宋"/>
          <w:sz w:val="32"/>
          <w:szCs w:val="32"/>
        </w:rPr>
        <w:t>。</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w:t>
      </w:r>
      <w:r>
        <w:rPr>
          <w:rFonts w:ascii="仿宋" w:hAnsi="仿宋" w:eastAsia="仿宋"/>
          <w:sz w:val="32"/>
          <w:szCs w:val="32"/>
        </w:rPr>
        <w:t>1</w:t>
      </w:r>
      <w:r>
        <w:rPr>
          <w:rFonts w:hint="eastAsia" w:ascii="仿宋" w:hAnsi="仿宋" w:eastAsia="仿宋"/>
          <w:sz w:val="32"/>
          <w:szCs w:val="32"/>
        </w:rPr>
        <w:t>：收、支决算总计变动情况图）（柱状图）</w:t>
      </w:r>
    </w:p>
    <w:p>
      <w:pPr>
        <w:spacing w:line="600" w:lineRule="exact"/>
        <w:ind w:firstLine="640" w:firstLineChars="200"/>
        <w:jc w:val="left"/>
        <w:rPr>
          <w:rStyle w:val="25"/>
          <w:rFonts w:ascii="黑体" w:hAnsi="黑体" w:eastAsia="黑体"/>
          <w:b w:val="0"/>
        </w:rPr>
      </w:pPr>
      <w:r>
        <w:rPr>
          <w:rFonts w:hint="eastAsia" w:ascii="仿宋_GB2312" w:eastAsia="仿宋_GB2312"/>
          <w:sz w:val="32"/>
          <w:szCs w:val="32"/>
          <w:lang w:eastAsia="zh-CN"/>
        </w:rPr>
        <w:drawing>
          <wp:anchor distT="0" distB="0" distL="114300" distR="114300" simplePos="0" relativeHeight="251658240" behindDoc="0" locked="0" layoutInCell="1" allowOverlap="1">
            <wp:simplePos x="0" y="0"/>
            <wp:positionH relativeFrom="column">
              <wp:posOffset>0</wp:posOffset>
            </wp:positionH>
            <wp:positionV relativeFrom="paragraph">
              <wp:posOffset>184785</wp:posOffset>
            </wp:positionV>
            <wp:extent cx="5272405" cy="3002280"/>
            <wp:effectExtent l="0" t="0" r="4445" b="7620"/>
            <wp:wrapSquare wrapText="bothSides"/>
            <wp:docPr id="1" name="图片 1" descr="图片9"/>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descr="图片9"/>
                    <pic:cNvPicPr>
                      <a:picLocks noChangeAspect="true"/>
                    </pic:cNvPicPr>
                  </pic:nvPicPr>
                  <pic:blipFill>
                    <a:blip r:embed="rId10"/>
                    <a:stretch>
                      <a:fillRect/>
                    </a:stretch>
                  </pic:blipFill>
                  <pic:spPr>
                    <a:xfrm>
                      <a:off x="0" y="0"/>
                      <a:ext cx="5272405" cy="3002280"/>
                    </a:xfrm>
                    <a:prstGeom prst="rect">
                      <a:avLst/>
                    </a:prstGeom>
                  </pic:spPr>
                </pic:pic>
              </a:graphicData>
            </a:graphic>
          </wp:anchor>
        </w:drawing>
      </w:r>
      <w:bookmarkStart w:id="20" w:name="_Toc15377206"/>
      <w:bookmarkStart w:id="21" w:name="_Toc15396604"/>
      <w:r>
        <w:rPr>
          <w:rFonts w:hint="eastAsia" w:ascii="黑体" w:hAnsi="黑体" w:eastAsia="黑体"/>
          <w:sz w:val="32"/>
          <w:szCs w:val="32"/>
          <w:lang w:eastAsia="zh-CN"/>
        </w:rPr>
        <w:t>二、</w:t>
      </w:r>
      <w:r>
        <w:rPr>
          <w:rFonts w:hint="eastAsia" w:ascii="黑体" w:hAnsi="黑体" w:eastAsia="黑体"/>
          <w:sz w:val="32"/>
          <w:szCs w:val="32"/>
        </w:rPr>
        <w:t>收</w:t>
      </w:r>
      <w:r>
        <w:rPr>
          <w:rStyle w:val="25"/>
          <w:rFonts w:hint="eastAsia" w:ascii="黑体" w:hAnsi="黑体" w:eastAsia="黑体"/>
          <w:b w:val="0"/>
        </w:rPr>
        <w:t>入决算情况说明</w:t>
      </w:r>
      <w:bookmarkEnd w:id="20"/>
      <w:bookmarkEnd w:id="21"/>
    </w:p>
    <w:p>
      <w:pPr>
        <w:spacing w:line="600" w:lineRule="exact"/>
        <w:ind w:firstLine="640" w:firstLineChars="200"/>
        <w:outlineLvl w:val="1"/>
        <w:rPr>
          <w:rFonts w:ascii="仿宋" w:hAnsi="仿宋" w:eastAsia="仿宋"/>
          <w:color w:val="auto"/>
          <w:sz w:val="32"/>
          <w:szCs w:val="32"/>
        </w:rPr>
      </w:pPr>
      <w:r>
        <w:rPr>
          <w:rFonts w:ascii="仿宋" w:hAnsi="仿宋" w:eastAsia="仿宋"/>
          <w:sz w:val="32"/>
          <w:szCs w:val="32"/>
        </w:rPr>
        <w:t>20</w:t>
      </w:r>
      <w:r>
        <w:rPr>
          <w:rFonts w:hint="eastAsia" w:ascii="仿宋" w:hAnsi="仿宋" w:eastAsia="仿宋"/>
          <w:sz w:val="32"/>
          <w:szCs w:val="32"/>
        </w:rPr>
        <w:t>22年本年收入合计17.64万元，其中：一般公共预算财政拨款收入17.64万元，占</w:t>
      </w:r>
      <w:r>
        <w:rPr>
          <w:rFonts w:hint="eastAsia" w:ascii="仿宋" w:hAnsi="仿宋" w:eastAsia="仿宋"/>
          <w:sz w:val="32"/>
          <w:szCs w:val="32"/>
          <w:lang w:val="en-US" w:eastAsia="zh-CN"/>
        </w:rPr>
        <w:t>100</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color w:val="auto"/>
          <w:sz w:val="32"/>
          <w:szCs w:val="32"/>
        </w:rPr>
        <w:t>政府性基金预算财政拨款收入</w:t>
      </w:r>
      <w:r>
        <w:rPr>
          <w:rFonts w:hint="eastAsia" w:ascii="仿宋" w:hAnsi="仿宋" w:eastAsia="仿宋"/>
          <w:color w:val="auto"/>
          <w:sz w:val="32"/>
          <w:szCs w:val="32"/>
          <w:lang w:val="en-US" w:eastAsia="zh-CN"/>
        </w:rPr>
        <w:t>0</w:t>
      </w:r>
      <w:r>
        <w:rPr>
          <w:rFonts w:hint="eastAsia" w:ascii="仿宋" w:hAnsi="仿宋" w:eastAsia="仿宋"/>
          <w:color w:val="auto"/>
          <w:sz w:val="32"/>
          <w:szCs w:val="32"/>
        </w:rPr>
        <w:t>万元，占</w:t>
      </w:r>
      <w:r>
        <w:rPr>
          <w:rFonts w:hint="eastAsia" w:ascii="仿宋" w:hAnsi="仿宋" w:eastAsia="仿宋"/>
          <w:color w:val="auto"/>
          <w:sz w:val="32"/>
          <w:szCs w:val="32"/>
          <w:lang w:val="en-US" w:eastAsia="zh-CN"/>
        </w:rPr>
        <w:t>0</w:t>
      </w:r>
      <w:r>
        <w:rPr>
          <w:rFonts w:ascii="仿宋" w:hAnsi="仿宋" w:eastAsia="仿宋"/>
          <w:color w:val="auto"/>
          <w:sz w:val="32"/>
          <w:szCs w:val="32"/>
        </w:rPr>
        <w:t>%</w:t>
      </w:r>
      <w:r>
        <w:rPr>
          <w:rFonts w:hint="eastAsia" w:ascii="仿宋" w:hAnsi="仿宋" w:eastAsia="仿宋"/>
          <w:color w:val="auto"/>
          <w:sz w:val="32"/>
          <w:szCs w:val="32"/>
        </w:rPr>
        <w:t>；国有资本经营预算财政拨款收入</w:t>
      </w:r>
      <w:r>
        <w:rPr>
          <w:rFonts w:hint="eastAsia" w:ascii="仿宋" w:hAnsi="仿宋" w:eastAsia="仿宋"/>
          <w:color w:val="auto"/>
          <w:sz w:val="32"/>
          <w:szCs w:val="32"/>
          <w:lang w:val="en-US" w:eastAsia="zh-CN"/>
        </w:rPr>
        <w:t>0</w:t>
      </w:r>
      <w:r>
        <w:rPr>
          <w:rFonts w:hint="eastAsia" w:ascii="仿宋" w:hAnsi="仿宋" w:eastAsia="仿宋"/>
          <w:color w:val="auto"/>
          <w:sz w:val="32"/>
          <w:szCs w:val="32"/>
        </w:rPr>
        <w:t>万元，占</w:t>
      </w:r>
      <w:r>
        <w:rPr>
          <w:rFonts w:hint="eastAsia" w:ascii="仿宋" w:hAnsi="仿宋" w:eastAsia="仿宋"/>
          <w:color w:val="auto"/>
          <w:sz w:val="32"/>
          <w:szCs w:val="32"/>
          <w:lang w:val="en-US" w:eastAsia="zh-CN"/>
        </w:rPr>
        <w:t>0</w:t>
      </w:r>
      <w:r>
        <w:rPr>
          <w:rFonts w:ascii="仿宋" w:hAnsi="仿宋" w:eastAsia="仿宋"/>
          <w:color w:val="auto"/>
          <w:sz w:val="32"/>
          <w:szCs w:val="32"/>
        </w:rPr>
        <w:t>%</w:t>
      </w:r>
      <w:r>
        <w:rPr>
          <w:rFonts w:hint="eastAsia" w:ascii="仿宋" w:hAnsi="仿宋" w:eastAsia="仿宋"/>
          <w:color w:val="auto"/>
          <w:sz w:val="32"/>
          <w:szCs w:val="32"/>
        </w:rPr>
        <w:t>；上级补助收入</w:t>
      </w:r>
      <w:r>
        <w:rPr>
          <w:rFonts w:hint="eastAsia" w:ascii="仿宋" w:hAnsi="仿宋" w:eastAsia="仿宋"/>
          <w:color w:val="auto"/>
          <w:sz w:val="32"/>
          <w:szCs w:val="32"/>
          <w:lang w:val="en-US" w:eastAsia="zh-CN"/>
        </w:rPr>
        <w:t>0</w:t>
      </w:r>
      <w:r>
        <w:rPr>
          <w:rFonts w:hint="eastAsia" w:ascii="仿宋" w:hAnsi="仿宋" w:eastAsia="仿宋"/>
          <w:color w:val="auto"/>
          <w:sz w:val="32"/>
          <w:szCs w:val="32"/>
        </w:rPr>
        <w:t>万元，占</w:t>
      </w:r>
      <w:r>
        <w:rPr>
          <w:rFonts w:hint="eastAsia" w:ascii="仿宋" w:hAnsi="仿宋" w:eastAsia="仿宋"/>
          <w:color w:val="auto"/>
          <w:sz w:val="32"/>
          <w:szCs w:val="32"/>
          <w:lang w:val="en-US" w:eastAsia="zh-CN"/>
        </w:rPr>
        <w:t>0</w:t>
      </w:r>
      <w:r>
        <w:rPr>
          <w:rFonts w:ascii="仿宋" w:hAnsi="仿宋" w:eastAsia="仿宋"/>
          <w:color w:val="auto"/>
          <w:sz w:val="32"/>
          <w:szCs w:val="32"/>
        </w:rPr>
        <w:t>%</w:t>
      </w:r>
      <w:r>
        <w:rPr>
          <w:rFonts w:hint="eastAsia" w:ascii="仿宋" w:hAnsi="仿宋" w:eastAsia="仿宋"/>
          <w:color w:val="auto"/>
          <w:sz w:val="32"/>
          <w:szCs w:val="32"/>
        </w:rPr>
        <w:t>；事业收入</w:t>
      </w:r>
      <w:r>
        <w:rPr>
          <w:rFonts w:hint="eastAsia" w:ascii="仿宋" w:hAnsi="仿宋" w:eastAsia="仿宋"/>
          <w:color w:val="auto"/>
          <w:sz w:val="32"/>
          <w:szCs w:val="32"/>
          <w:lang w:val="en-US" w:eastAsia="zh-CN"/>
        </w:rPr>
        <w:t>0</w:t>
      </w:r>
      <w:r>
        <w:rPr>
          <w:rFonts w:hint="eastAsia" w:ascii="仿宋" w:hAnsi="仿宋" w:eastAsia="仿宋"/>
          <w:color w:val="auto"/>
          <w:sz w:val="32"/>
          <w:szCs w:val="32"/>
        </w:rPr>
        <w:t>万元，占</w:t>
      </w:r>
      <w:r>
        <w:rPr>
          <w:rFonts w:hint="eastAsia" w:ascii="仿宋" w:hAnsi="仿宋" w:eastAsia="仿宋"/>
          <w:color w:val="auto"/>
          <w:sz w:val="32"/>
          <w:szCs w:val="32"/>
          <w:lang w:val="en-US" w:eastAsia="zh-CN"/>
        </w:rPr>
        <w:t>0</w:t>
      </w:r>
      <w:r>
        <w:rPr>
          <w:rFonts w:ascii="仿宋" w:hAnsi="仿宋" w:eastAsia="仿宋"/>
          <w:color w:val="auto"/>
          <w:sz w:val="32"/>
          <w:szCs w:val="32"/>
        </w:rPr>
        <w:t>%</w:t>
      </w:r>
      <w:r>
        <w:rPr>
          <w:rFonts w:hint="eastAsia" w:ascii="仿宋" w:hAnsi="仿宋" w:eastAsia="仿宋"/>
          <w:color w:val="auto"/>
          <w:sz w:val="32"/>
          <w:szCs w:val="32"/>
        </w:rPr>
        <w:t>；经营收入</w:t>
      </w:r>
      <w:r>
        <w:rPr>
          <w:rFonts w:hint="eastAsia" w:ascii="仿宋" w:hAnsi="仿宋" w:eastAsia="仿宋"/>
          <w:color w:val="auto"/>
          <w:sz w:val="32"/>
          <w:szCs w:val="32"/>
          <w:lang w:val="en-US" w:eastAsia="zh-CN"/>
        </w:rPr>
        <w:t>0</w:t>
      </w:r>
      <w:r>
        <w:rPr>
          <w:rFonts w:hint="eastAsia" w:ascii="仿宋" w:hAnsi="仿宋" w:eastAsia="仿宋"/>
          <w:color w:val="auto"/>
          <w:sz w:val="32"/>
          <w:szCs w:val="32"/>
        </w:rPr>
        <w:t>万元，占</w:t>
      </w:r>
      <w:r>
        <w:rPr>
          <w:rFonts w:hint="eastAsia" w:ascii="仿宋" w:hAnsi="仿宋" w:eastAsia="仿宋"/>
          <w:color w:val="auto"/>
          <w:sz w:val="32"/>
          <w:szCs w:val="32"/>
          <w:lang w:val="en-US" w:eastAsia="zh-CN"/>
        </w:rPr>
        <w:t>0</w:t>
      </w:r>
      <w:r>
        <w:rPr>
          <w:rFonts w:ascii="仿宋" w:hAnsi="仿宋" w:eastAsia="仿宋"/>
          <w:color w:val="auto"/>
          <w:sz w:val="32"/>
          <w:szCs w:val="32"/>
        </w:rPr>
        <w:t>%</w:t>
      </w:r>
      <w:r>
        <w:rPr>
          <w:rFonts w:hint="eastAsia" w:ascii="仿宋" w:hAnsi="仿宋" w:eastAsia="仿宋"/>
          <w:color w:val="auto"/>
          <w:sz w:val="32"/>
          <w:szCs w:val="32"/>
        </w:rPr>
        <w:t>；附属单位上缴收入</w:t>
      </w:r>
      <w:r>
        <w:rPr>
          <w:rFonts w:hint="eastAsia" w:ascii="仿宋" w:hAnsi="仿宋" w:eastAsia="仿宋"/>
          <w:color w:val="auto"/>
          <w:sz w:val="32"/>
          <w:szCs w:val="32"/>
          <w:lang w:val="en-US" w:eastAsia="zh-CN"/>
        </w:rPr>
        <w:t>0</w:t>
      </w:r>
      <w:r>
        <w:rPr>
          <w:rFonts w:hint="eastAsia" w:ascii="仿宋" w:hAnsi="仿宋" w:eastAsia="仿宋"/>
          <w:color w:val="auto"/>
          <w:sz w:val="32"/>
          <w:szCs w:val="32"/>
        </w:rPr>
        <w:t>万元，占</w:t>
      </w:r>
      <w:r>
        <w:rPr>
          <w:rFonts w:hint="eastAsia" w:ascii="仿宋" w:hAnsi="仿宋" w:eastAsia="仿宋"/>
          <w:color w:val="auto"/>
          <w:sz w:val="32"/>
          <w:szCs w:val="32"/>
          <w:lang w:val="en-US" w:eastAsia="zh-CN"/>
        </w:rPr>
        <w:t>0</w:t>
      </w:r>
      <w:r>
        <w:rPr>
          <w:rFonts w:ascii="仿宋" w:hAnsi="仿宋" w:eastAsia="仿宋"/>
          <w:color w:val="auto"/>
          <w:sz w:val="32"/>
          <w:szCs w:val="32"/>
        </w:rPr>
        <w:t>%</w:t>
      </w:r>
      <w:r>
        <w:rPr>
          <w:rFonts w:hint="eastAsia" w:ascii="仿宋" w:hAnsi="仿宋" w:eastAsia="仿宋"/>
          <w:color w:val="auto"/>
          <w:sz w:val="32"/>
          <w:szCs w:val="32"/>
        </w:rPr>
        <w:t>；其他收入</w:t>
      </w:r>
      <w:r>
        <w:rPr>
          <w:rFonts w:hint="eastAsia" w:ascii="仿宋" w:hAnsi="仿宋" w:eastAsia="仿宋"/>
          <w:color w:val="auto"/>
          <w:sz w:val="32"/>
          <w:szCs w:val="32"/>
          <w:lang w:val="en-US" w:eastAsia="zh-CN"/>
        </w:rPr>
        <w:t>0</w:t>
      </w:r>
      <w:r>
        <w:rPr>
          <w:rFonts w:hint="eastAsia" w:ascii="仿宋" w:hAnsi="仿宋" w:eastAsia="仿宋"/>
          <w:color w:val="auto"/>
          <w:sz w:val="32"/>
          <w:szCs w:val="32"/>
        </w:rPr>
        <w:t>万元，占</w:t>
      </w:r>
      <w:r>
        <w:rPr>
          <w:rFonts w:hint="eastAsia" w:ascii="仿宋" w:hAnsi="仿宋" w:eastAsia="仿宋"/>
          <w:color w:val="auto"/>
          <w:sz w:val="32"/>
          <w:szCs w:val="32"/>
          <w:lang w:val="en-US" w:eastAsia="zh-CN"/>
        </w:rPr>
        <w:t>0</w:t>
      </w:r>
      <w:r>
        <w:rPr>
          <w:rFonts w:ascii="仿宋" w:hAnsi="仿宋" w:eastAsia="仿宋"/>
          <w:color w:val="auto"/>
          <w:sz w:val="32"/>
          <w:szCs w:val="32"/>
        </w:rPr>
        <w:t>%</w:t>
      </w:r>
      <w:r>
        <w:rPr>
          <w:rFonts w:hint="eastAsia" w:ascii="仿宋" w:hAnsi="仿宋" w:eastAsia="仿宋"/>
          <w:color w:val="auto"/>
          <w:sz w:val="32"/>
          <w:szCs w:val="32"/>
        </w:rPr>
        <w:t>。</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（图2：收入决算结构图）（饼状图）</w:t>
      </w:r>
    </w:p>
    <w:p>
      <w:pPr>
        <w:pStyle w:val="2"/>
        <w:rPr>
          <w:rFonts w:ascii="仿宋_GB2312" w:eastAsia="仿宋_GB2312"/>
          <w:sz w:val="32"/>
          <w:szCs w:val="32"/>
        </w:rPr>
      </w:pPr>
      <w:r>
        <w:rPr>
          <w:rFonts w:hint="eastAsia" w:ascii="仿宋_GB2312" w:eastAsia="仿宋_GB2312"/>
          <w:sz w:val="32"/>
          <w:szCs w:val="32"/>
          <w:lang w:eastAsia="zh-CN"/>
        </w:rPr>
        <w:drawing>
          <wp:anchor distT="0" distB="0" distL="114300" distR="114300" simplePos="0" relativeHeight="251659264" behindDoc="0" locked="0" layoutInCell="1" allowOverlap="1">
            <wp:simplePos x="0" y="0"/>
            <wp:positionH relativeFrom="column">
              <wp:posOffset>314325</wp:posOffset>
            </wp:positionH>
            <wp:positionV relativeFrom="paragraph">
              <wp:posOffset>90170</wp:posOffset>
            </wp:positionV>
            <wp:extent cx="4584065" cy="2755265"/>
            <wp:effectExtent l="0" t="0" r="6985" b="6985"/>
            <wp:wrapSquare wrapText="bothSides"/>
            <wp:docPr id="2" name="图片 2" descr="图片10"/>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2" descr="图片10"/>
                    <pic:cNvPicPr>
                      <a:picLocks noChangeAspect="true"/>
                    </pic:cNvPicPr>
                  </pic:nvPicPr>
                  <pic:blipFill>
                    <a:blip r:embed="rId11"/>
                    <a:stretch>
                      <a:fillRect/>
                    </a:stretch>
                  </pic:blipFill>
                  <pic:spPr>
                    <a:xfrm>
                      <a:off x="0" y="0"/>
                      <a:ext cx="4584065" cy="2755265"/>
                    </a:xfrm>
                    <a:prstGeom prst="rect">
                      <a:avLst/>
                    </a:prstGeom>
                  </pic:spPr>
                </pic:pic>
              </a:graphicData>
            </a:graphic>
          </wp:anchor>
        </w:drawing>
      </w:r>
    </w:p>
    <w:p>
      <w:pPr>
        <w:pStyle w:val="2"/>
        <w:rPr>
          <w:rFonts w:hint="eastAsia" w:ascii="仿宋_GB2312" w:eastAsia="仿宋_GB2312"/>
          <w:sz w:val="32"/>
          <w:szCs w:val="32"/>
          <w:lang w:eastAsia="zh-CN"/>
        </w:rPr>
      </w:pPr>
    </w:p>
    <w:p>
      <w:pPr>
        <w:pStyle w:val="23"/>
        <w:numPr>
          <w:ilvl w:val="0"/>
          <w:numId w:val="0"/>
        </w:numPr>
        <w:spacing w:line="600" w:lineRule="exact"/>
        <w:ind w:left="640" w:leftChars="0"/>
        <w:outlineLvl w:val="1"/>
        <w:rPr>
          <w:rFonts w:hint="eastAsia" w:ascii="黑体" w:hAnsi="黑体" w:eastAsia="黑体"/>
          <w:sz w:val="32"/>
          <w:szCs w:val="32"/>
          <w:lang w:eastAsia="zh-CN"/>
        </w:rPr>
      </w:pPr>
      <w:bookmarkStart w:id="22" w:name="_Toc15396605"/>
      <w:bookmarkStart w:id="23" w:name="_Toc15377207"/>
    </w:p>
    <w:p>
      <w:pPr>
        <w:pStyle w:val="23"/>
        <w:numPr>
          <w:ilvl w:val="0"/>
          <w:numId w:val="0"/>
        </w:numPr>
        <w:spacing w:line="600" w:lineRule="exact"/>
        <w:ind w:left="640" w:leftChars="0"/>
        <w:outlineLvl w:val="1"/>
        <w:rPr>
          <w:rFonts w:hint="eastAsia" w:ascii="黑体" w:hAnsi="黑体" w:eastAsia="黑体"/>
          <w:sz w:val="32"/>
          <w:szCs w:val="32"/>
          <w:lang w:eastAsia="zh-CN"/>
        </w:rPr>
      </w:pPr>
    </w:p>
    <w:p>
      <w:pPr>
        <w:pStyle w:val="23"/>
        <w:numPr>
          <w:ilvl w:val="0"/>
          <w:numId w:val="0"/>
        </w:numPr>
        <w:spacing w:line="600" w:lineRule="exact"/>
        <w:ind w:left="640" w:leftChars="0"/>
        <w:outlineLvl w:val="1"/>
        <w:rPr>
          <w:rFonts w:hint="eastAsia" w:ascii="黑体" w:hAnsi="黑体" w:eastAsia="黑体"/>
          <w:sz w:val="32"/>
          <w:szCs w:val="32"/>
          <w:lang w:eastAsia="zh-CN"/>
        </w:rPr>
      </w:pPr>
    </w:p>
    <w:p>
      <w:pPr>
        <w:pStyle w:val="23"/>
        <w:numPr>
          <w:ilvl w:val="0"/>
          <w:numId w:val="0"/>
        </w:numPr>
        <w:spacing w:line="600" w:lineRule="exact"/>
        <w:ind w:left="640" w:leftChars="0"/>
        <w:outlineLvl w:val="1"/>
        <w:rPr>
          <w:rFonts w:hint="eastAsia" w:ascii="黑体" w:hAnsi="黑体" w:eastAsia="黑体"/>
          <w:sz w:val="32"/>
          <w:szCs w:val="32"/>
          <w:lang w:eastAsia="zh-CN"/>
        </w:rPr>
      </w:pPr>
    </w:p>
    <w:p>
      <w:pPr>
        <w:pStyle w:val="23"/>
        <w:numPr>
          <w:ilvl w:val="0"/>
          <w:numId w:val="0"/>
        </w:numPr>
        <w:spacing w:line="600" w:lineRule="exact"/>
        <w:ind w:left="640" w:leftChars="0"/>
        <w:outlineLvl w:val="1"/>
        <w:rPr>
          <w:rFonts w:hint="eastAsia" w:ascii="黑体" w:hAnsi="黑体" w:eastAsia="黑体"/>
          <w:sz w:val="32"/>
          <w:szCs w:val="32"/>
          <w:lang w:eastAsia="zh-CN"/>
        </w:rPr>
      </w:pPr>
    </w:p>
    <w:p>
      <w:pPr>
        <w:pStyle w:val="23"/>
        <w:numPr>
          <w:ilvl w:val="0"/>
          <w:numId w:val="0"/>
        </w:numPr>
        <w:spacing w:line="600" w:lineRule="exact"/>
        <w:ind w:left="640" w:leftChars="0"/>
        <w:outlineLvl w:val="1"/>
        <w:rPr>
          <w:rFonts w:hint="eastAsia" w:ascii="黑体" w:hAnsi="黑体" w:eastAsia="黑体"/>
          <w:sz w:val="32"/>
          <w:szCs w:val="32"/>
          <w:lang w:eastAsia="zh-CN"/>
        </w:rPr>
      </w:pPr>
    </w:p>
    <w:p>
      <w:pPr>
        <w:pStyle w:val="23"/>
        <w:numPr>
          <w:ilvl w:val="0"/>
          <w:numId w:val="0"/>
        </w:numPr>
        <w:spacing w:line="600" w:lineRule="exact"/>
        <w:ind w:left="640" w:leftChars="0"/>
        <w:outlineLvl w:val="1"/>
        <w:rPr>
          <w:rStyle w:val="25"/>
          <w:rFonts w:ascii="黑体" w:hAnsi="黑体" w:eastAsia="黑体"/>
          <w:b w:val="0"/>
        </w:rPr>
      </w:pPr>
      <w:r>
        <w:rPr>
          <w:rFonts w:hint="eastAsia" w:ascii="黑体" w:hAnsi="黑体" w:eastAsia="黑体"/>
          <w:sz w:val="32"/>
          <w:szCs w:val="32"/>
          <w:lang w:eastAsia="zh-CN"/>
        </w:rPr>
        <w:t>三、</w:t>
      </w:r>
      <w:r>
        <w:rPr>
          <w:rFonts w:hint="eastAsia" w:ascii="黑体" w:hAnsi="黑体" w:eastAsia="黑体"/>
          <w:sz w:val="32"/>
          <w:szCs w:val="32"/>
        </w:rPr>
        <w:t>支</w:t>
      </w:r>
      <w:r>
        <w:rPr>
          <w:rStyle w:val="25"/>
          <w:rFonts w:hint="eastAsia" w:ascii="黑体" w:hAnsi="黑体" w:eastAsia="黑体"/>
          <w:b w:val="0"/>
        </w:rPr>
        <w:t>出决算情况说明</w:t>
      </w:r>
      <w:bookmarkEnd w:id="22"/>
      <w:bookmarkEnd w:id="23"/>
    </w:p>
    <w:p>
      <w:pPr>
        <w:spacing w:line="600" w:lineRule="exact"/>
        <w:ind w:firstLine="640" w:firstLineChars="200"/>
        <w:outlineLvl w:val="1"/>
        <w:rPr>
          <w:rFonts w:hint="eastAsia" w:ascii="仿宋" w:hAnsi="仿宋" w:eastAsia="仿宋"/>
          <w:b/>
          <w:sz w:val="32"/>
          <w:szCs w:val="32"/>
          <w:lang w:val="en-US" w:eastAsia="zh-CN"/>
        </w:rPr>
      </w:pPr>
      <w:r>
        <w:rPr>
          <w:rFonts w:ascii="仿宋" w:hAnsi="仿宋" w:eastAsia="仿宋"/>
          <w:sz w:val="32"/>
          <w:szCs w:val="32"/>
        </w:rPr>
        <w:t>20</w:t>
      </w:r>
      <w:r>
        <w:rPr>
          <w:rFonts w:hint="eastAsia" w:ascii="仿宋" w:hAnsi="仿宋" w:eastAsia="仿宋"/>
          <w:sz w:val="32"/>
          <w:szCs w:val="32"/>
        </w:rPr>
        <w:t>22年本年支出合计17.64万元，其中：基本支出17.64万元，占</w:t>
      </w:r>
      <w:r>
        <w:rPr>
          <w:rFonts w:hint="eastAsia" w:ascii="仿宋" w:hAnsi="仿宋" w:eastAsia="仿宋"/>
          <w:sz w:val="32"/>
          <w:szCs w:val="32"/>
          <w:lang w:val="en-US" w:eastAsia="zh-CN"/>
        </w:rPr>
        <w:t>100</w:t>
      </w:r>
      <w:r>
        <w:rPr>
          <w:rFonts w:ascii="仿宋" w:hAnsi="仿宋" w:eastAsia="仿宋"/>
          <w:sz w:val="32"/>
          <w:szCs w:val="32"/>
        </w:rPr>
        <w:t>%</w:t>
      </w:r>
      <w:r>
        <w:rPr>
          <w:rFonts w:hint="eastAsia" w:ascii="仿宋" w:hAnsi="仿宋" w:eastAsia="仿宋"/>
          <w:sz w:val="32"/>
          <w:szCs w:val="32"/>
          <w:lang w:eastAsia="zh-CN"/>
        </w:rPr>
        <w:t>。</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（图3：支出决算结构图）（饼状图）</w:t>
      </w:r>
    </w:p>
    <w:p>
      <w:pPr>
        <w:spacing w:line="600" w:lineRule="exact"/>
        <w:ind w:firstLine="640" w:firstLineChars="200"/>
        <w:rPr>
          <w:rFonts w:ascii="仿宋_GB2312" w:eastAsia="仿宋_GB2312"/>
          <w:sz w:val="32"/>
          <w:szCs w:val="32"/>
        </w:rPr>
      </w:pPr>
      <w:r>
        <w:rPr>
          <w:rFonts w:hint="eastAsia" w:ascii="仿宋_GB2312" w:eastAsia="仿宋_GB2312"/>
          <w:sz w:val="32"/>
          <w:szCs w:val="32"/>
          <w:lang w:eastAsia="zh-CN"/>
        </w:rPr>
        <w:drawing>
          <wp:anchor distT="0" distB="0" distL="114300" distR="114300" simplePos="0" relativeHeight="251660288" behindDoc="0" locked="0" layoutInCell="1" allowOverlap="1">
            <wp:simplePos x="0" y="0"/>
            <wp:positionH relativeFrom="column">
              <wp:posOffset>457200</wp:posOffset>
            </wp:positionH>
            <wp:positionV relativeFrom="paragraph">
              <wp:posOffset>147320</wp:posOffset>
            </wp:positionV>
            <wp:extent cx="3956050" cy="2548255"/>
            <wp:effectExtent l="0" t="0" r="6350" b="4445"/>
            <wp:wrapSquare wrapText="bothSides"/>
            <wp:docPr id="3" name="图片 3" descr="图片1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3" descr="图片11"/>
                    <pic:cNvPicPr>
                      <a:picLocks noChangeAspect="true"/>
                    </pic:cNvPicPr>
                  </pic:nvPicPr>
                  <pic:blipFill>
                    <a:blip r:embed="rId12"/>
                    <a:stretch>
                      <a:fillRect/>
                    </a:stretch>
                  </pic:blipFill>
                  <pic:spPr>
                    <a:xfrm>
                      <a:off x="0" y="0"/>
                      <a:ext cx="3956050" cy="2548255"/>
                    </a:xfrm>
                    <a:prstGeom prst="rect">
                      <a:avLst/>
                    </a:prstGeom>
                  </pic:spPr>
                </pic:pic>
              </a:graphicData>
            </a:graphic>
          </wp:anchor>
        </w:drawing>
      </w:r>
    </w:p>
    <w:p>
      <w:pPr>
        <w:pStyle w:val="2"/>
        <w:rPr>
          <w:rFonts w:ascii="仿宋_GB2312" w:eastAsia="仿宋_GB2312"/>
          <w:sz w:val="32"/>
          <w:szCs w:val="32"/>
        </w:rPr>
      </w:pPr>
    </w:p>
    <w:p>
      <w:pPr>
        <w:pStyle w:val="2"/>
        <w:rPr>
          <w:rFonts w:ascii="仿宋_GB2312" w:eastAsia="仿宋_GB2312"/>
          <w:sz w:val="32"/>
          <w:szCs w:val="32"/>
        </w:rPr>
      </w:pPr>
    </w:p>
    <w:p>
      <w:pPr>
        <w:pStyle w:val="2"/>
        <w:rPr>
          <w:rFonts w:ascii="仿宋_GB2312" w:eastAsia="仿宋_GB2312"/>
          <w:sz w:val="32"/>
          <w:szCs w:val="32"/>
        </w:rPr>
      </w:pPr>
    </w:p>
    <w:p>
      <w:pPr>
        <w:pStyle w:val="2"/>
        <w:rPr>
          <w:rFonts w:hint="eastAsia" w:ascii="仿宋_GB2312" w:eastAsia="仿宋_GB2312"/>
          <w:sz w:val="32"/>
          <w:szCs w:val="32"/>
          <w:lang w:eastAsia="zh-CN"/>
        </w:rPr>
      </w:pPr>
    </w:p>
    <w:p>
      <w:pPr>
        <w:spacing w:line="600" w:lineRule="exact"/>
        <w:ind w:firstLine="640" w:firstLineChars="200"/>
        <w:outlineLvl w:val="1"/>
        <w:rPr>
          <w:rFonts w:hint="eastAsia" w:ascii="黑体" w:hAnsi="黑体" w:eastAsia="黑体"/>
          <w:sz w:val="32"/>
          <w:szCs w:val="32"/>
        </w:rPr>
      </w:pPr>
      <w:bookmarkStart w:id="24" w:name="_Toc15377208"/>
      <w:bookmarkStart w:id="25" w:name="_Toc15396606"/>
    </w:p>
    <w:p>
      <w:pPr>
        <w:spacing w:line="600" w:lineRule="exact"/>
        <w:ind w:firstLine="640" w:firstLineChars="200"/>
        <w:outlineLvl w:val="1"/>
        <w:rPr>
          <w:rFonts w:hint="eastAsia" w:ascii="黑体" w:hAnsi="黑体" w:eastAsia="黑体"/>
          <w:sz w:val="32"/>
          <w:szCs w:val="32"/>
        </w:rPr>
      </w:pPr>
    </w:p>
    <w:p>
      <w:pPr>
        <w:spacing w:line="600" w:lineRule="exact"/>
        <w:ind w:firstLine="640" w:firstLineChars="200"/>
        <w:outlineLvl w:val="1"/>
        <w:rPr>
          <w:rStyle w:val="25"/>
          <w:rFonts w:ascii="黑体" w:hAnsi="黑体" w:eastAsia="黑体"/>
          <w:b w:val="0"/>
        </w:rPr>
      </w:pPr>
      <w:r>
        <w:rPr>
          <w:rFonts w:hint="eastAsia" w:ascii="黑体" w:hAnsi="黑体" w:eastAsia="黑体"/>
          <w:sz w:val="32"/>
          <w:szCs w:val="32"/>
        </w:rPr>
        <w:t>四、财</w:t>
      </w:r>
      <w:r>
        <w:rPr>
          <w:rStyle w:val="25"/>
          <w:rFonts w:hint="eastAsia" w:ascii="黑体" w:hAnsi="黑体" w:eastAsia="黑体"/>
          <w:b w:val="0"/>
        </w:rPr>
        <w:t>政拨款收入支出决算总体情况说明</w:t>
      </w:r>
      <w:bookmarkEnd w:id="24"/>
      <w:bookmarkEnd w:id="25"/>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22年财政拨款收、支总计</w:t>
      </w:r>
      <w:r>
        <w:rPr>
          <w:rFonts w:hint="eastAsia" w:ascii="仿宋" w:hAnsi="仿宋" w:eastAsia="仿宋"/>
          <w:sz w:val="32"/>
          <w:szCs w:val="32"/>
          <w:lang w:val="en-US" w:eastAsia="zh-CN"/>
        </w:rPr>
        <w:t>17.64</w:t>
      </w:r>
      <w:r>
        <w:rPr>
          <w:rFonts w:hint="eastAsia" w:ascii="仿宋" w:hAnsi="仿宋" w:eastAsia="仿宋"/>
          <w:sz w:val="32"/>
          <w:szCs w:val="32"/>
        </w:rPr>
        <w:t>万元。与</w:t>
      </w:r>
      <w:r>
        <w:rPr>
          <w:rFonts w:ascii="仿宋" w:hAnsi="仿宋" w:eastAsia="仿宋"/>
          <w:sz w:val="32"/>
          <w:szCs w:val="32"/>
        </w:rPr>
        <w:t>20</w:t>
      </w:r>
      <w:r>
        <w:rPr>
          <w:rFonts w:hint="eastAsia" w:ascii="仿宋" w:hAnsi="仿宋" w:eastAsia="仿宋"/>
          <w:sz w:val="32"/>
          <w:szCs w:val="32"/>
        </w:rPr>
        <w:t>21年相比，财政拨款收、支总计各减少</w:t>
      </w:r>
      <w:r>
        <w:rPr>
          <w:rFonts w:hint="eastAsia" w:ascii="仿宋" w:hAnsi="仿宋" w:eastAsia="仿宋"/>
          <w:sz w:val="32"/>
          <w:szCs w:val="32"/>
          <w:lang w:val="en-US" w:eastAsia="zh-CN"/>
        </w:rPr>
        <w:t>141.58</w:t>
      </w:r>
      <w:r>
        <w:rPr>
          <w:rFonts w:hint="eastAsia" w:ascii="仿宋" w:hAnsi="仿宋" w:eastAsia="仿宋"/>
          <w:sz w:val="32"/>
          <w:szCs w:val="32"/>
        </w:rPr>
        <w:t>万元，下降</w:t>
      </w:r>
      <w:r>
        <w:rPr>
          <w:rFonts w:hint="eastAsia" w:ascii="仿宋" w:hAnsi="仿宋" w:eastAsia="仿宋"/>
          <w:sz w:val="32"/>
          <w:szCs w:val="32"/>
          <w:lang w:val="en-US" w:eastAsia="zh-CN"/>
        </w:rPr>
        <w:t>88.92</w:t>
      </w:r>
      <w:r>
        <w:rPr>
          <w:rFonts w:ascii="仿宋" w:hAnsi="仿宋" w:eastAsia="仿宋"/>
          <w:sz w:val="32"/>
          <w:szCs w:val="32"/>
        </w:rPr>
        <w:t>%</w:t>
      </w:r>
      <w:r>
        <w:rPr>
          <w:rFonts w:hint="eastAsia" w:ascii="仿宋" w:hAnsi="仿宋" w:eastAsia="仿宋"/>
          <w:sz w:val="32"/>
          <w:szCs w:val="32"/>
        </w:rPr>
        <w:t>。主要变动原因是</w:t>
      </w:r>
      <w:r>
        <w:rPr>
          <w:rFonts w:hint="eastAsia" w:ascii="仿宋" w:hAnsi="仿宋" w:eastAsia="仿宋"/>
          <w:sz w:val="32"/>
          <w:szCs w:val="32"/>
          <w:lang w:eastAsia="zh-CN"/>
        </w:rPr>
        <w:t>隶属关系调整，</w:t>
      </w:r>
      <w:r>
        <w:rPr>
          <w:rFonts w:hint="eastAsia" w:ascii="仿宋" w:hAnsi="仿宋" w:eastAsia="仿宋" w:cs="Times New Roman"/>
          <w:kern w:val="2"/>
          <w:sz w:val="32"/>
          <w:szCs w:val="32"/>
          <w:lang w:val="en-US" w:eastAsia="zh-CN" w:bidi="ar-SA"/>
        </w:rPr>
        <w:t>2022年3月已将经费全部划拨至市政府办。</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（图4：财政拨款收、支决算总计变动情况）（柱状图）</w:t>
      </w:r>
    </w:p>
    <w:p>
      <w:pPr>
        <w:spacing w:line="600" w:lineRule="exact"/>
        <w:ind w:firstLine="640"/>
        <w:rPr>
          <w:rStyle w:val="25"/>
          <w:rFonts w:ascii="黑体" w:hAnsi="黑体" w:eastAsia="黑体"/>
          <w:b w:val="0"/>
        </w:rPr>
      </w:pPr>
      <w:r>
        <w:rPr>
          <w:rFonts w:hint="eastAsia" w:ascii="仿宋" w:hAnsi="仿宋" w:eastAsia="仿宋"/>
          <w:b/>
          <w:sz w:val="32"/>
          <w:szCs w:val="32"/>
          <w:lang w:eastAsia="zh-CN"/>
        </w:rPr>
        <w:drawing>
          <wp:anchor distT="0" distB="0" distL="114300" distR="114300" simplePos="0" relativeHeight="251661312" behindDoc="0" locked="0" layoutInCell="1" allowOverlap="1">
            <wp:simplePos x="0" y="0"/>
            <wp:positionH relativeFrom="column">
              <wp:posOffset>323215</wp:posOffset>
            </wp:positionH>
            <wp:positionV relativeFrom="paragraph">
              <wp:posOffset>158115</wp:posOffset>
            </wp:positionV>
            <wp:extent cx="4844415" cy="2546350"/>
            <wp:effectExtent l="0" t="0" r="13335" b="6350"/>
            <wp:wrapSquare wrapText="bothSides"/>
            <wp:docPr id="4" name="图片 4" descr="图片1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图片 4" descr="图片12"/>
                    <pic:cNvPicPr>
                      <a:picLocks noChangeAspect="true"/>
                    </pic:cNvPicPr>
                  </pic:nvPicPr>
                  <pic:blipFill>
                    <a:blip r:embed="rId13"/>
                    <a:stretch>
                      <a:fillRect/>
                    </a:stretch>
                  </pic:blipFill>
                  <pic:spPr>
                    <a:xfrm>
                      <a:off x="0" y="0"/>
                      <a:ext cx="4844415" cy="2546350"/>
                    </a:xfrm>
                    <a:prstGeom prst="rect">
                      <a:avLst/>
                    </a:prstGeom>
                  </pic:spPr>
                </pic:pic>
              </a:graphicData>
            </a:graphic>
          </wp:anchor>
        </w:drawing>
      </w:r>
      <w:bookmarkStart w:id="26" w:name="_Toc15396607"/>
      <w:bookmarkStart w:id="27" w:name="_Toc15377209"/>
      <w:r>
        <w:rPr>
          <w:rFonts w:hint="eastAsia" w:ascii="黑体" w:hAnsi="黑体" w:eastAsia="黑体"/>
          <w:sz w:val="32"/>
          <w:szCs w:val="32"/>
        </w:rPr>
        <w:t>五、</w:t>
      </w:r>
      <w:r>
        <w:rPr>
          <w:rFonts w:hint="eastAsia" w:ascii="黑体" w:hAnsi="黑体" w:eastAsia="黑体"/>
          <w:b/>
          <w:sz w:val="32"/>
          <w:szCs w:val="32"/>
        </w:rPr>
        <w:t>一</w:t>
      </w:r>
      <w:r>
        <w:rPr>
          <w:rStyle w:val="25"/>
          <w:rFonts w:hint="eastAsia" w:ascii="黑体" w:hAnsi="黑体" w:eastAsia="黑体"/>
          <w:b w:val="0"/>
        </w:rPr>
        <w:t>般公共预算财政拨款支出决算情况说明</w:t>
      </w:r>
      <w:bookmarkEnd w:id="26"/>
      <w:bookmarkEnd w:id="27"/>
    </w:p>
    <w:p>
      <w:pPr>
        <w:spacing w:line="600" w:lineRule="exact"/>
        <w:ind w:firstLine="642" w:firstLineChars="200"/>
        <w:outlineLvl w:val="2"/>
        <w:rPr>
          <w:rFonts w:ascii="仿宋" w:hAnsi="仿宋" w:eastAsia="仿宋"/>
          <w:b/>
          <w:sz w:val="32"/>
          <w:szCs w:val="32"/>
        </w:rPr>
      </w:pPr>
      <w:bookmarkStart w:id="28" w:name="_Toc15377210"/>
      <w:r>
        <w:rPr>
          <w:rFonts w:hint="eastAsia" w:ascii="仿宋" w:hAnsi="仿宋" w:eastAsia="仿宋"/>
          <w:b/>
          <w:sz w:val="32"/>
          <w:szCs w:val="32"/>
        </w:rPr>
        <w:t>（一）一般公共预算财政拨款支出决算总体情况</w:t>
      </w:r>
      <w:bookmarkEnd w:id="28"/>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22年一般公共预算财政拨款支出</w:t>
      </w:r>
      <w:r>
        <w:rPr>
          <w:rFonts w:hint="eastAsia" w:ascii="仿宋" w:hAnsi="仿宋" w:eastAsia="仿宋"/>
          <w:sz w:val="32"/>
          <w:szCs w:val="32"/>
          <w:lang w:val="en-US" w:eastAsia="zh-CN"/>
        </w:rPr>
        <w:t>17.64</w:t>
      </w:r>
      <w:r>
        <w:rPr>
          <w:rFonts w:hint="eastAsia" w:ascii="仿宋" w:hAnsi="仿宋" w:eastAsia="仿宋"/>
          <w:sz w:val="32"/>
          <w:szCs w:val="32"/>
        </w:rPr>
        <w:t>万元，占本年支出合计的</w:t>
      </w:r>
      <w:r>
        <w:rPr>
          <w:rFonts w:hint="eastAsia" w:ascii="仿宋" w:hAnsi="仿宋" w:eastAsia="仿宋"/>
          <w:sz w:val="32"/>
          <w:szCs w:val="32"/>
          <w:lang w:val="en-US" w:eastAsia="zh-CN"/>
        </w:rPr>
        <w:t>100</w:t>
      </w:r>
      <w:r>
        <w:rPr>
          <w:rFonts w:ascii="仿宋" w:hAnsi="仿宋" w:eastAsia="仿宋"/>
          <w:sz w:val="32"/>
          <w:szCs w:val="32"/>
        </w:rPr>
        <w:t>%</w:t>
      </w:r>
      <w:r>
        <w:rPr>
          <w:rFonts w:hint="eastAsia" w:ascii="仿宋" w:hAnsi="仿宋" w:eastAsia="仿宋"/>
          <w:sz w:val="32"/>
          <w:szCs w:val="32"/>
        </w:rPr>
        <w:t>。与</w:t>
      </w:r>
      <w:r>
        <w:rPr>
          <w:rFonts w:ascii="仿宋" w:hAnsi="仿宋" w:eastAsia="仿宋"/>
          <w:sz w:val="32"/>
          <w:szCs w:val="32"/>
        </w:rPr>
        <w:t>20</w:t>
      </w:r>
      <w:r>
        <w:rPr>
          <w:rFonts w:hint="eastAsia" w:ascii="仿宋" w:hAnsi="仿宋" w:eastAsia="仿宋"/>
          <w:sz w:val="32"/>
          <w:szCs w:val="32"/>
        </w:rPr>
        <w:t>21年相比，一般公共预算财政拨款支出减少</w:t>
      </w:r>
      <w:r>
        <w:rPr>
          <w:rFonts w:hint="eastAsia" w:ascii="仿宋" w:hAnsi="仿宋" w:eastAsia="仿宋"/>
          <w:sz w:val="32"/>
          <w:szCs w:val="32"/>
          <w:lang w:val="en-US" w:eastAsia="zh-CN"/>
        </w:rPr>
        <w:t>141.58</w:t>
      </w:r>
      <w:r>
        <w:rPr>
          <w:rFonts w:hint="eastAsia" w:ascii="仿宋" w:hAnsi="仿宋" w:eastAsia="仿宋"/>
          <w:sz w:val="32"/>
          <w:szCs w:val="32"/>
        </w:rPr>
        <w:t>万元，下降</w:t>
      </w:r>
      <w:r>
        <w:rPr>
          <w:rFonts w:hint="eastAsia" w:ascii="仿宋" w:hAnsi="仿宋" w:eastAsia="仿宋"/>
          <w:sz w:val="32"/>
          <w:szCs w:val="32"/>
          <w:lang w:val="en-US" w:eastAsia="zh-CN"/>
        </w:rPr>
        <w:t>88.92</w:t>
      </w:r>
      <w:r>
        <w:rPr>
          <w:rFonts w:ascii="仿宋" w:hAnsi="仿宋" w:eastAsia="仿宋"/>
          <w:sz w:val="32"/>
          <w:szCs w:val="32"/>
        </w:rPr>
        <w:t>%</w:t>
      </w:r>
      <w:r>
        <w:rPr>
          <w:rFonts w:hint="eastAsia" w:ascii="仿宋" w:hAnsi="仿宋" w:eastAsia="仿宋"/>
          <w:sz w:val="32"/>
          <w:szCs w:val="32"/>
        </w:rPr>
        <w:t>。主要变动原因是</w:t>
      </w:r>
      <w:r>
        <w:rPr>
          <w:rFonts w:hint="eastAsia" w:ascii="仿宋" w:hAnsi="仿宋" w:eastAsia="仿宋"/>
          <w:sz w:val="32"/>
          <w:szCs w:val="32"/>
          <w:lang w:eastAsia="zh-CN"/>
        </w:rPr>
        <w:t>隶属关系调整，</w:t>
      </w:r>
      <w:r>
        <w:rPr>
          <w:rFonts w:hint="eastAsia" w:ascii="仿宋" w:hAnsi="仿宋" w:eastAsia="仿宋" w:cs="Times New Roman"/>
          <w:kern w:val="2"/>
          <w:sz w:val="32"/>
          <w:szCs w:val="32"/>
          <w:lang w:val="en-US" w:eastAsia="zh-CN" w:bidi="ar-SA"/>
        </w:rPr>
        <w:t>2022年3月已将经费全部划拨至市政府办。</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（图5：一般公共预算财政拨款支出决算变动情况）（柱状图）</w:t>
      </w:r>
    </w:p>
    <w:p>
      <w:pPr>
        <w:spacing w:line="600" w:lineRule="exact"/>
        <w:ind w:firstLine="640" w:firstLineChars="200"/>
        <w:rPr>
          <w:rFonts w:ascii="仿宋" w:hAnsi="仿宋" w:eastAsia="仿宋"/>
          <w:sz w:val="32"/>
          <w:szCs w:val="32"/>
        </w:rPr>
      </w:pPr>
      <w:r>
        <w:rPr>
          <w:rFonts w:hint="eastAsia" w:ascii="仿宋" w:hAnsi="仿宋" w:eastAsia="仿宋"/>
          <w:sz w:val="32"/>
          <w:szCs w:val="32"/>
          <w:lang w:eastAsia="zh-CN"/>
        </w:rPr>
        <w:drawing>
          <wp:anchor distT="0" distB="0" distL="114300" distR="114300" simplePos="0" relativeHeight="251662336" behindDoc="0" locked="0" layoutInCell="1" allowOverlap="1">
            <wp:simplePos x="0" y="0"/>
            <wp:positionH relativeFrom="column">
              <wp:posOffset>561975</wp:posOffset>
            </wp:positionH>
            <wp:positionV relativeFrom="paragraph">
              <wp:posOffset>50165</wp:posOffset>
            </wp:positionV>
            <wp:extent cx="4060190" cy="2467610"/>
            <wp:effectExtent l="0" t="0" r="16510" b="8890"/>
            <wp:wrapSquare wrapText="bothSides"/>
            <wp:docPr id="5" name="图片 5" descr="图片1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 name="图片 5" descr="图片13"/>
                    <pic:cNvPicPr>
                      <a:picLocks noChangeAspect="true"/>
                    </pic:cNvPicPr>
                  </pic:nvPicPr>
                  <pic:blipFill>
                    <a:blip r:embed="rId14"/>
                    <a:stretch>
                      <a:fillRect/>
                    </a:stretch>
                  </pic:blipFill>
                  <pic:spPr>
                    <a:xfrm>
                      <a:off x="0" y="0"/>
                      <a:ext cx="4060190" cy="2467610"/>
                    </a:xfrm>
                    <a:prstGeom prst="rect">
                      <a:avLst/>
                    </a:prstGeom>
                  </pic:spPr>
                </pic:pic>
              </a:graphicData>
            </a:graphic>
          </wp:anchor>
        </w:drawing>
      </w:r>
    </w:p>
    <w:p>
      <w:pPr>
        <w:pStyle w:val="2"/>
        <w:rPr>
          <w:rFonts w:ascii="仿宋" w:hAnsi="仿宋" w:eastAsia="仿宋"/>
          <w:sz w:val="32"/>
          <w:szCs w:val="32"/>
        </w:rPr>
      </w:pPr>
    </w:p>
    <w:p>
      <w:pPr>
        <w:pStyle w:val="2"/>
        <w:rPr>
          <w:rFonts w:hint="eastAsia" w:ascii="仿宋" w:hAnsi="仿宋" w:eastAsia="仿宋"/>
          <w:sz w:val="32"/>
          <w:szCs w:val="32"/>
          <w:lang w:eastAsia="zh-CN"/>
        </w:rPr>
      </w:pPr>
    </w:p>
    <w:p>
      <w:pPr>
        <w:pStyle w:val="2"/>
        <w:rPr>
          <w:rFonts w:ascii="仿宋" w:hAnsi="仿宋" w:eastAsia="仿宋"/>
          <w:sz w:val="32"/>
          <w:szCs w:val="32"/>
        </w:rPr>
      </w:pPr>
    </w:p>
    <w:p>
      <w:pPr>
        <w:spacing w:line="600" w:lineRule="exact"/>
        <w:ind w:firstLine="642" w:firstLineChars="200"/>
        <w:outlineLvl w:val="2"/>
        <w:rPr>
          <w:rFonts w:ascii="仿宋" w:hAnsi="仿宋" w:eastAsia="仿宋"/>
          <w:b/>
          <w:sz w:val="32"/>
          <w:szCs w:val="32"/>
        </w:rPr>
      </w:pPr>
      <w:bookmarkStart w:id="29" w:name="_Toc15377211"/>
      <w:r>
        <w:rPr>
          <w:rFonts w:hint="eastAsia" w:ascii="仿宋" w:hAnsi="仿宋" w:eastAsia="仿宋"/>
          <w:b/>
          <w:sz w:val="32"/>
          <w:szCs w:val="32"/>
        </w:rPr>
        <w:t>（二）一般公共预算财政拨款支出决算结构情况</w:t>
      </w:r>
      <w:bookmarkEnd w:id="29"/>
    </w:p>
    <w:p>
      <w:pPr>
        <w:spacing w:line="600" w:lineRule="exact"/>
        <w:ind w:firstLine="640"/>
        <w:rPr>
          <w:rFonts w:ascii="仿宋" w:hAnsi="仿宋" w:eastAsia="仿宋"/>
          <w:b/>
          <w:sz w:val="32"/>
          <w:szCs w:val="32"/>
        </w:rPr>
      </w:pPr>
      <w:r>
        <w:rPr>
          <w:rFonts w:ascii="仿宋" w:hAnsi="仿宋" w:eastAsia="仿宋"/>
          <w:sz w:val="32"/>
          <w:szCs w:val="32"/>
        </w:rPr>
        <w:t>20</w:t>
      </w:r>
      <w:r>
        <w:rPr>
          <w:rFonts w:hint="eastAsia" w:ascii="仿宋" w:hAnsi="仿宋" w:eastAsia="仿宋"/>
          <w:sz w:val="32"/>
          <w:szCs w:val="32"/>
        </w:rPr>
        <w:t>22年一般公共预算财政拨款支出</w:t>
      </w:r>
      <w:r>
        <w:rPr>
          <w:rFonts w:hint="eastAsia" w:ascii="仿宋" w:hAnsi="仿宋" w:eastAsia="仿宋"/>
          <w:sz w:val="32"/>
          <w:szCs w:val="32"/>
          <w:lang w:val="en-US" w:eastAsia="zh-CN"/>
        </w:rPr>
        <w:t>17.64</w:t>
      </w:r>
      <w:r>
        <w:rPr>
          <w:rFonts w:hint="eastAsia" w:ascii="仿宋" w:hAnsi="仿宋" w:eastAsia="仿宋"/>
          <w:sz w:val="32"/>
          <w:szCs w:val="32"/>
        </w:rPr>
        <w:t>万元，主要用于以下方面</w:t>
      </w:r>
      <w:r>
        <w:rPr>
          <w:rFonts w:ascii="仿宋" w:hAnsi="仿宋" w:eastAsia="仿宋"/>
          <w:sz w:val="32"/>
          <w:szCs w:val="32"/>
        </w:rPr>
        <w:t>:</w:t>
      </w:r>
      <w:r>
        <w:rPr>
          <w:rFonts w:hint="eastAsia" w:ascii="仿宋" w:hAnsi="仿宋" w:eastAsia="仿宋"/>
          <w:b/>
          <w:sz w:val="32"/>
          <w:szCs w:val="32"/>
        </w:rPr>
        <w:t>科学技术</w:t>
      </w:r>
      <w:r>
        <w:rPr>
          <w:rFonts w:hint="eastAsia" w:ascii="仿宋" w:hAnsi="仿宋" w:eastAsia="仿宋"/>
          <w:b/>
          <w:bCs/>
          <w:sz w:val="32"/>
          <w:szCs w:val="32"/>
        </w:rPr>
        <w:t>支出</w:t>
      </w:r>
      <w:r>
        <w:rPr>
          <w:rFonts w:hint="eastAsia" w:ascii="仿宋" w:hAnsi="仿宋" w:eastAsia="仿宋"/>
          <w:sz w:val="32"/>
          <w:szCs w:val="32"/>
        </w:rPr>
        <w:t>15.3万元，占</w:t>
      </w:r>
      <w:r>
        <w:rPr>
          <w:rFonts w:hint="eastAsia" w:ascii="仿宋" w:hAnsi="仿宋" w:eastAsia="仿宋"/>
          <w:sz w:val="32"/>
          <w:szCs w:val="32"/>
          <w:lang w:val="en-US" w:eastAsia="zh-CN"/>
        </w:rPr>
        <w:t>86.73</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sz w:val="32"/>
          <w:szCs w:val="32"/>
        </w:rPr>
        <w:t>社会保障和就业</w:t>
      </w:r>
      <w:r>
        <w:rPr>
          <w:rFonts w:hint="eastAsia" w:ascii="仿宋" w:hAnsi="仿宋" w:eastAsia="仿宋"/>
          <w:b/>
          <w:bCs/>
          <w:sz w:val="32"/>
          <w:szCs w:val="32"/>
        </w:rPr>
        <w:t>支出</w:t>
      </w:r>
      <w:r>
        <w:rPr>
          <w:rFonts w:hint="eastAsia" w:ascii="仿宋" w:hAnsi="仿宋" w:eastAsia="仿宋"/>
          <w:sz w:val="32"/>
          <w:szCs w:val="32"/>
        </w:rPr>
        <w:t>0.98万元，占</w:t>
      </w:r>
      <w:r>
        <w:rPr>
          <w:rFonts w:hint="eastAsia" w:ascii="仿宋" w:hAnsi="仿宋" w:eastAsia="仿宋"/>
          <w:sz w:val="32"/>
          <w:szCs w:val="32"/>
          <w:lang w:val="en-US" w:eastAsia="zh-CN"/>
        </w:rPr>
        <w:t>5.56</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住房保障支出</w:t>
      </w:r>
      <w:r>
        <w:rPr>
          <w:rFonts w:hint="eastAsia" w:ascii="仿宋" w:hAnsi="仿宋" w:eastAsia="仿宋"/>
          <w:sz w:val="32"/>
          <w:szCs w:val="32"/>
        </w:rPr>
        <w:t>1.36万元，占</w:t>
      </w:r>
      <w:r>
        <w:rPr>
          <w:rFonts w:hint="eastAsia" w:ascii="仿宋" w:hAnsi="仿宋" w:eastAsia="仿宋"/>
          <w:sz w:val="32"/>
          <w:szCs w:val="32"/>
          <w:lang w:val="en-US" w:eastAsia="zh-CN"/>
        </w:rPr>
        <w:t>7.71</w:t>
      </w:r>
      <w:r>
        <w:rPr>
          <w:rFonts w:ascii="仿宋" w:hAnsi="仿宋" w:eastAsia="仿宋"/>
          <w:sz w:val="32"/>
          <w:szCs w:val="32"/>
        </w:rPr>
        <w:t>%</w:t>
      </w:r>
      <w:r>
        <w:rPr>
          <w:rFonts w:hint="eastAsia" w:ascii="仿宋" w:hAnsi="仿宋" w:eastAsia="仿宋"/>
          <w:sz w:val="32"/>
          <w:szCs w:val="32"/>
        </w:rPr>
        <w:t>。</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（图6：一般公共预算财政拨款支出决算结构）（饼状图）</w:t>
      </w:r>
    </w:p>
    <w:p>
      <w:pPr>
        <w:spacing w:line="600" w:lineRule="exact"/>
        <w:ind w:firstLine="640" w:firstLineChars="200"/>
        <w:rPr>
          <w:rFonts w:ascii="仿宋" w:hAnsi="仿宋" w:eastAsia="仿宋"/>
          <w:sz w:val="32"/>
          <w:szCs w:val="32"/>
        </w:rPr>
      </w:pPr>
      <w:r>
        <w:rPr>
          <w:rFonts w:hint="eastAsia" w:ascii="仿宋" w:hAnsi="仿宋" w:eastAsia="仿宋"/>
          <w:sz w:val="32"/>
          <w:szCs w:val="32"/>
          <w:lang w:eastAsia="zh-CN"/>
        </w:rPr>
        <w:drawing>
          <wp:anchor distT="0" distB="0" distL="114300" distR="114300" simplePos="0" relativeHeight="251663360" behindDoc="0" locked="0" layoutInCell="1" allowOverlap="1">
            <wp:simplePos x="0" y="0"/>
            <wp:positionH relativeFrom="column">
              <wp:posOffset>657225</wp:posOffset>
            </wp:positionH>
            <wp:positionV relativeFrom="paragraph">
              <wp:posOffset>182880</wp:posOffset>
            </wp:positionV>
            <wp:extent cx="3956050" cy="2548255"/>
            <wp:effectExtent l="0" t="0" r="6350" b="4445"/>
            <wp:wrapSquare wrapText="bothSides"/>
            <wp:docPr id="6" name="图片 6" descr="图片1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图片14"/>
                    <pic:cNvPicPr>
                      <a:picLocks noChangeAspect="true"/>
                    </pic:cNvPicPr>
                  </pic:nvPicPr>
                  <pic:blipFill>
                    <a:blip r:embed="rId15"/>
                    <a:stretch>
                      <a:fillRect/>
                    </a:stretch>
                  </pic:blipFill>
                  <pic:spPr>
                    <a:xfrm>
                      <a:off x="0" y="0"/>
                      <a:ext cx="3956050" cy="2548255"/>
                    </a:xfrm>
                    <a:prstGeom prst="rect">
                      <a:avLst/>
                    </a:prstGeom>
                  </pic:spPr>
                </pic:pic>
              </a:graphicData>
            </a:graphic>
          </wp:anchor>
        </w:drawing>
      </w:r>
    </w:p>
    <w:p>
      <w:pPr>
        <w:pStyle w:val="2"/>
        <w:rPr>
          <w:rFonts w:ascii="仿宋" w:hAnsi="仿宋" w:eastAsia="仿宋"/>
          <w:sz w:val="32"/>
          <w:szCs w:val="32"/>
        </w:rPr>
      </w:pPr>
    </w:p>
    <w:p>
      <w:pPr>
        <w:pStyle w:val="2"/>
        <w:rPr>
          <w:rFonts w:ascii="仿宋" w:hAnsi="仿宋" w:eastAsia="仿宋"/>
          <w:sz w:val="32"/>
          <w:szCs w:val="32"/>
        </w:rPr>
      </w:pPr>
    </w:p>
    <w:p>
      <w:pPr>
        <w:pStyle w:val="2"/>
        <w:rPr>
          <w:rFonts w:hint="eastAsia" w:ascii="仿宋" w:hAnsi="仿宋" w:eastAsia="仿宋"/>
          <w:sz w:val="32"/>
          <w:szCs w:val="32"/>
          <w:lang w:eastAsia="zh-CN"/>
        </w:rPr>
      </w:pPr>
    </w:p>
    <w:p>
      <w:pPr>
        <w:spacing w:line="600" w:lineRule="exact"/>
        <w:ind w:firstLine="642" w:firstLineChars="200"/>
        <w:outlineLvl w:val="2"/>
        <w:rPr>
          <w:rFonts w:ascii="仿宋" w:hAnsi="仿宋" w:eastAsia="仿宋"/>
          <w:b/>
          <w:sz w:val="32"/>
          <w:szCs w:val="32"/>
        </w:rPr>
      </w:pPr>
      <w:bookmarkStart w:id="30" w:name="_Toc15377212"/>
      <w:r>
        <w:rPr>
          <w:rFonts w:hint="eastAsia" w:ascii="仿宋" w:hAnsi="仿宋" w:eastAsia="仿宋"/>
          <w:b/>
          <w:sz w:val="32"/>
          <w:szCs w:val="32"/>
        </w:rPr>
        <w:t>（三）一般公共预算财政拨款支出决算具体情况</w:t>
      </w:r>
      <w:bookmarkEnd w:id="30"/>
    </w:p>
    <w:p>
      <w:pPr>
        <w:spacing w:line="600" w:lineRule="exact"/>
        <w:ind w:firstLine="642" w:firstLineChars="200"/>
        <w:outlineLvl w:val="2"/>
        <w:rPr>
          <w:rFonts w:ascii="仿宋" w:hAnsi="仿宋" w:eastAsia="仿宋"/>
          <w:sz w:val="32"/>
          <w:szCs w:val="32"/>
        </w:rPr>
      </w:pPr>
      <w:bookmarkStart w:id="31" w:name="_Toc15378460"/>
      <w:bookmarkStart w:id="32" w:name="_Toc15377213"/>
      <w:bookmarkStart w:id="33" w:name="_Toc15377444"/>
      <w:r>
        <w:rPr>
          <w:rFonts w:hint="eastAsia" w:ascii="仿宋" w:hAnsi="仿宋" w:eastAsia="仿宋"/>
          <w:b/>
          <w:sz w:val="32"/>
          <w:szCs w:val="32"/>
        </w:rPr>
        <w:t>2022年一般公共预算支出决算数为</w:t>
      </w:r>
      <w:r>
        <w:rPr>
          <w:rFonts w:hint="eastAsia" w:ascii="仿宋" w:hAnsi="仿宋" w:eastAsia="仿宋"/>
          <w:sz w:val="32"/>
          <w:szCs w:val="32"/>
          <w:lang w:val="en-US" w:eastAsia="zh-CN"/>
        </w:rPr>
        <w:t>17.64</w:t>
      </w:r>
      <w:r>
        <w:rPr>
          <w:rFonts w:hint="eastAsia" w:ascii="仿宋" w:hAnsi="仿宋" w:eastAsia="仿宋"/>
          <w:sz w:val="32"/>
          <w:szCs w:val="32"/>
        </w:rPr>
        <w:t>，</w:t>
      </w:r>
      <w:r>
        <w:rPr>
          <w:rStyle w:val="14"/>
          <w:rFonts w:hint="eastAsia" w:ascii="仿宋" w:hAnsi="仿宋" w:eastAsia="仿宋"/>
          <w:bCs/>
          <w:sz w:val="32"/>
          <w:szCs w:val="32"/>
        </w:rPr>
        <w:t>完成预算</w:t>
      </w:r>
      <w:r>
        <w:rPr>
          <w:rStyle w:val="14"/>
          <w:rFonts w:hint="eastAsia" w:ascii="仿宋" w:hAnsi="仿宋" w:eastAsia="仿宋"/>
          <w:bCs/>
          <w:sz w:val="32"/>
          <w:szCs w:val="32"/>
          <w:lang w:val="en-US" w:eastAsia="zh-CN"/>
        </w:rPr>
        <w:t>100</w:t>
      </w:r>
      <w:r>
        <w:rPr>
          <w:rStyle w:val="14"/>
          <w:rFonts w:ascii="仿宋" w:hAnsi="仿宋" w:eastAsia="仿宋"/>
          <w:bCs/>
          <w:sz w:val="32"/>
          <w:szCs w:val="32"/>
        </w:rPr>
        <w:t>%</w:t>
      </w:r>
      <w:r>
        <w:rPr>
          <w:rStyle w:val="14"/>
          <w:rFonts w:hint="eastAsia" w:ascii="仿宋" w:hAnsi="仿宋" w:eastAsia="仿宋"/>
          <w:bCs/>
          <w:sz w:val="32"/>
          <w:szCs w:val="32"/>
        </w:rPr>
        <w:t>。其中：</w:t>
      </w:r>
      <w:bookmarkEnd w:id="31"/>
      <w:bookmarkEnd w:id="32"/>
      <w:bookmarkEnd w:id="33"/>
    </w:p>
    <w:p>
      <w:pPr>
        <w:spacing w:line="600" w:lineRule="exact"/>
        <w:ind w:firstLine="642" w:firstLineChars="200"/>
        <w:rPr>
          <w:rStyle w:val="14"/>
          <w:rFonts w:hint="eastAsia" w:ascii="仿宋" w:hAnsi="仿宋" w:eastAsia="仿宋"/>
          <w:b w:val="0"/>
          <w:bCs/>
          <w:sz w:val="32"/>
          <w:szCs w:val="32"/>
          <w:lang w:eastAsia="zh-CN"/>
        </w:rPr>
      </w:pPr>
      <w:bookmarkStart w:id="34" w:name="_Toc15396608"/>
      <w:bookmarkStart w:id="35" w:name="_Toc15377214"/>
      <w:r>
        <w:rPr>
          <w:rStyle w:val="14"/>
          <w:rFonts w:ascii="仿宋" w:hAnsi="仿宋" w:eastAsia="仿宋"/>
          <w:bCs/>
          <w:sz w:val="32"/>
          <w:szCs w:val="32"/>
        </w:rPr>
        <w:t>1.</w:t>
      </w:r>
      <w:r>
        <w:rPr>
          <w:rStyle w:val="14"/>
          <w:rFonts w:hint="eastAsia" w:ascii="仿宋" w:hAnsi="仿宋" w:eastAsia="仿宋"/>
          <w:bCs/>
          <w:sz w:val="32"/>
          <w:szCs w:val="32"/>
        </w:rPr>
        <w:t>科学技术（类）其他科学技术支出（款）其他科学技术支出（项）</w:t>
      </w:r>
      <w:r>
        <w:rPr>
          <w:rStyle w:val="14"/>
          <w:rFonts w:ascii="仿宋" w:hAnsi="仿宋" w:eastAsia="仿宋"/>
          <w:bCs/>
          <w:sz w:val="32"/>
          <w:szCs w:val="32"/>
        </w:rPr>
        <w:t>:</w:t>
      </w:r>
      <w:r>
        <w:rPr>
          <w:rStyle w:val="14"/>
          <w:rFonts w:ascii="仿宋" w:hAnsi="仿宋" w:eastAsia="仿宋"/>
          <w:b w:val="0"/>
          <w:bCs/>
          <w:sz w:val="32"/>
          <w:szCs w:val="32"/>
        </w:rPr>
        <w:t xml:space="preserve"> </w:t>
      </w:r>
      <w:r>
        <w:rPr>
          <w:rStyle w:val="14"/>
          <w:rFonts w:hint="eastAsia" w:ascii="仿宋" w:hAnsi="仿宋" w:eastAsia="仿宋"/>
          <w:b w:val="0"/>
          <w:bCs/>
          <w:sz w:val="32"/>
          <w:szCs w:val="32"/>
        </w:rPr>
        <w:t>支出决算为</w:t>
      </w:r>
      <w:r>
        <w:rPr>
          <w:rStyle w:val="14"/>
          <w:rFonts w:hint="eastAsia" w:ascii="仿宋" w:hAnsi="仿宋" w:eastAsia="仿宋"/>
          <w:b w:val="0"/>
          <w:bCs/>
          <w:sz w:val="32"/>
          <w:szCs w:val="32"/>
          <w:lang w:val="en-US" w:eastAsia="zh-CN"/>
        </w:rPr>
        <w:t>15.3</w:t>
      </w:r>
      <w:r>
        <w:rPr>
          <w:rStyle w:val="14"/>
          <w:rFonts w:hint="eastAsia" w:ascii="仿宋" w:hAnsi="仿宋" w:eastAsia="仿宋"/>
          <w:b w:val="0"/>
          <w:bCs/>
          <w:sz w:val="32"/>
          <w:szCs w:val="32"/>
        </w:rPr>
        <w:t>万元，完成预算</w:t>
      </w:r>
      <w:r>
        <w:rPr>
          <w:rStyle w:val="14"/>
          <w:rFonts w:hint="eastAsia" w:ascii="仿宋" w:hAnsi="仿宋" w:eastAsia="仿宋"/>
          <w:b w:val="0"/>
          <w:bCs/>
          <w:sz w:val="32"/>
          <w:szCs w:val="32"/>
          <w:lang w:val="en-US" w:eastAsia="zh-CN"/>
        </w:rPr>
        <w:t>100</w:t>
      </w:r>
      <w:r>
        <w:rPr>
          <w:rStyle w:val="14"/>
          <w:rFonts w:ascii="仿宋" w:hAnsi="仿宋" w:eastAsia="仿宋"/>
          <w:b w:val="0"/>
          <w:bCs/>
          <w:sz w:val="32"/>
          <w:szCs w:val="32"/>
        </w:rPr>
        <w:t>%</w:t>
      </w:r>
      <w:r>
        <w:rPr>
          <w:rStyle w:val="14"/>
          <w:rFonts w:hint="eastAsia" w:ascii="仿宋" w:hAnsi="仿宋" w:eastAsia="仿宋"/>
          <w:b w:val="0"/>
          <w:bCs/>
          <w:sz w:val="32"/>
          <w:szCs w:val="32"/>
          <w:lang w:eastAsia="zh-CN"/>
        </w:rPr>
        <w:t>；</w:t>
      </w:r>
    </w:p>
    <w:p>
      <w:pPr>
        <w:spacing w:line="600" w:lineRule="exact"/>
        <w:ind w:firstLine="642" w:firstLineChars="200"/>
        <w:rPr>
          <w:rFonts w:hint="eastAsia" w:ascii="仿宋" w:hAnsi="仿宋" w:eastAsia="仿宋"/>
          <w:b/>
          <w:sz w:val="32"/>
          <w:szCs w:val="32"/>
          <w:lang w:eastAsia="zh-CN"/>
        </w:rPr>
      </w:pPr>
      <w:r>
        <w:rPr>
          <w:rStyle w:val="14"/>
          <w:rFonts w:hint="eastAsia" w:ascii="仿宋" w:hAnsi="仿宋" w:eastAsia="仿宋"/>
          <w:bCs/>
          <w:sz w:val="32"/>
          <w:szCs w:val="32"/>
          <w:lang w:val="en-US" w:eastAsia="zh-CN"/>
        </w:rPr>
        <w:t>2</w:t>
      </w:r>
      <w:r>
        <w:rPr>
          <w:rStyle w:val="14"/>
          <w:rFonts w:ascii="仿宋" w:hAnsi="仿宋" w:eastAsia="仿宋"/>
          <w:bCs/>
          <w:sz w:val="32"/>
          <w:szCs w:val="32"/>
        </w:rPr>
        <w:t>.</w:t>
      </w:r>
      <w:r>
        <w:rPr>
          <w:rStyle w:val="14"/>
          <w:rFonts w:hint="eastAsia" w:ascii="仿宋" w:hAnsi="仿宋" w:eastAsia="仿宋"/>
          <w:bCs/>
          <w:sz w:val="32"/>
          <w:szCs w:val="32"/>
        </w:rPr>
        <w:t>社会保障和就业（类）行政事业单位养老支出（款）机关事业单位基本养老保险缴费支出（项）</w:t>
      </w:r>
      <w:r>
        <w:rPr>
          <w:rStyle w:val="14"/>
          <w:rFonts w:ascii="仿宋" w:hAnsi="仿宋" w:eastAsia="仿宋"/>
          <w:bCs/>
          <w:sz w:val="32"/>
          <w:szCs w:val="32"/>
        </w:rPr>
        <w:t>:</w:t>
      </w:r>
      <w:r>
        <w:rPr>
          <w:rStyle w:val="14"/>
          <w:rFonts w:ascii="仿宋" w:hAnsi="仿宋" w:eastAsia="仿宋"/>
          <w:b w:val="0"/>
          <w:bCs/>
          <w:sz w:val="32"/>
          <w:szCs w:val="32"/>
        </w:rPr>
        <w:t xml:space="preserve"> </w:t>
      </w:r>
      <w:r>
        <w:rPr>
          <w:rStyle w:val="14"/>
          <w:rFonts w:hint="eastAsia" w:ascii="仿宋" w:hAnsi="仿宋" w:eastAsia="仿宋"/>
          <w:b w:val="0"/>
          <w:bCs/>
          <w:sz w:val="32"/>
          <w:szCs w:val="32"/>
        </w:rPr>
        <w:t>支出决算为</w:t>
      </w:r>
      <w:r>
        <w:rPr>
          <w:rFonts w:hint="eastAsia" w:ascii="仿宋" w:hAnsi="仿宋" w:eastAsia="仿宋"/>
          <w:sz w:val="32"/>
          <w:szCs w:val="32"/>
        </w:rPr>
        <w:t>0.98</w:t>
      </w:r>
      <w:r>
        <w:rPr>
          <w:rStyle w:val="14"/>
          <w:rFonts w:hint="eastAsia" w:ascii="仿宋" w:hAnsi="仿宋" w:eastAsia="仿宋"/>
          <w:b w:val="0"/>
          <w:bCs/>
          <w:sz w:val="32"/>
          <w:szCs w:val="32"/>
        </w:rPr>
        <w:t>万元，完成预算</w:t>
      </w:r>
      <w:r>
        <w:rPr>
          <w:rStyle w:val="14"/>
          <w:rFonts w:hint="eastAsia" w:ascii="仿宋" w:hAnsi="仿宋" w:eastAsia="仿宋"/>
          <w:b w:val="0"/>
          <w:bCs/>
          <w:sz w:val="32"/>
          <w:szCs w:val="32"/>
          <w:lang w:val="en-US" w:eastAsia="zh-CN"/>
        </w:rPr>
        <w:t>100</w:t>
      </w:r>
      <w:r>
        <w:rPr>
          <w:rStyle w:val="14"/>
          <w:rFonts w:ascii="仿宋" w:hAnsi="仿宋" w:eastAsia="仿宋"/>
          <w:b w:val="0"/>
          <w:bCs/>
          <w:sz w:val="32"/>
          <w:szCs w:val="32"/>
        </w:rPr>
        <w:t>%</w:t>
      </w:r>
      <w:r>
        <w:rPr>
          <w:rStyle w:val="14"/>
          <w:rFonts w:hint="eastAsia" w:ascii="仿宋" w:hAnsi="仿宋" w:eastAsia="仿宋"/>
          <w:b w:val="0"/>
          <w:bCs/>
          <w:sz w:val="32"/>
          <w:szCs w:val="32"/>
          <w:lang w:eastAsia="zh-CN"/>
        </w:rPr>
        <w:t>；</w:t>
      </w:r>
    </w:p>
    <w:p>
      <w:pPr>
        <w:spacing w:line="600" w:lineRule="exact"/>
        <w:ind w:firstLine="642" w:firstLineChars="200"/>
        <w:rPr>
          <w:rFonts w:ascii="仿宋" w:hAnsi="仿宋" w:eastAsia="仿宋"/>
          <w:sz w:val="32"/>
          <w:szCs w:val="32"/>
        </w:rPr>
      </w:pPr>
      <w:r>
        <w:rPr>
          <w:rStyle w:val="14"/>
          <w:rFonts w:hint="eastAsia" w:ascii="仿宋" w:hAnsi="仿宋" w:eastAsia="仿宋"/>
          <w:bCs/>
          <w:sz w:val="32"/>
          <w:szCs w:val="32"/>
          <w:lang w:val="en-US" w:eastAsia="zh-CN"/>
        </w:rPr>
        <w:t>3</w:t>
      </w:r>
      <w:r>
        <w:rPr>
          <w:rStyle w:val="14"/>
          <w:rFonts w:ascii="仿宋" w:hAnsi="仿宋" w:eastAsia="仿宋"/>
          <w:bCs/>
          <w:sz w:val="32"/>
          <w:szCs w:val="32"/>
        </w:rPr>
        <w:t>.</w:t>
      </w:r>
      <w:r>
        <w:rPr>
          <w:rStyle w:val="14"/>
          <w:rFonts w:hint="eastAsia" w:ascii="仿宋" w:hAnsi="仿宋" w:eastAsia="仿宋"/>
          <w:bCs/>
          <w:sz w:val="32"/>
          <w:szCs w:val="32"/>
        </w:rPr>
        <w:t>住房保障（类）住房改革支出（款） 住房公积金（项）</w:t>
      </w:r>
      <w:r>
        <w:rPr>
          <w:rStyle w:val="14"/>
          <w:rFonts w:ascii="仿宋" w:hAnsi="仿宋" w:eastAsia="仿宋"/>
          <w:bCs/>
          <w:sz w:val="32"/>
          <w:szCs w:val="32"/>
        </w:rPr>
        <w:t>:</w:t>
      </w:r>
      <w:r>
        <w:rPr>
          <w:rStyle w:val="14"/>
          <w:rFonts w:ascii="仿宋" w:hAnsi="仿宋" w:eastAsia="仿宋"/>
          <w:b w:val="0"/>
          <w:bCs/>
          <w:sz w:val="32"/>
          <w:szCs w:val="32"/>
        </w:rPr>
        <w:t xml:space="preserve"> </w:t>
      </w:r>
      <w:r>
        <w:rPr>
          <w:rStyle w:val="14"/>
          <w:rFonts w:hint="eastAsia" w:ascii="仿宋" w:hAnsi="仿宋" w:eastAsia="仿宋"/>
          <w:b w:val="0"/>
          <w:bCs/>
          <w:sz w:val="32"/>
          <w:szCs w:val="32"/>
        </w:rPr>
        <w:t>支出决算为</w:t>
      </w:r>
      <w:r>
        <w:rPr>
          <w:rStyle w:val="14"/>
          <w:rFonts w:hint="eastAsia" w:ascii="仿宋" w:hAnsi="仿宋" w:eastAsia="仿宋"/>
          <w:b w:val="0"/>
          <w:bCs/>
          <w:sz w:val="32"/>
          <w:szCs w:val="32"/>
          <w:lang w:val="en-US" w:eastAsia="zh-CN"/>
        </w:rPr>
        <w:t>1.36</w:t>
      </w:r>
      <w:r>
        <w:rPr>
          <w:rStyle w:val="14"/>
          <w:rFonts w:hint="eastAsia" w:ascii="仿宋" w:hAnsi="仿宋" w:eastAsia="仿宋"/>
          <w:b w:val="0"/>
          <w:bCs/>
          <w:sz w:val="32"/>
          <w:szCs w:val="32"/>
        </w:rPr>
        <w:t>万元，完成预算</w:t>
      </w:r>
      <w:r>
        <w:rPr>
          <w:rStyle w:val="14"/>
          <w:rFonts w:hint="eastAsia" w:ascii="仿宋" w:hAnsi="仿宋" w:eastAsia="仿宋"/>
          <w:b w:val="0"/>
          <w:bCs/>
          <w:sz w:val="32"/>
          <w:szCs w:val="32"/>
          <w:lang w:val="en-US" w:eastAsia="zh-CN"/>
        </w:rPr>
        <w:t>100</w:t>
      </w:r>
      <w:r>
        <w:rPr>
          <w:rStyle w:val="14"/>
          <w:rFonts w:ascii="仿宋" w:hAnsi="仿宋" w:eastAsia="仿宋"/>
          <w:b w:val="0"/>
          <w:bCs/>
          <w:sz w:val="32"/>
          <w:szCs w:val="32"/>
        </w:rPr>
        <w:t>%</w:t>
      </w:r>
      <w:r>
        <w:rPr>
          <w:rStyle w:val="14"/>
          <w:rFonts w:hint="eastAsia" w:ascii="仿宋" w:hAnsi="仿宋" w:eastAsia="仿宋"/>
          <w:b w:val="0"/>
          <w:bCs/>
          <w:sz w:val="32"/>
          <w:szCs w:val="32"/>
          <w:lang w:eastAsia="zh-CN"/>
        </w:rPr>
        <w:t>。</w:t>
      </w:r>
    </w:p>
    <w:p>
      <w:pPr>
        <w:tabs>
          <w:tab w:val="right" w:pos="8306"/>
        </w:tabs>
        <w:spacing w:line="600" w:lineRule="exact"/>
        <w:ind w:firstLine="640"/>
        <w:outlineLvl w:val="1"/>
        <w:rPr>
          <w:rStyle w:val="25"/>
        </w:rPr>
      </w:pPr>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25"/>
          <w:rFonts w:hint="eastAsia" w:ascii="黑体" w:hAnsi="黑体" w:eastAsia="黑体"/>
          <w:b w:val="0"/>
        </w:rPr>
        <w:t>般公共预算财政拨款基本支出决算情况说明</w:t>
      </w:r>
      <w:bookmarkEnd w:id="34"/>
      <w:bookmarkEnd w:id="35"/>
      <w:r>
        <w:rPr>
          <w:rStyle w:val="25"/>
          <w:rFonts w:ascii="黑体" w:hAnsi="黑体" w:eastAsia="黑体"/>
          <w:b w:val="0"/>
        </w:rPr>
        <w:tab/>
      </w:r>
    </w:p>
    <w:p>
      <w:pPr>
        <w:spacing w:line="600" w:lineRule="exact"/>
        <w:ind w:firstLine="645"/>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22年一般公共预算财政拨款基本支出</w:t>
      </w:r>
      <w:r>
        <w:rPr>
          <w:rFonts w:hint="eastAsia" w:ascii="仿宋" w:hAnsi="仿宋" w:eastAsia="仿宋"/>
          <w:sz w:val="32"/>
          <w:szCs w:val="32"/>
          <w:lang w:val="en-US" w:eastAsia="zh-CN"/>
        </w:rPr>
        <w:t>17.64</w:t>
      </w:r>
      <w:r>
        <w:rPr>
          <w:rFonts w:hint="eastAsia" w:ascii="仿宋" w:hAnsi="仿宋" w:eastAsia="仿宋"/>
          <w:sz w:val="32"/>
          <w:szCs w:val="32"/>
        </w:rPr>
        <w:t>万元，其中：</w:t>
      </w:r>
    </w:p>
    <w:p>
      <w:pPr>
        <w:spacing w:line="600" w:lineRule="exact"/>
        <w:ind w:firstLine="645"/>
        <w:rPr>
          <w:rFonts w:ascii="仿宋" w:hAnsi="仿宋" w:eastAsia="仿宋"/>
          <w:sz w:val="32"/>
          <w:szCs w:val="32"/>
        </w:rPr>
      </w:pPr>
      <w:r>
        <w:rPr>
          <w:rFonts w:hint="eastAsia" w:ascii="仿宋" w:hAnsi="仿宋" w:eastAsia="仿宋"/>
          <w:sz w:val="32"/>
          <w:szCs w:val="32"/>
        </w:rPr>
        <w:t>人员经费16.72万元，主要包括：基本工资、津贴补贴、绩效工资、机关事业单位基本养老保险缴费、职工基本医疗保险缴费</w:t>
      </w:r>
      <w:r>
        <w:rPr>
          <w:rFonts w:hint="eastAsia" w:ascii="仿宋" w:hAnsi="仿宋" w:eastAsia="仿宋"/>
          <w:sz w:val="32"/>
          <w:szCs w:val="32"/>
          <w:lang w:eastAsia="zh-CN"/>
        </w:rPr>
        <w:t>、公务员医疗补助缴费、</w:t>
      </w:r>
      <w:r>
        <w:rPr>
          <w:rFonts w:hint="eastAsia" w:ascii="仿宋" w:hAnsi="仿宋" w:eastAsia="仿宋"/>
          <w:sz w:val="32"/>
          <w:szCs w:val="32"/>
        </w:rPr>
        <w:t>其他社会保障缴费、住房公积金。</w:t>
      </w:r>
      <w:r>
        <w:rPr>
          <w:rFonts w:ascii="仿宋" w:hAnsi="仿宋" w:eastAsia="仿宋"/>
          <w:sz w:val="32"/>
          <w:szCs w:val="32"/>
        </w:rPr>
        <w:br w:type="textWrapping"/>
      </w:r>
      <w:r>
        <w:rPr>
          <w:rFonts w:hint="eastAsia" w:ascii="仿宋" w:hAnsi="仿宋" w:eastAsia="仿宋"/>
          <w:sz w:val="32"/>
          <w:szCs w:val="32"/>
        </w:rPr>
        <w:t>　　公用经费0.92万元，主要包括：邮电费、差旅费。</w:t>
      </w:r>
    </w:p>
    <w:p>
      <w:pPr>
        <w:spacing w:line="600" w:lineRule="exact"/>
        <w:ind w:firstLine="640"/>
        <w:outlineLvl w:val="1"/>
        <w:rPr>
          <w:rStyle w:val="25"/>
          <w:rFonts w:ascii="黑体" w:hAnsi="黑体" w:eastAsia="黑体"/>
          <w:b w:val="0"/>
        </w:rPr>
      </w:pPr>
      <w:bookmarkStart w:id="36" w:name="_Toc15396609"/>
      <w:bookmarkStart w:id="37" w:name="_Toc15377215"/>
      <w:r>
        <w:rPr>
          <w:rFonts w:hint="eastAsia" w:ascii="黑体" w:eastAsia="黑体"/>
          <w:sz w:val="32"/>
          <w:szCs w:val="32"/>
        </w:rPr>
        <w:t>七、</w:t>
      </w:r>
      <w:r>
        <w:rPr>
          <w:rStyle w:val="25"/>
          <w:rFonts w:hint="eastAsia" w:ascii="黑体" w:hAnsi="黑体" w:eastAsia="黑体"/>
          <w:b w:val="0"/>
        </w:rPr>
        <w:t>财政拨款</w:t>
      </w:r>
      <w:r>
        <w:rPr>
          <w:rStyle w:val="25"/>
          <w:rFonts w:hint="eastAsia" w:ascii="黑体" w:hAnsi="黑体" w:eastAsia="黑体"/>
        </w:rPr>
        <w:t>“</w:t>
      </w:r>
      <w:r>
        <w:rPr>
          <w:rStyle w:val="25"/>
          <w:rFonts w:hint="eastAsia" w:ascii="黑体" w:hAnsi="黑体" w:eastAsia="黑体"/>
          <w:b w:val="0"/>
        </w:rPr>
        <w:t>三公”经费支出决算情况说明</w:t>
      </w:r>
      <w:bookmarkEnd w:id="36"/>
      <w:bookmarkEnd w:id="37"/>
    </w:p>
    <w:p>
      <w:pPr>
        <w:spacing w:line="600" w:lineRule="exact"/>
        <w:ind w:firstLine="640"/>
        <w:outlineLvl w:val="2"/>
        <w:rPr>
          <w:rFonts w:ascii="仿宋" w:hAnsi="仿宋" w:eastAsia="仿宋"/>
          <w:b/>
          <w:sz w:val="32"/>
          <w:szCs w:val="32"/>
        </w:rPr>
      </w:pPr>
      <w:bookmarkStart w:id="38" w:name="_Toc15377216"/>
      <w:r>
        <w:rPr>
          <w:rFonts w:hint="eastAsia" w:ascii="仿宋" w:hAnsi="仿宋" w:eastAsia="仿宋"/>
          <w:b/>
          <w:sz w:val="32"/>
          <w:szCs w:val="32"/>
        </w:rPr>
        <w:t>（一）“三公”经费财政拨款支出决算总体情况说明</w:t>
      </w:r>
      <w:bookmarkEnd w:id="38"/>
    </w:p>
    <w:p>
      <w:pPr>
        <w:spacing w:line="600" w:lineRule="exact"/>
        <w:ind w:firstLine="640"/>
        <w:rPr>
          <w:rFonts w:hint="default" w:ascii="仿宋" w:hAnsi="仿宋" w:eastAsia="仿宋"/>
          <w:sz w:val="32"/>
          <w:szCs w:val="32"/>
          <w:lang w:val="en-US" w:eastAsia="zh-CN"/>
        </w:rPr>
      </w:pPr>
      <w:r>
        <w:rPr>
          <w:rFonts w:ascii="仿宋" w:hAnsi="仿宋" w:eastAsia="仿宋"/>
          <w:sz w:val="32"/>
          <w:szCs w:val="32"/>
        </w:rPr>
        <w:t>20</w:t>
      </w:r>
      <w:r>
        <w:rPr>
          <w:rFonts w:hint="eastAsia" w:ascii="仿宋" w:hAnsi="仿宋" w:eastAsia="仿宋"/>
          <w:sz w:val="32"/>
          <w:szCs w:val="32"/>
        </w:rPr>
        <w:t>22年“三公”经费财政拨款支出决算为</w:t>
      </w:r>
      <w:r>
        <w:rPr>
          <w:rFonts w:hint="eastAsia" w:ascii="仿宋" w:hAnsi="仿宋" w:eastAsia="仿宋"/>
          <w:sz w:val="32"/>
          <w:szCs w:val="32"/>
          <w:lang w:val="en-US" w:eastAsia="zh-CN"/>
        </w:rPr>
        <w:t>0</w:t>
      </w:r>
      <w:r>
        <w:rPr>
          <w:rFonts w:hint="eastAsia" w:ascii="仿宋" w:hAnsi="仿宋" w:eastAsia="仿宋"/>
          <w:sz w:val="32"/>
          <w:szCs w:val="32"/>
        </w:rPr>
        <w:t>万元，完成预算</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，较上年减少</w:t>
      </w:r>
      <w:r>
        <w:rPr>
          <w:rFonts w:hint="eastAsia" w:ascii="仿宋" w:hAnsi="仿宋" w:eastAsia="仿宋"/>
          <w:sz w:val="32"/>
          <w:szCs w:val="32"/>
          <w:lang w:val="en-US" w:eastAsia="zh-CN"/>
        </w:rPr>
        <w:t>3.03</w:t>
      </w:r>
      <w:r>
        <w:rPr>
          <w:rFonts w:hint="eastAsia" w:ascii="仿宋" w:hAnsi="仿宋" w:eastAsia="仿宋"/>
          <w:sz w:val="32"/>
          <w:szCs w:val="32"/>
        </w:rPr>
        <w:t>万元，下降</w:t>
      </w:r>
      <w:r>
        <w:rPr>
          <w:rFonts w:hint="eastAsia" w:ascii="仿宋" w:hAnsi="仿宋" w:eastAsia="仿宋"/>
          <w:sz w:val="32"/>
          <w:szCs w:val="32"/>
          <w:lang w:val="en-US" w:eastAsia="zh-CN"/>
        </w:rPr>
        <w:t>100</w:t>
      </w:r>
      <w:r>
        <w:rPr>
          <w:rFonts w:hint="eastAsia" w:ascii="仿宋" w:hAnsi="仿宋" w:eastAsia="仿宋"/>
          <w:sz w:val="32"/>
          <w:szCs w:val="32"/>
        </w:rPr>
        <w:t>%。决算数小于预算数的主要原因是</w:t>
      </w:r>
      <w:r>
        <w:rPr>
          <w:rFonts w:hint="eastAsia" w:ascii="仿宋" w:hAnsi="仿宋" w:eastAsia="仿宋"/>
          <w:sz w:val="32"/>
          <w:szCs w:val="32"/>
          <w:lang w:eastAsia="zh-CN"/>
        </w:rPr>
        <w:t>隶属关系调整，</w:t>
      </w:r>
      <w:r>
        <w:rPr>
          <w:rFonts w:hint="eastAsia" w:ascii="仿宋" w:hAnsi="仿宋" w:eastAsia="仿宋" w:cs="Times New Roman"/>
          <w:kern w:val="2"/>
          <w:sz w:val="32"/>
          <w:szCs w:val="32"/>
          <w:lang w:val="en-US" w:eastAsia="zh-CN" w:bidi="ar-SA"/>
        </w:rPr>
        <w:t>2022年3月已将经费全部划拨至市政府办</w:t>
      </w:r>
      <w:r>
        <w:rPr>
          <w:rFonts w:hint="eastAsia" w:ascii="仿宋" w:hAnsi="仿宋" w:eastAsia="仿宋"/>
          <w:sz w:val="32"/>
          <w:szCs w:val="32"/>
          <w:lang w:eastAsia="zh-CN"/>
        </w:rPr>
        <w:t>，</w:t>
      </w:r>
      <w:r>
        <w:rPr>
          <w:rFonts w:hint="eastAsia" w:ascii="仿宋" w:hAnsi="仿宋" w:eastAsia="仿宋"/>
          <w:sz w:val="32"/>
          <w:szCs w:val="32"/>
          <w:lang w:val="en-US" w:eastAsia="zh-CN"/>
        </w:rPr>
        <w:t>1-3月期间，未发生“三公”经费支出。</w:t>
      </w:r>
    </w:p>
    <w:p>
      <w:pPr>
        <w:spacing w:line="600" w:lineRule="exact"/>
        <w:ind w:firstLine="640"/>
        <w:outlineLvl w:val="2"/>
        <w:rPr>
          <w:rFonts w:ascii="仿宋" w:hAnsi="仿宋" w:eastAsia="仿宋"/>
          <w:b/>
          <w:sz w:val="32"/>
          <w:szCs w:val="32"/>
        </w:rPr>
      </w:pPr>
      <w:bookmarkStart w:id="39" w:name="_Toc15377217"/>
      <w:r>
        <w:rPr>
          <w:rFonts w:hint="eastAsia" w:ascii="仿宋" w:hAnsi="仿宋" w:eastAsia="仿宋"/>
          <w:b/>
          <w:sz w:val="32"/>
          <w:szCs w:val="32"/>
        </w:rPr>
        <w:t>（二）“三公”经费财政拨款支出决算具体情况说明</w:t>
      </w:r>
      <w:bookmarkEnd w:id="39"/>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22年“三公”经费财政拨款支出决算中，因公出国（境）费支出决算</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；公务用车购置及运行维护费支出决算</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；公务接待费支出决算</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。具体情况如下：</w:t>
      </w:r>
    </w:p>
    <w:p>
      <w:pPr>
        <w:spacing w:line="600" w:lineRule="exact"/>
        <w:ind w:firstLine="640"/>
        <w:rPr>
          <w:rFonts w:hint="eastAsia" w:ascii="仿宋_GB2312" w:eastAsia="仿宋_GB2312"/>
          <w:sz w:val="32"/>
          <w:szCs w:val="32"/>
          <w:lang w:val="en-US" w:eastAsia="zh-CN"/>
        </w:rPr>
      </w:pPr>
      <w:r>
        <w:rPr>
          <w:rFonts w:ascii="仿宋_GB2312" w:eastAsia="仿宋_GB2312"/>
          <w:b/>
          <w:sz w:val="32"/>
          <w:szCs w:val="32"/>
        </w:rPr>
        <w:t>1.</w:t>
      </w:r>
      <w:r>
        <w:rPr>
          <w:rFonts w:hint="eastAsia" w:ascii="仿宋_GB2312" w:eastAsia="仿宋_GB2312"/>
          <w:b/>
          <w:sz w:val="32"/>
          <w:szCs w:val="32"/>
        </w:rPr>
        <w:t>因公出国（境）经费支出</w:t>
      </w:r>
      <w:r>
        <w:rPr>
          <w:rFonts w:hint="eastAsia" w:ascii="仿宋_GB2312" w:eastAsia="仿宋_GB2312"/>
          <w:sz w:val="32"/>
          <w:szCs w:val="32"/>
          <w:lang w:val="en-US" w:eastAsia="zh-CN"/>
        </w:rPr>
        <w:t>0</w:t>
      </w:r>
      <w:r>
        <w:rPr>
          <w:rFonts w:hint="eastAsia" w:ascii="仿宋_GB2312" w:eastAsia="仿宋_GB2312"/>
          <w:sz w:val="32"/>
          <w:szCs w:val="32"/>
        </w:rPr>
        <w:t>万元，</w:t>
      </w:r>
      <w:r>
        <w:rPr>
          <w:rStyle w:val="14"/>
          <w:rFonts w:hint="eastAsia" w:ascii="仿宋" w:hAnsi="仿宋" w:eastAsia="仿宋"/>
          <w:b w:val="0"/>
          <w:bCs/>
          <w:sz w:val="32"/>
          <w:szCs w:val="32"/>
        </w:rPr>
        <w:t>完成预算</w:t>
      </w:r>
      <w:r>
        <w:rPr>
          <w:rStyle w:val="14"/>
          <w:rFonts w:hint="eastAsia" w:ascii="仿宋" w:hAnsi="仿宋" w:eastAsia="仿宋"/>
          <w:b w:val="0"/>
          <w:bCs/>
          <w:sz w:val="32"/>
          <w:szCs w:val="32"/>
          <w:lang w:val="en-US" w:eastAsia="zh-CN"/>
        </w:rPr>
        <w:t>0</w:t>
      </w:r>
      <w:r>
        <w:rPr>
          <w:rStyle w:val="14"/>
          <w:rFonts w:ascii="仿宋" w:hAnsi="仿宋" w:eastAsia="仿宋"/>
          <w:b w:val="0"/>
          <w:bCs/>
          <w:sz w:val="32"/>
          <w:szCs w:val="32"/>
        </w:rPr>
        <w:t>%</w:t>
      </w:r>
      <w:r>
        <w:rPr>
          <w:rStyle w:val="14"/>
          <w:rFonts w:hint="eastAsia" w:ascii="仿宋" w:hAnsi="仿宋" w:eastAsia="仿宋"/>
          <w:b w:val="0"/>
          <w:bCs/>
          <w:sz w:val="32"/>
          <w:szCs w:val="32"/>
        </w:rPr>
        <w:t>。</w:t>
      </w:r>
      <w:r>
        <w:rPr>
          <w:rFonts w:hint="eastAsia" w:ascii="仿宋_GB2312" w:eastAsia="仿宋_GB2312"/>
          <w:sz w:val="32"/>
          <w:szCs w:val="32"/>
        </w:rPr>
        <w:t>全年安排因公出国（境）团组</w:t>
      </w:r>
      <w:r>
        <w:rPr>
          <w:rFonts w:hint="eastAsia" w:ascii="仿宋_GB2312" w:eastAsia="仿宋_GB2312"/>
          <w:sz w:val="32"/>
          <w:szCs w:val="32"/>
          <w:lang w:val="en-US" w:eastAsia="zh-CN"/>
        </w:rPr>
        <w:t>0</w:t>
      </w:r>
      <w:r>
        <w:rPr>
          <w:rFonts w:hint="eastAsia" w:ascii="仿宋_GB2312" w:eastAsia="仿宋_GB2312"/>
          <w:sz w:val="32"/>
          <w:szCs w:val="32"/>
        </w:rPr>
        <w:t>次，出国（境）</w:t>
      </w:r>
      <w:r>
        <w:rPr>
          <w:rFonts w:hint="eastAsia" w:ascii="仿宋_GB2312" w:eastAsia="仿宋_GB2312"/>
          <w:sz w:val="32"/>
          <w:szCs w:val="32"/>
          <w:lang w:val="en-US" w:eastAsia="zh-CN"/>
        </w:rPr>
        <w:t>0</w:t>
      </w:r>
      <w:r>
        <w:rPr>
          <w:rFonts w:hint="eastAsia" w:ascii="仿宋_GB2312" w:eastAsia="仿宋_GB2312"/>
          <w:sz w:val="32"/>
          <w:szCs w:val="32"/>
        </w:rPr>
        <w:t>人。</w:t>
      </w:r>
      <w:r>
        <w:rPr>
          <w:rFonts w:hint="eastAsia" w:ascii="仿宋_GB2312" w:eastAsia="仿宋_GB2312"/>
          <w:sz w:val="32"/>
          <w:szCs w:val="32"/>
          <w:lang w:val="en-US" w:eastAsia="zh-CN"/>
        </w:rPr>
        <w:t>0</w:t>
      </w:r>
    </w:p>
    <w:p>
      <w:pPr>
        <w:spacing w:line="600" w:lineRule="exact"/>
        <w:ind w:firstLine="640"/>
        <w:rPr>
          <w:rFonts w:hint="eastAsia" w:ascii="仿宋_GB2312" w:eastAsia="仿宋_GB2312"/>
          <w:sz w:val="32"/>
          <w:szCs w:val="32"/>
        </w:rPr>
      </w:pPr>
      <w:r>
        <w:rPr>
          <w:rFonts w:ascii="仿宋_GB2312" w:eastAsia="仿宋_GB2312"/>
          <w:b/>
          <w:sz w:val="32"/>
          <w:szCs w:val="32"/>
        </w:rPr>
        <w:t>2.</w:t>
      </w:r>
      <w:r>
        <w:rPr>
          <w:rFonts w:hint="eastAsia" w:ascii="仿宋_GB2312" w:eastAsia="仿宋_GB2312"/>
          <w:b/>
          <w:sz w:val="32"/>
          <w:szCs w:val="32"/>
        </w:rPr>
        <w:t>公务用车购置及运行维护费支出</w:t>
      </w:r>
      <w:r>
        <w:rPr>
          <w:rFonts w:hint="eastAsia" w:ascii="仿宋_GB2312" w:eastAsia="仿宋_GB2312"/>
          <w:sz w:val="32"/>
          <w:szCs w:val="32"/>
          <w:lang w:val="en-US" w:eastAsia="zh-CN"/>
        </w:rPr>
        <w:t>0</w:t>
      </w:r>
      <w:r>
        <w:rPr>
          <w:rFonts w:hint="eastAsia" w:ascii="仿宋_GB2312" w:eastAsia="仿宋_GB2312"/>
          <w:sz w:val="32"/>
          <w:szCs w:val="32"/>
        </w:rPr>
        <w:t>万元,</w:t>
      </w:r>
      <w:r>
        <w:rPr>
          <w:rStyle w:val="14"/>
          <w:rFonts w:hint="eastAsia" w:ascii="仿宋" w:hAnsi="仿宋" w:eastAsia="仿宋"/>
          <w:b w:val="0"/>
          <w:bCs/>
          <w:sz w:val="32"/>
          <w:szCs w:val="32"/>
        </w:rPr>
        <w:t>完成预算</w:t>
      </w:r>
      <w:r>
        <w:rPr>
          <w:rStyle w:val="14"/>
          <w:rFonts w:hint="eastAsia" w:ascii="仿宋" w:hAnsi="仿宋" w:eastAsia="仿宋"/>
          <w:b w:val="0"/>
          <w:bCs/>
          <w:sz w:val="32"/>
          <w:szCs w:val="32"/>
          <w:lang w:val="en-US" w:eastAsia="zh-CN"/>
        </w:rPr>
        <w:t>0</w:t>
      </w:r>
      <w:r>
        <w:rPr>
          <w:rStyle w:val="14"/>
          <w:rFonts w:ascii="仿宋" w:hAnsi="仿宋" w:eastAsia="仿宋"/>
          <w:b w:val="0"/>
          <w:bCs/>
          <w:sz w:val="32"/>
          <w:szCs w:val="32"/>
        </w:rPr>
        <w:t>%</w:t>
      </w:r>
      <w:r>
        <w:rPr>
          <w:rStyle w:val="14"/>
          <w:rFonts w:hint="eastAsia" w:ascii="仿宋" w:hAnsi="仿宋" w:eastAsia="仿宋"/>
          <w:b w:val="0"/>
          <w:bCs/>
          <w:sz w:val="32"/>
          <w:szCs w:val="32"/>
        </w:rPr>
        <w:t>。</w:t>
      </w:r>
      <w:r>
        <w:rPr>
          <w:rFonts w:hint="eastAsia" w:ascii="仿宋_GB2312" w:eastAsia="仿宋_GB2312"/>
          <w:sz w:val="32"/>
          <w:szCs w:val="32"/>
        </w:rPr>
        <w:t>公务用车购置及运行维护费支出决算比</w:t>
      </w:r>
      <w:r>
        <w:rPr>
          <w:rFonts w:ascii="仿宋_GB2312" w:eastAsia="仿宋_GB2312"/>
          <w:sz w:val="32"/>
          <w:szCs w:val="32"/>
        </w:rPr>
        <w:t>20</w:t>
      </w:r>
      <w:r>
        <w:rPr>
          <w:rFonts w:hint="eastAsia" w:ascii="仿宋_GB2312" w:eastAsia="仿宋_GB2312"/>
          <w:sz w:val="32"/>
          <w:szCs w:val="32"/>
        </w:rPr>
        <w:t>21年减少</w:t>
      </w:r>
      <w:r>
        <w:rPr>
          <w:rFonts w:hint="eastAsia" w:ascii="仿宋_GB2312" w:eastAsia="仿宋_GB2312"/>
          <w:sz w:val="32"/>
          <w:szCs w:val="32"/>
          <w:lang w:val="en-US" w:eastAsia="zh-CN"/>
        </w:rPr>
        <w:t>3.03</w:t>
      </w:r>
      <w:r>
        <w:rPr>
          <w:rFonts w:hint="eastAsia" w:ascii="仿宋_GB2312" w:eastAsia="仿宋_GB2312"/>
          <w:sz w:val="32"/>
          <w:szCs w:val="32"/>
        </w:rPr>
        <w:t>万元，下降</w:t>
      </w:r>
      <w:r>
        <w:rPr>
          <w:rFonts w:hint="eastAsia" w:ascii="仿宋_GB2312" w:eastAsia="仿宋_GB2312"/>
          <w:sz w:val="32"/>
          <w:szCs w:val="32"/>
          <w:lang w:val="en-US" w:eastAsia="zh-CN"/>
        </w:rPr>
        <w:t>100</w:t>
      </w:r>
      <w:r>
        <w:rPr>
          <w:rFonts w:ascii="仿宋_GB2312" w:eastAsia="仿宋_GB2312"/>
          <w:sz w:val="32"/>
          <w:szCs w:val="32"/>
        </w:rPr>
        <w:t>%</w:t>
      </w:r>
      <w:r>
        <w:rPr>
          <w:rFonts w:hint="eastAsia" w:ascii="仿宋_GB2312" w:eastAsia="仿宋_GB2312"/>
          <w:sz w:val="32"/>
          <w:szCs w:val="32"/>
        </w:rPr>
        <w:t>。主要原因是</w:t>
      </w:r>
      <w:r>
        <w:rPr>
          <w:rFonts w:hint="eastAsia" w:ascii="仿宋" w:hAnsi="仿宋" w:eastAsia="仿宋"/>
          <w:sz w:val="32"/>
          <w:szCs w:val="32"/>
          <w:lang w:eastAsia="zh-CN"/>
        </w:rPr>
        <w:t>隶属关系调整，</w:t>
      </w:r>
      <w:r>
        <w:rPr>
          <w:rFonts w:hint="eastAsia" w:ascii="仿宋" w:hAnsi="仿宋" w:eastAsia="仿宋" w:cs="Times New Roman"/>
          <w:kern w:val="2"/>
          <w:sz w:val="32"/>
          <w:szCs w:val="32"/>
          <w:lang w:val="en-US" w:eastAsia="zh-CN" w:bidi="ar-SA"/>
        </w:rPr>
        <w:t>2022年3月已将经费全部划拨至市政府办</w:t>
      </w:r>
      <w:r>
        <w:rPr>
          <w:rFonts w:hint="eastAsia" w:ascii="仿宋" w:hAnsi="仿宋" w:eastAsia="仿宋"/>
          <w:sz w:val="32"/>
          <w:szCs w:val="32"/>
          <w:lang w:eastAsia="zh-CN"/>
        </w:rPr>
        <w:t>，</w:t>
      </w:r>
      <w:r>
        <w:rPr>
          <w:rFonts w:hint="eastAsia" w:ascii="仿宋" w:hAnsi="仿宋" w:eastAsia="仿宋"/>
          <w:sz w:val="32"/>
          <w:szCs w:val="32"/>
          <w:lang w:val="en-US" w:eastAsia="zh-CN"/>
        </w:rPr>
        <w:t>1-3月期间</w:t>
      </w:r>
      <w:r>
        <w:rPr>
          <w:rFonts w:hint="eastAsia" w:ascii="仿宋_GB2312" w:eastAsia="仿宋_GB2312"/>
          <w:sz w:val="32"/>
          <w:szCs w:val="32"/>
          <w:lang w:val="en-US" w:eastAsia="zh-CN"/>
        </w:rPr>
        <w:t>，未发生</w:t>
      </w:r>
      <w:r>
        <w:rPr>
          <w:rFonts w:hint="eastAsia" w:ascii="仿宋_GB2312" w:eastAsia="仿宋_GB2312"/>
          <w:sz w:val="32"/>
          <w:szCs w:val="32"/>
        </w:rPr>
        <w:t>公务用车购置及运行维护费支出。</w:t>
      </w:r>
    </w:p>
    <w:p>
      <w:pPr>
        <w:spacing w:line="600" w:lineRule="exact"/>
        <w:ind w:firstLine="640" w:firstLineChars="200"/>
        <w:rPr>
          <w:rFonts w:ascii="仿宋_GB2312" w:eastAsia="仿宋_GB2312"/>
          <w:b/>
          <w:sz w:val="32"/>
          <w:szCs w:val="32"/>
        </w:rPr>
      </w:pPr>
      <w:r>
        <w:rPr>
          <w:rFonts w:hint="eastAsia" w:ascii="仿宋_GB2312" w:eastAsia="仿宋_GB2312"/>
          <w:sz w:val="32"/>
          <w:szCs w:val="32"/>
        </w:rPr>
        <w:t>其中：</w:t>
      </w:r>
      <w:r>
        <w:rPr>
          <w:rFonts w:hint="eastAsia" w:ascii="仿宋_GB2312" w:eastAsia="仿宋_GB2312"/>
          <w:b/>
          <w:sz w:val="32"/>
          <w:szCs w:val="32"/>
        </w:rPr>
        <w:t>公务用车购置支出</w:t>
      </w:r>
      <w:r>
        <w:rPr>
          <w:rFonts w:hint="eastAsia" w:ascii="仿宋_GB2312" w:eastAsia="仿宋_GB2312"/>
          <w:sz w:val="32"/>
          <w:szCs w:val="32"/>
          <w:lang w:val="en-US" w:eastAsia="zh-CN"/>
        </w:rPr>
        <w:t>0</w:t>
      </w:r>
      <w:r>
        <w:rPr>
          <w:rFonts w:hint="eastAsia" w:ascii="仿宋_GB2312" w:eastAsia="仿宋_GB2312"/>
          <w:sz w:val="32"/>
          <w:szCs w:val="32"/>
        </w:rPr>
        <w:t>万元。全年按规定更新购置公务用车</w:t>
      </w:r>
      <w:r>
        <w:rPr>
          <w:rFonts w:hint="eastAsia" w:ascii="仿宋_GB2312" w:eastAsia="仿宋_GB2312"/>
          <w:sz w:val="32"/>
          <w:szCs w:val="32"/>
          <w:lang w:val="en-US" w:eastAsia="zh-CN"/>
        </w:rPr>
        <w:t>0</w:t>
      </w:r>
      <w:r>
        <w:rPr>
          <w:rFonts w:hint="eastAsia" w:ascii="仿宋_GB2312" w:eastAsia="仿宋_GB2312"/>
          <w:sz w:val="32"/>
          <w:szCs w:val="32"/>
        </w:rPr>
        <w:t>辆，其中：轿车</w:t>
      </w:r>
      <w:r>
        <w:rPr>
          <w:rFonts w:hint="eastAsia" w:ascii="仿宋_GB2312" w:eastAsia="仿宋_GB2312"/>
          <w:sz w:val="32"/>
          <w:szCs w:val="32"/>
          <w:lang w:val="en-US" w:eastAsia="zh-CN"/>
        </w:rPr>
        <w:t>0</w:t>
      </w:r>
      <w:r>
        <w:rPr>
          <w:rFonts w:hint="eastAsia" w:ascii="仿宋_GB2312" w:eastAsia="仿宋_GB2312"/>
          <w:sz w:val="32"/>
          <w:szCs w:val="32"/>
        </w:rPr>
        <w:t>辆、金额</w:t>
      </w:r>
      <w:r>
        <w:rPr>
          <w:rFonts w:hint="eastAsia" w:ascii="仿宋_GB2312" w:eastAsia="仿宋_GB2312"/>
          <w:sz w:val="32"/>
          <w:szCs w:val="32"/>
          <w:lang w:val="en-US" w:eastAsia="zh-CN"/>
        </w:rPr>
        <w:t>0</w:t>
      </w:r>
      <w:r>
        <w:rPr>
          <w:rFonts w:hint="eastAsia" w:ascii="仿宋_GB2312" w:eastAsia="仿宋_GB2312"/>
          <w:sz w:val="32"/>
          <w:szCs w:val="32"/>
        </w:rPr>
        <w:t>万元，越野车</w:t>
      </w:r>
      <w:r>
        <w:rPr>
          <w:rFonts w:hint="eastAsia" w:ascii="仿宋_GB2312" w:eastAsia="仿宋_GB2312"/>
          <w:sz w:val="32"/>
          <w:szCs w:val="32"/>
          <w:lang w:val="en-US" w:eastAsia="zh-CN"/>
        </w:rPr>
        <w:t>0</w:t>
      </w:r>
      <w:r>
        <w:rPr>
          <w:rFonts w:hint="eastAsia" w:ascii="仿宋_GB2312" w:eastAsia="仿宋_GB2312"/>
          <w:sz w:val="32"/>
          <w:szCs w:val="32"/>
        </w:rPr>
        <w:t>辆、金额</w:t>
      </w:r>
      <w:r>
        <w:rPr>
          <w:rFonts w:hint="eastAsia" w:ascii="仿宋_GB2312" w:eastAsia="仿宋_GB2312"/>
          <w:sz w:val="32"/>
          <w:szCs w:val="32"/>
          <w:lang w:val="en-US" w:eastAsia="zh-CN"/>
        </w:rPr>
        <w:t>0</w:t>
      </w:r>
      <w:r>
        <w:rPr>
          <w:rFonts w:hint="eastAsia" w:ascii="仿宋_GB2312" w:eastAsia="仿宋_GB2312"/>
          <w:sz w:val="32"/>
          <w:szCs w:val="32"/>
        </w:rPr>
        <w:t>万元，载客汽车</w:t>
      </w:r>
      <w:r>
        <w:rPr>
          <w:rFonts w:hint="eastAsia" w:ascii="仿宋_GB2312" w:eastAsia="仿宋_GB2312"/>
          <w:sz w:val="32"/>
          <w:szCs w:val="32"/>
          <w:lang w:val="en-US" w:eastAsia="zh-CN"/>
        </w:rPr>
        <w:t>0</w:t>
      </w:r>
      <w:r>
        <w:rPr>
          <w:rFonts w:hint="eastAsia" w:ascii="仿宋_GB2312" w:eastAsia="仿宋_GB2312"/>
          <w:sz w:val="32"/>
          <w:szCs w:val="32"/>
        </w:rPr>
        <w:t>辆、金额</w:t>
      </w:r>
      <w:r>
        <w:rPr>
          <w:rFonts w:hint="eastAsia" w:ascii="仿宋_GB2312" w:eastAsia="仿宋_GB2312"/>
          <w:sz w:val="32"/>
          <w:szCs w:val="32"/>
          <w:lang w:val="en-US" w:eastAsia="zh-CN"/>
        </w:rPr>
        <w:t>0</w:t>
      </w:r>
      <w:r>
        <w:rPr>
          <w:rFonts w:hint="eastAsia" w:ascii="仿宋_GB2312" w:eastAsia="仿宋_GB2312"/>
          <w:sz w:val="32"/>
          <w:szCs w:val="32"/>
        </w:rPr>
        <w:t>万。截至</w:t>
      </w:r>
      <w:r>
        <w:rPr>
          <w:rFonts w:ascii="仿宋_GB2312" w:eastAsia="仿宋_GB2312"/>
          <w:sz w:val="32"/>
          <w:szCs w:val="32"/>
        </w:rPr>
        <w:t>20</w:t>
      </w:r>
      <w:r>
        <w:rPr>
          <w:rFonts w:hint="eastAsia" w:ascii="仿宋_GB2312" w:eastAsia="仿宋_GB2312"/>
          <w:sz w:val="32"/>
          <w:szCs w:val="32"/>
        </w:rPr>
        <w:t>22年</w:t>
      </w:r>
      <w:r>
        <w:rPr>
          <w:rFonts w:ascii="仿宋_GB2312" w:eastAsia="仿宋_GB2312"/>
          <w:sz w:val="32"/>
          <w:szCs w:val="32"/>
        </w:rPr>
        <w:t>12</w:t>
      </w:r>
      <w:r>
        <w:rPr>
          <w:rFonts w:hint="eastAsia" w:ascii="仿宋_GB2312" w:eastAsia="仿宋_GB2312"/>
          <w:sz w:val="32"/>
          <w:szCs w:val="32"/>
        </w:rPr>
        <w:t>月底，单位共有公务用车</w:t>
      </w:r>
      <w:r>
        <w:rPr>
          <w:rFonts w:hint="eastAsia" w:ascii="仿宋_GB2312" w:eastAsia="仿宋_GB2312"/>
          <w:sz w:val="32"/>
          <w:szCs w:val="32"/>
          <w:lang w:val="en-US" w:eastAsia="zh-CN"/>
        </w:rPr>
        <w:t>1</w:t>
      </w:r>
      <w:r>
        <w:rPr>
          <w:rFonts w:hint="eastAsia" w:ascii="仿宋_GB2312" w:eastAsia="仿宋_GB2312"/>
          <w:sz w:val="32"/>
          <w:szCs w:val="32"/>
        </w:rPr>
        <w:t>辆，其中：轿车</w:t>
      </w:r>
      <w:r>
        <w:rPr>
          <w:rFonts w:hint="eastAsia" w:ascii="仿宋_GB2312" w:eastAsia="仿宋_GB2312"/>
          <w:sz w:val="32"/>
          <w:szCs w:val="32"/>
          <w:lang w:val="en-US" w:eastAsia="zh-CN"/>
        </w:rPr>
        <w:t>0</w:t>
      </w:r>
      <w:r>
        <w:rPr>
          <w:rFonts w:hint="eastAsia" w:ascii="仿宋_GB2312" w:eastAsia="仿宋_GB2312"/>
          <w:sz w:val="32"/>
          <w:szCs w:val="32"/>
        </w:rPr>
        <w:t>辆、越野车</w:t>
      </w:r>
      <w:r>
        <w:rPr>
          <w:rFonts w:hint="eastAsia" w:ascii="仿宋_GB2312" w:eastAsia="仿宋_GB2312"/>
          <w:sz w:val="32"/>
          <w:szCs w:val="32"/>
          <w:lang w:val="en-US" w:eastAsia="zh-CN"/>
        </w:rPr>
        <w:t>1</w:t>
      </w:r>
      <w:r>
        <w:rPr>
          <w:rFonts w:hint="eastAsia" w:ascii="仿宋_GB2312" w:eastAsia="仿宋_GB2312"/>
          <w:sz w:val="32"/>
          <w:szCs w:val="32"/>
        </w:rPr>
        <w:t>辆、载客汽车</w:t>
      </w:r>
      <w:r>
        <w:rPr>
          <w:rFonts w:hint="eastAsia" w:ascii="仿宋_GB2312" w:eastAsia="仿宋_GB2312"/>
          <w:sz w:val="32"/>
          <w:szCs w:val="32"/>
          <w:lang w:val="en-US" w:eastAsia="zh-CN"/>
        </w:rPr>
        <w:t>0</w:t>
      </w:r>
      <w:r>
        <w:rPr>
          <w:rFonts w:hint="eastAsia" w:ascii="仿宋_GB2312" w:eastAsia="仿宋_GB2312"/>
          <w:sz w:val="32"/>
          <w:szCs w:val="32"/>
        </w:rPr>
        <w:t>辆。</w:t>
      </w:r>
    </w:p>
    <w:p>
      <w:pPr>
        <w:spacing w:line="600" w:lineRule="exact"/>
        <w:ind w:firstLine="640"/>
        <w:rPr>
          <w:rFonts w:ascii="仿宋_GB2312" w:eastAsia="仿宋_GB2312"/>
          <w:sz w:val="32"/>
          <w:szCs w:val="32"/>
        </w:rPr>
      </w:pPr>
      <w:r>
        <w:rPr>
          <w:rFonts w:hint="eastAsia" w:ascii="仿宋_GB2312" w:eastAsia="仿宋_GB2312"/>
          <w:b/>
          <w:sz w:val="32"/>
          <w:szCs w:val="32"/>
        </w:rPr>
        <w:t>公务用车运行维护费支出</w:t>
      </w:r>
      <w:r>
        <w:rPr>
          <w:rFonts w:hint="eastAsia" w:ascii="仿宋_GB2312" w:eastAsia="仿宋_GB2312"/>
          <w:b/>
          <w:sz w:val="32"/>
          <w:szCs w:val="32"/>
          <w:lang w:val="en-US" w:eastAsia="zh-CN"/>
        </w:rPr>
        <w:t>0</w:t>
      </w:r>
      <w:r>
        <w:rPr>
          <w:rFonts w:hint="eastAsia" w:ascii="仿宋_GB2312" w:eastAsia="仿宋_GB2312"/>
          <w:sz w:val="32"/>
          <w:szCs w:val="32"/>
        </w:rPr>
        <w:t>万元。</w:t>
      </w:r>
    </w:p>
    <w:p>
      <w:pPr>
        <w:spacing w:line="600" w:lineRule="exact"/>
        <w:ind w:firstLine="640"/>
        <w:rPr>
          <w:rFonts w:ascii="仿宋_GB2312" w:eastAsia="仿宋_GB2312"/>
          <w:sz w:val="32"/>
          <w:szCs w:val="32"/>
        </w:rPr>
      </w:pPr>
      <w:r>
        <w:rPr>
          <w:rFonts w:ascii="仿宋_GB2312" w:eastAsia="仿宋_GB2312"/>
          <w:b/>
          <w:sz w:val="32"/>
          <w:szCs w:val="32"/>
        </w:rPr>
        <w:t>3.</w:t>
      </w:r>
      <w:r>
        <w:rPr>
          <w:rFonts w:hint="eastAsia" w:ascii="仿宋_GB2312" w:eastAsia="仿宋_GB2312"/>
          <w:b/>
          <w:sz w:val="32"/>
          <w:szCs w:val="32"/>
        </w:rPr>
        <w:t>公务接待费支出</w:t>
      </w:r>
      <w:r>
        <w:rPr>
          <w:rFonts w:hint="eastAsia" w:ascii="仿宋_GB2312" w:eastAsia="仿宋_GB2312"/>
          <w:sz w:val="32"/>
          <w:szCs w:val="32"/>
          <w:lang w:val="en-US" w:eastAsia="zh-CN"/>
        </w:rPr>
        <w:t>0</w:t>
      </w:r>
      <w:r>
        <w:rPr>
          <w:rFonts w:hint="eastAsia" w:ascii="仿宋_GB2312" w:eastAsia="仿宋_GB2312"/>
          <w:sz w:val="32"/>
          <w:szCs w:val="32"/>
        </w:rPr>
        <w:t>万元，</w:t>
      </w:r>
      <w:r>
        <w:rPr>
          <w:rStyle w:val="14"/>
          <w:rFonts w:hint="eastAsia" w:ascii="仿宋" w:hAnsi="仿宋" w:eastAsia="仿宋"/>
          <w:b w:val="0"/>
          <w:bCs/>
          <w:sz w:val="32"/>
          <w:szCs w:val="32"/>
        </w:rPr>
        <w:t>完成预算</w:t>
      </w:r>
      <w:r>
        <w:rPr>
          <w:rStyle w:val="14"/>
          <w:rFonts w:hint="eastAsia" w:ascii="仿宋" w:hAnsi="仿宋" w:eastAsia="仿宋"/>
          <w:b w:val="0"/>
          <w:bCs/>
          <w:sz w:val="32"/>
          <w:szCs w:val="32"/>
          <w:lang w:val="en-US" w:eastAsia="zh-CN"/>
        </w:rPr>
        <w:t>0</w:t>
      </w:r>
      <w:r>
        <w:rPr>
          <w:rStyle w:val="14"/>
          <w:rFonts w:ascii="仿宋" w:hAnsi="仿宋" w:eastAsia="仿宋"/>
          <w:b w:val="0"/>
          <w:bCs/>
          <w:sz w:val="32"/>
          <w:szCs w:val="32"/>
        </w:rPr>
        <w:t>%</w:t>
      </w:r>
      <w:r>
        <w:rPr>
          <w:rStyle w:val="14"/>
          <w:rFonts w:hint="eastAsia" w:ascii="仿宋" w:hAnsi="仿宋" w:eastAsia="仿宋"/>
          <w:b w:val="0"/>
          <w:bCs/>
          <w:sz w:val="32"/>
          <w:szCs w:val="32"/>
        </w:rPr>
        <w:t>。</w:t>
      </w:r>
      <w:r>
        <w:rPr>
          <w:rFonts w:hint="eastAsia" w:ascii="仿宋_GB2312" w:eastAsia="仿宋_GB2312"/>
          <w:sz w:val="32"/>
          <w:szCs w:val="32"/>
        </w:rPr>
        <w:t>公务接待费支出决算</w:t>
      </w:r>
      <w:r>
        <w:rPr>
          <w:rFonts w:hint="eastAsia" w:ascii="仿宋_GB2312" w:eastAsia="仿宋_GB2312"/>
          <w:sz w:val="32"/>
          <w:szCs w:val="32"/>
          <w:lang w:eastAsia="zh-CN"/>
        </w:rPr>
        <w:t>于</w:t>
      </w:r>
      <w:r>
        <w:rPr>
          <w:rFonts w:ascii="仿宋_GB2312" w:eastAsia="仿宋_GB2312"/>
          <w:sz w:val="32"/>
          <w:szCs w:val="32"/>
        </w:rPr>
        <w:t>20</w:t>
      </w:r>
      <w:r>
        <w:rPr>
          <w:rFonts w:hint="eastAsia" w:ascii="仿宋_GB2312" w:eastAsia="仿宋_GB2312"/>
          <w:sz w:val="32"/>
          <w:szCs w:val="32"/>
        </w:rPr>
        <w:t>21年</w:t>
      </w:r>
      <w:r>
        <w:rPr>
          <w:rFonts w:hint="eastAsia" w:ascii="仿宋_GB2312" w:eastAsia="仿宋_GB2312"/>
          <w:sz w:val="32"/>
          <w:szCs w:val="32"/>
          <w:lang w:eastAsia="zh-CN"/>
        </w:rPr>
        <w:t>持平</w:t>
      </w:r>
      <w:r>
        <w:rPr>
          <w:rFonts w:hint="eastAsia" w:ascii="仿宋_GB2312" w:eastAsia="仿宋_GB2312"/>
          <w:sz w:val="32"/>
          <w:szCs w:val="32"/>
        </w:rPr>
        <w:t>。其中：</w:t>
      </w:r>
    </w:p>
    <w:p>
      <w:pPr>
        <w:spacing w:line="600" w:lineRule="exact"/>
        <w:ind w:firstLine="640"/>
        <w:rPr>
          <w:rFonts w:ascii="仿宋_GB2312" w:eastAsia="仿宋_GB2312"/>
          <w:sz w:val="32"/>
          <w:szCs w:val="32"/>
        </w:rPr>
      </w:pPr>
      <w:r>
        <w:rPr>
          <w:rFonts w:hint="eastAsia" w:ascii="仿宋" w:hAnsi="仿宋" w:eastAsia="仿宋"/>
          <w:b/>
          <w:sz w:val="32"/>
          <w:szCs w:val="32"/>
        </w:rPr>
        <w:t>国内公务接待支出</w:t>
      </w:r>
      <w:r>
        <w:rPr>
          <w:rFonts w:hint="eastAsia" w:ascii="仿宋" w:hAnsi="仿宋" w:eastAsia="仿宋"/>
          <w:sz w:val="32"/>
          <w:szCs w:val="32"/>
          <w:lang w:val="en-US" w:eastAsia="zh-CN"/>
        </w:rPr>
        <w:t>0</w:t>
      </w:r>
      <w:r>
        <w:rPr>
          <w:rFonts w:hint="eastAsia" w:ascii="仿宋_GB2312" w:eastAsia="仿宋_GB2312"/>
          <w:sz w:val="32"/>
          <w:szCs w:val="32"/>
        </w:rPr>
        <w:t>万元。国内公务接待</w:t>
      </w:r>
      <w:r>
        <w:rPr>
          <w:rFonts w:hint="eastAsia" w:ascii="仿宋_GB2312" w:eastAsia="仿宋_GB2312"/>
          <w:sz w:val="32"/>
          <w:szCs w:val="32"/>
          <w:lang w:val="en-US" w:eastAsia="zh-CN"/>
        </w:rPr>
        <w:t>0</w:t>
      </w:r>
      <w:r>
        <w:rPr>
          <w:rFonts w:hint="eastAsia" w:ascii="仿宋_GB2312" w:eastAsia="仿宋_GB2312"/>
          <w:sz w:val="32"/>
          <w:szCs w:val="32"/>
        </w:rPr>
        <w:t>批次，</w:t>
      </w:r>
      <w:r>
        <w:rPr>
          <w:rFonts w:hint="eastAsia" w:ascii="仿宋_GB2312" w:eastAsia="仿宋_GB2312"/>
          <w:sz w:val="32"/>
          <w:szCs w:val="32"/>
          <w:lang w:val="en-US" w:eastAsia="zh-CN"/>
        </w:rPr>
        <w:t>0</w:t>
      </w:r>
      <w:r>
        <w:rPr>
          <w:rFonts w:hint="eastAsia" w:ascii="仿宋_GB2312" w:eastAsia="仿宋_GB2312"/>
          <w:sz w:val="32"/>
          <w:szCs w:val="32"/>
        </w:rPr>
        <w:t>人次（不包括陪同人员），共计支出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spacing w:line="600" w:lineRule="exact"/>
        <w:ind w:firstLine="642" w:firstLineChars="200"/>
        <w:rPr>
          <w:rFonts w:ascii="仿宋_GB2312" w:eastAsia="仿宋_GB2312"/>
          <w:sz w:val="32"/>
          <w:szCs w:val="32"/>
        </w:rPr>
      </w:pPr>
      <w:r>
        <w:rPr>
          <w:rFonts w:hint="eastAsia" w:ascii="仿宋" w:hAnsi="仿宋" w:eastAsia="仿宋"/>
          <w:b/>
          <w:sz w:val="32"/>
          <w:szCs w:val="32"/>
        </w:rPr>
        <w:t>外事接待支出</w:t>
      </w:r>
      <w:r>
        <w:rPr>
          <w:rFonts w:hint="eastAsia" w:ascii="仿宋" w:hAnsi="仿宋" w:eastAsia="仿宋"/>
          <w:b/>
          <w:sz w:val="32"/>
          <w:szCs w:val="32"/>
          <w:lang w:val="en-US" w:eastAsia="zh-CN"/>
        </w:rPr>
        <w:t>0</w:t>
      </w:r>
      <w:r>
        <w:rPr>
          <w:rFonts w:hint="eastAsia" w:ascii="仿宋_GB2312" w:eastAsia="仿宋_GB2312"/>
          <w:sz w:val="32"/>
          <w:szCs w:val="32"/>
        </w:rPr>
        <w:t>万元，。外事接待</w:t>
      </w:r>
      <w:r>
        <w:rPr>
          <w:rFonts w:hint="eastAsia" w:ascii="仿宋_GB2312" w:eastAsia="仿宋_GB2312"/>
          <w:sz w:val="32"/>
          <w:szCs w:val="32"/>
          <w:lang w:val="en-US" w:eastAsia="zh-CN"/>
        </w:rPr>
        <w:t>0</w:t>
      </w:r>
      <w:r>
        <w:rPr>
          <w:rFonts w:hint="eastAsia" w:ascii="仿宋_GB2312" w:eastAsia="仿宋_GB2312"/>
          <w:sz w:val="32"/>
          <w:szCs w:val="32"/>
        </w:rPr>
        <w:t>批次，</w:t>
      </w:r>
      <w:r>
        <w:rPr>
          <w:rFonts w:hint="eastAsia" w:ascii="仿宋_GB2312" w:eastAsia="仿宋_GB2312"/>
          <w:sz w:val="32"/>
          <w:szCs w:val="32"/>
          <w:lang w:val="en-US" w:eastAsia="zh-CN"/>
        </w:rPr>
        <w:t>0</w:t>
      </w:r>
      <w:r>
        <w:rPr>
          <w:rFonts w:hint="eastAsia" w:ascii="仿宋_GB2312" w:eastAsia="仿宋_GB2312"/>
          <w:sz w:val="32"/>
          <w:szCs w:val="32"/>
        </w:rPr>
        <w:t>人次（不包括陪同人员），共计支出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spacing w:line="600" w:lineRule="exact"/>
        <w:ind w:firstLine="640"/>
        <w:outlineLvl w:val="1"/>
        <w:rPr>
          <w:rStyle w:val="25"/>
          <w:rFonts w:ascii="黑体" w:hAnsi="黑体" w:eastAsia="黑体"/>
        </w:rPr>
      </w:pPr>
      <w:bookmarkStart w:id="40" w:name="_Toc15396610"/>
      <w:bookmarkStart w:id="41" w:name="_Toc15377218"/>
      <w:r>
        <w:rPr>
          <w:rFonts w:hint="eastAsia" w:ascii="黑体" w:eastAsia="黑体"/>
          <w:sz w:val="32"/>
          <w:szCs w:val="32"/>
        </w:rPr>
        <w:t>八、</w:t>
      </w:r>
      <w:r>
        <w:rPr>
          <w:rStyle w:val="25"/>
          <w:rFonts w:hint="eastAsia" w:ascii="黑体" w:hAnsi="黑体" w:eastAsia="黑体"/>
          <w:b w:val="0"/>
        </w:rPr>
        <w:t>政府性基金预算支出决算情况说明</w:t>
      </w:r>
      <w:bookmarkEnd w:id="40"/>
      <w:bookmarkEnd w:id="41"/>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22年政府性基金预算财政拨款支出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numPr>
          <w:ilvl w:val="0"/>
          <w:numId w:val="2"/>
        </w:numPr>
        <w:spacing w:line="600" w:lineRule="exact"/>
        <w:ind w:firstLine="640"/>
        <w:outlineLvl w:val="1"/>
        <w:rPr>
          <w:rStyle w:val="25"/>
          <w:rFonts w:ascii="黑体" w:hAnsi="黑体" w:eastAsia="黑体"/>
          <w:b w:val="0"/>
        </w:rPr>
      </w:pPr>
      <w:bookmarkStart w:id="42" w:name="_Toc15377219"/>
      <w:bookmarkStart w:id="43" w:name="_Toc15396611"/>
      <w:r>
        <w:rPr>
          <w:rStyle w:val="25"/>
          <w:rFonts w:hint="eastAsia" w:ascii="黑体" w:hAnsi="黑体" w:eastAsia="黑体"/>
          <w:b w:val="0"/>
        </w:rPr>
        <w:t>国有资本经营预算支出决算情况说明</w:t>
      </w:r>
      <w:bookmarkEnd w:id="42"/>
      <w:bookmarkEnd w:id="43"/>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22年国有资本经营预算财政拨款支出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numPr>
          <w:ilvl w:val="0"/>
          <w:numId w:val="2"/>
        </w:numPr>
        <w:spacing w:line="600" w:lineRule="exact"/>
        <w:ind w:firstLine="640"/>
        <w:outlineLvl w:val="1"/>
        <w:rPr>
          <w:rStyle w:val="25"/>
          <w:rFonts w:ascii="黑体" w:hAnsi="黑体" w:eastAsia="黑体"/>
          <w:b w:val="0"/>
        </w:rPr>
      </w:pPr>
      <w:bookmarkStart w:id="44" w:name="_Toc15377221"/>
      <w:bookmarkStart w:id="45" w:name="_Toc15396612"/>
      <w:r>
        <w:rPr>
          <w:rStyle w:val="25"/>
          <w:rFonts w:hint="eastAsia" w:ascii="黑体" w:hAnsi="黑体" w:eastAsia="黑体"/>
          <w:b w:val="0"/>
        </w:rPr>
        <w:t>其他重要事项的情况说明</w:t>
      </w:r>
      <w:bookmarkEnd w:id="44"/>
      <w:bookmarkEnd w:id="45"/>
    </w:p>
    <w:p>
      <w:pPr>
        <w:spacing w:line="600" w:lineRule="exact"/>
        <w:ind w:firstLine="642" w:firstLineChars="200"/>
        <w:outlineLvl w:val="2"/>
        <w:rPr>
          <w:rFonts w:ascii="仿宋" w:hAnsi="仿宋" w:eastAsia="仿宋"/>
          <w:sz w:val="32"/>
          <w:szCs w:val="32"/>
        </w:rPr>
      </w:pPr>
      <w:bookmarkStart w:id="46" w:name="_Toc15377222"/>
      <w:r>
        <w:rPr>
          <w:rFonts w:hint="eastAsia" w:ascii="仿宋" w:hAnsi="仿宋" w:eastAsia="仿宋"/>
          <w:b/>
          <w:sz w:val="32"/>
          <w:szCs w:val="32"/>
        </w:rPr>
        <w:t>（一）机关运行经费支出情况</w:t>
      </w:r>
      <w:bookmarkEnd w:id="46"/>
    </w:p>
    <w:p>
      <w:pPr>
        <w:spacing w:line="600" w:lineRule="exact"/>
        <w:ind w:firstLine="640" w:firstLineChars="200"/>
        <w:rPr>
          <w:rFonts w:hint="eastAsia" w:ascii="仿宋_GB2312" w:eastAsia="仿宋_GB2312"/>
          <w:sz w:val="32"/>
          <w:szCs w:val="32"/>
          <w:lang w:eastAsia="zh-CN"/>
        </w:rPr>
      </w:pPr>
      <w:r>
        <w:rPr>
          <w:rFonts w:ascii="仿宋_GB2312" w:eastAsia="仿宋_GB2312"/>
          <w:sz w:val="32"/>
          <w:szCs w:val="32"/>
        </w:rPr>
        <w:t>20</w:t>
      </w:r>
      <w:r>
        <w:rPr>
          <w:rFonts w:hint="eastAsia" w:ascii="仿宋_GB2312" w:eastAsia="仿宋_GB2312"/>
          <w:sz w:val="32"/>
          <w:szCs w:val="32"/>
        </w:rPr>
        <w:t>22年，</w:t>
      </w:r>
      <w:r>
        <w:rPr>
          <w:rFonts w:hint="eastAsia" w:ascii="仿宋_GB2312" w:eastAsia="仿宋_GB2312"/>
          <w:sz w:val="32"/>
          <w:szCs w:val="32"/>
          <w:lang w:eastAsia="zh-CN"/>
        </w:rPr>
        <w:t>市决策咨询服务中心</w:t>
      </w:r>
      <w:r>
        <w:rPr>
          <w:rFonts w:hint="eastAsia" w:ascii="仿宋_GB2312" w:eastAsia="仿宋_GB2312"/>
          <w:sz w:val="32"/>
          <w:szCs w:val="32"/>
        </w:rPr>
        <w:t>机关运行经费支出</w:t>
      </w:r>
      <w:r>
        <w:rPr>
          <w:rFonts w:hint="eastAsia" w:ascii="仿宋_GB2312" w:eastAsia="仿宋_GB2312"/>
          <w:sz w:val="32"/>
          <w:szCs w:val="32"/>
          <w:lang w:val="en-US" w:eastAsia="zh-CN"/>
        </w:rPr>
        <w:t>0</w:t>
      </w:r>
      <w:r>
        <w:rPr>
          <w:rFonts w:hint="eastAsia" w:ascii="仿宋_GB2312" w:eastAsia="仿宋_GB2312"/>
          <w:sz w:val="32"/>
          <w:szCs w:val="32"/>
        </w:rPr>
        <w:t>万元，与</w:t>
      </w:r>
      <w:r>
        <w:rPr>
          <w:rFonts w:ascii="仿宋_GB2312" w:eastAsia="仿宋_GB2312"/>
          <w:sz w:val="32"/>
          <w:szCs w:val="32"/>
        </w:rPr>
        <w:t>20</w:t>
      </w:r>
      <w:r>
        <w:rPr>
          <w:rFonts w:hint="eastAsia" w:ascii="仿宋_GB2312" w:eastAsia="仿宋_GB2312"/>
          <w:sz w:val="32"/>
          <w:szCs w:val="32"/>
        </w:rPr>
        <w:t>21年决算数持平</w:t>
      </w:r>
      <w:r>
        <w:rPr>
          <w:rFonts w:hint="eastAsia" w:ascii="仿宋_GB2312" w:eastAsia="仿宋_GB2312"/>
          <w:sz w:val="32"/>
          <w:szCs w:val="32"/>
          <w:lang w:eastAsia="zh-CN"/>
        </w:rPr>
        <w:t>。</w:t>
      </w:r>
    </w:p>
    <w:p>
      <w:pPr>
        <w:autoSpaceDE w:val="0"/>
        <w:autoSpaceDN w:val="0"/>
        <w:adjustRightInd w:val="0"/>
        <w:spacing w:line="600" w:lineRule="exact"/>
        <w:ind w:firstLine="642" w:firstLineChars="200"/>
        <w:jc w:val="left"/>
        <w:outlineLvl w:val="2"/>
        <w:rPr>
          <w:rFonts w:ascii="仿宋" w:hAnsi="仿宋" w:eastAsia="仿宋"/>
          <w:b/>
          <w:sz w:val="32"/>
          <w:szCs w:val="32"/>
        </w:rPr>
      </w:pPr>
      <w:bookmarkStart w:id="47" w:name="_Toc15377223"/>
      <w:r>
        <w:rPr>
          <w:rFonts w:hint="eastAsia" w:ascii="仿宋" w:hAnsi="仿宋" w:eastAsia="仿宋"/>
          <w:b/>
          <w:sz w:val="32"/>
          <w:szCs w:val="32"/>
        </w:rPr>
        <w:t>（二）政府采购支出情况</w:t>
      </w:r>
      <w:bookmarkEnd w:id="47"/>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w:t>
      </w:r>
      <w:r>
        <w:rPr>
          <w:rFonts w:hint="eastAsia" w:ascii="仿宋_GB2312" w:eastAsia="仿宋_GB2312"/>
          <w:sz w:val="32"/>
          <w:szCs w:val="32"/>
          <w:lang w:eastAsia="zh-CN"/>
        </w:rPr>
        <w:t>市决策咨询服务中心</w:t>
      </w:r>
      <w:r>
        <w:rPr>
          <w:rFonts w:hint="eastAsia" w:ascii="仿宋_GB2312" w:eastAsia="仿宋_GB2312"/>
          <w:sz w:val="32"/>
          <w:szCs w:val="32"/>
        </w:rPr>
        <w:t>政府采购支出总额</w:t>
      </w:r>
      <w:r>
        <w:rPr>
          <w:rFonts w:hint="eastAsia" w:ascii="仿宋_GB2312" w:eastAsia="仿宋_GB2312"/>
          <w:sz w:val="32"/>
          <w:szCs w:val="32"/>
          <w:lang w:val="en-US" w:eastAsia="zh-CN"/>
        </w:rPr>
        <w:t>0</w:t>
      </w:r>
      <w:r>
        <w:rPr>
          <w:rFonts w:hint="eastAsia" w:ascii="仿宋_GB2312" w:eastAsia="仿宋_GB2312"/>
          <w:sz w:val="32"/>
          <w:szCs w:val="32"/>
        </w:rPr>
        <w:t>万元，其中：政府采购货物支出</w:t>
      </w:r>
      <w:r>
        <w:rPr>
          <w:rFonts w:hint="eastAsia" w:ascii="仿宋_GB2312" w:eastAsia="仿宋_GB2312"/>
          <w:sz w:val="32"/>
          <w:szCs w:val="32"/>
          <w:lang w:val="en-US" w:eastAsia="zh-CN"/>
        </w:rPr>
        <w:t>0</w:t>
      </w:r>
      <w:r>
        <w:rPr>
          <w:rFonts w:hint="eastAsia" w:ascii="仿宋_GB2312" w:eastAsia="仿宋_GB2312"/>
          <w:sz w:val="32"/>
          <w:szCs w:val="32"/>
        </w:rPr>
        <w:t>万元、政府采购工程支出</w:t>
      </w:r>
      <w:r>
        <w:rPr>
          <w:rFonts w:hint="eastAsia" w:ascii="仿宋_GB2312" w:eastAsia="仿宋_GB2312"/>
          <w:sz w:val="32"/>
          <w:szCs w:val="32"/>
          <w:lang w:val="en-US" w:eastAsia="zh-CN"/>
        </w:rPr>
        <w:t>0</w:t>
      </w:r>
      <w:r>
        <w:rPr>
          <w:rFonts w:hint="eastAsia" w:ascii="仿宋_GB2312" w:eastAsia="仿宋_GB2312"/>
          <w:sz w:val="32"/>
          <w:szCs w:val="32"/>
        </w:rPr>
        <w:t>万元、政府采购服务支出</w:t>
      </w:r>
      <w:r>
        <w:rPr>
          <w:rFonts w:hint="eastAsia" w:ascii="仿宋_GB2312" w:eastAsia="仿宋_GB2312"/>
          <w:sz w:val="32"/>
          <w:szCs w:val="32"/>
          <w:lang w:val="en-US" w:eastAsia="zh-CN"/>
        </w:rPr>
        <w:t>0</w:t>
      </w:r>
      <w:r>
        <w:rPr>
          <w:rFonts w:hint="eastAsia" w:ascii="仿宋_GB2312" w:eastAsia="仿宋_GB2312"/>
          <w:sz w:val="32"/>
          <w:szCs w:val="32"/>
        </w:rPr>
        <w:t>万元。授予中小企业合同金额</w:t>
      </w:r>
      <w:r>
        <w:rPr>
          <w:rFonts w:hint="eastAsia" w:ascii="仿宋_GB2312" w:eastAsia="仿宋_GB2312"/>
          <w:sz w:val="32"/>
          <w:szCs w:val="32"/>
          <w:lang w:val="en-US" w:eastAsia="zh-CN"/>
        </w:rPr>
        <w:t>0</w:t>
      </w:r>
      <w:r>
        <w:rPr>
          <w:rFonts w:hint="eastAsia" w:ascii="仿宋_GB2312" w:eastAsia="仿宋_GB2312"/>
          <w:sz w:val="32"/>
          <w:szCs w:val="32"/>
        </w:rPr>
        <w:t>万元，占政府采购支出总额的</w:t>
      </w:r>
      <w:r>
        <w:rPr>
          <w:rFonts w:hint="eastAsia" w:ascii="仿宋_GB2312" w:eastAsia="仿宋_GB2312"/>
          <w:sz w:val="32"/>
          <w:szCs w:val="32"/>
          <w:lang w:val="en-US" w:eastAsia="zh-CN"/>
        </w:rPr>
        <w:t>0</w:t>
      </w:r>
      <w:r>
        <w:rPr>
          <w:rFonts w:ascii="仿宋_GB2312" w:eastAsia="仿宋_GB2312"/>
          <w:sz w:val="32"/>
          <w:szCs w:val="32"/>
        </w:rPr>
        <w:t>%</w:t>
      </w:r>
      <w:r>
        <w:rPr>
          <w:rFonts w:hint="eastAsia" w:ascii="仿宋_GB2312" w:eastAsia="仿宋_GB2312"/>
          <w:sz w:val="32"/>
          <w:szCs w:val="32"/>
        </w:rPr>
        <w:t>，其中：授予小微企业合同金额</w:t>
      </w:r>
      <w:r>
        <w:rPr>
          <w:rFonts w:hint="eastAsia" w:ascii="仿宋_GB2312" w:eastAsia="仿宋_GB2312"/>
          <w:sz w:val="32"/>
          <w:szCs w:val="32"/>
          <w:lang w:val="en-US" w:eastAsia="zh-CN"/>
        </w:rPr>
        <w:t>0</w:t>
      </w:r>
      <w:r>
        <w:rPr>
          <w:rFonts w:hint="eastAsia" w:ascii="仿宋_GB2312" w:eastAsia="仿宋_GB2312"/>
          <w:sz w:val="32"/>
          <w:szCs w:val="32"/>
        </w:rPr>
        <w:t>万元，占政府采购支出总额的</w:t>
      </w:r>
      <w:r>
        <w:rPr>
          <w:rFonts w:hint="eastAsia" w:ascii="仿宋_GB2312" w:eastAsia="仿宋_GB2312"/>
          <w:sz w:val="32"/>
          <w:szCs w:val="32"/>
          <w:lang w:val="en-US" w:eastAsia="zh-CN"/>
        </w:rPr>
        <w:t>0</w:t>
      </w:r>
      <w:r>
        <w:rPr>
          <w:rFonts w:ascii="仿宋_GB2312" w:eastAsia="仿宋_GB2312"/>
          <w:sz w:val="32"/>
          <w:szCs w:val="32"/>
        </w:rPr>
        <w:t>%</w:t>
      </w:r>
      <w:r>
        <w:rPr>
          <w:rFonts w:hint="eastAsia" w:ascii="仿宋_GB2312" w:eastAsia="仿宋_GB2312"/>
          <w:sz w:val="32"/>
          <w:szCs w:val="32"/>
        </w:rPr>
        <w:t>。</w:t>
      </w:r>
    </w:p>
    <w:p>
      <w:pPr>
        <w:autoSpaceDE w:val="0"/>
        <w:autoSpaceDN w:val="0"/>
        <w:adjustRightInd w:val="0"/>
        <w:spacing w:line="600" w:lineRule="exact"/>
        <w:ind w:firstLine="642" w:firstLineChars="200"/>
        <w:jc w:val="left"/>
        <w:outlineLvl w:val="2"/>
        <w:rPr>
          <w:rFonts w:ascii="仿宋" w:hAnsi="仿宋" w:eastAsia="仿宋"/>
          <w:b/>
          <w:sz w:val="32"/>
          <w:szCs w:val="32"/>
        </w:rPr>
      </w:pPr>
      <w:bookmarkStart w:id="48" w:name="_Toc15377224"/>
      <w:r>
        <w:rPr>
          <w:rFonts w:hint="eastAsia" w:ascii="仿宋" w:hAnsi="仿宋" w:eastAsia="仿宋"/>
          <w:b/>
          <w:sz w:val="32"/>
          <w:szCs w:val="32"/>
        </w:rPr>
        <w:t>（三）国有资产占有使用情况</w:t>
      </w:r>
      <w:bookmarkEnd w:id="48"/>
    </w:p>
    <w:p>
      <w:pPr>
        <w:autoSpaceDE w:val="0"/>
        <w:autoSpaceDN w:val="0"/>
        <w:adjustRightInd w:val="0"/>
        <w:spacing w:line="600" w:lineRule="exact"/>
        <w:ind w:firstLine="640" w:firstLineChars="200"/>
        <w:jc w:val="left"/>
        <w:rPr>
          <w:rFonts w:ascii="仿宋_GB2312" w:eastAsia="仿宋_GB2312"/>
          <w:sz w:val="32"/>
          <w:szCs w:val="32"/>
        </w:rPr>
      </w:pPr>
      <w:r>
        <w:rPr>
          <w:rFonts w:hint="eastAsia" w:ascii="仿宋_GB2312" w:eastAsia="仿宋_GB2312"/>
          <w:sz w:val="32"/>
          <w:szCs w:val="32"/>
        </w:rPr>
        <w:t>截至</w:t>
      </w:r>
      <w:r>
        <w:rPr>
          <w:rFonts w:ascii="仿宋_GB2312" w:eastAsia="仿宋_GB2312"/>
          <w:sz w:val="32"/>
          <w:szCs w:val="32"/>
        </w:rPr>
        <w:t>20</w:t>
      </w:r>
      <w:r>
        <w:rPr>
          <w:rFonts w:hint="eastAsia" w:ascii="仿宋_GB2312" w:eastAsia="仿宋_GB2312"/>
          <w:sz w:val="32"/>
          <w:szCs w:val="32"/>
        </w:rPr>
        <w:t>22年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w:t>
      </w:r>
      <w:r>
        <w:rPr>
          <w:rFonts w:hint="eastAsia" w:ascii="仿宋_GB2312" w:eastAsia="仿宋_GB2312"/>
          <w:sz w:val="32"/>
          <w:szCs w:val="32"/>
          <w:lang w:eastAsia="zh-CN"/>
        </w:rPr>
        <w:t>市决策咨询服务中心</w:t>
      </w:r>
      <w:r>
        <w:rPr>
          <w:rFonts w:hint="eastAsia" w:ascii="仿宋_GB2312" w:eastAsia="仿宋_GB2312"/>
          <w:sz w:val="32"/>
          <w:szCs w:val="32"/>
        </w:rPr>
        <w:t>共有车辆</w:t>
      </w:r>
      <w:r>
        <w:rPr>
          <w:rFonts w:hint="eastAsia" w:ascii="仿宋_GB2312" w:eastAsia="仿宋_GB2312"/>
          <w:sz w:val="32"/>
          <w:szCs w:val="32"/>
          <w:lang w:val="en-US" w:eastAsia="zh-CN"/>
        </w:rPr>
        <w:t>1</w:t>
      </w:r>
      <w:r>
        <w:rPr>
          <w:rFonts w:hint="eastAsia" w:ascii="仿宋_GB2312" w:eastAsia="仿宋_GB2312"/>
          <w:sz w:val="32"/>
          <w:szCs w:val="32"/>
        </w:rPr>
        <w:t>辆，其中：主要领导干部用车</w:t>
      </w:r>
      <w:r>
        <w:rPr>
          <w:rFonts w:hint="eastAsia" w:ascii="仿宋_GB2312" w:eastAsia="仿宋_GB2312"/>
          <w:sz w:val="32"/>
          <w:szCs w:val="32"/>
          <w:lang w:val="en-US" w:eastAsia="zh-CN"/>
        </w:rPr>
        <w:t>0</w:t>
      </w:r>
      <w:r>
        <w:rPr>
          <w:rFonts w:hint="eastAsia" w:ascii="仿宋_GB2312" w:eastAsia="仿宋_GB2312"/>
          <w:sz w:val="32"/>
          <w:szCs w:val="32"/>
        </w:rPr>
        <w:t>辆、机要通信用车</w:t>
      </w:r>
      <w:r>
        <w:rPr>
          <w:rFonts w:hint="eastAsia" w:ascii="仿宋_GB2312" w:eastAsia="仿宋_GB2312"/>
          <w:sz w:val="32"/>
          <w:szCs w:val="32"/>
          <w:lang w:val="en-US" w:eastAsia="zh-CN"/>
        </w:rPr>
        <w:t>0</w:t>
      </w:r>
      <w:r>
        <w:rPr>
          <w:rFonts w:hint="eastAsia" w:ascii="仿宋_GB2312" w:eastAsia="仿宋_GB2312"/>
          <w:sz w:val="32"/>
          <w:szCs w:val="32"/>
        </w:rPr>
        <w:t>辆、应急保障用车</w:t>
      </w:r>
      <w:r>
        <w:rPr>
          <w:rFonts w:hint="eastAsia" w:ascii="仿宋_GB2312" w:eastAsia="仿宋_GB2312"/>
          <w:sz w:val="32"/>
          <w:szCs w:val="32"/>
          <w:lang w:val="en-US" w:eastAsia="zh-CN"/>
        </w:rPr>
        <w:t>0</w:t>
      </w:r>
      <w:r>
        <w:rPr>
          <w:rFonts w:hint="eastAsia" w:ascii="仿宋_GB2312" w:eastAsia="仿宋_GB2312"/>
          <w:sz w:val="32"/>
          <w:szCs w:val="32"/>
        </w:rPr>
        <w:t>辆、其他用车</w:t>
      </w:r>
      <w:r>
        <w:rPr>
          <w:rFonts w:hint="eastAsia" w:ascii="仿宋_GB2312" w:eastAsia="仿宋_GB2312"/>
          <w:sz w:val="32"/>
          <w:szCs w:val="32"/>
          <w:lang w:val="en-US" w:eastAsia="zh-CN"/>
        </w:rPr>
        <w:t>1</w:t>
      </w:r>
      <w:r>
        <w:rPr>
          <w:rFonts w:hint="eastAsia" w:ascii="仿宋_GB2312" w:eastAsia="仿宋_GB2312"/>
          <w:sz w:val="32"/>
          <w:szCs w:val="32"/>
        </w:rPr>
        <w:t>辆，其他用车主要是用于课题调研等业务活动。单价</w:t>
      </w:r>
      <w:r>
        <w:rPr>
          <w:rFonts w:ascii="仿宋_GB2312" w:eastAsia="仿宋_GB2312"/>
          <w:sz w:val="32"/>
          <w:szCs w:val="32"/>
        </w:rPr>
        <w:t>100</w:t>
      </w:r>
      <w:r>
        <w:rPr>
          <w:rFonts w:hint="eastAsia" w:ascii="仿宋_GB2312" w:eastAsia="仿宋_GB2312"/>
          <w:sz w:val="32"/>
          <w:szCs w:val="32"/>
        </w:rPr>
        <w:t>万元以上专用设备</w:t>
      </w:r>
      <w:r>
        <w:rPr>
          <w:rFonts w:hint="eastAsia" w:ascii="仿宋_GB2312" w:eastAsia="仿宋_GB2312"/>
          <w:sz w:val="32"/>
          <w:szCs w:val="32"/>
          <w:lang w:val="en-US" w:eastAsia="zh-CN"/>
        </w:rPr>
        <w:t>0</w:t>
      </w:r>
      <w:r>
        <w:rPr>
          <w:rFonts w:hint="eastAsia" w:ascii="仿宋_GB2312" w:eastAsia="仿宋_GB2312"/>
          <w:sz w:val="32"/>
          <w:szCs w:val="32"/>
        </w:rPr>
        <w:t>台（套）。</w:t>
      </w:r>
    </w:p>
    <w:p>
      <w:pPr>
        <w:autoSpaceDE w:val="0"/>
        <w:autoSpaceDN w:val="0"/>
        <w:adjustRightInd w:val="0"/>
        <w:spacing w:line="600" w:lineRule="exact"/>
        <w:ind w:firstLine="642" w:firstLineChars="200"/>
        <w:jc w:val="left"/>
        <w:outlineLvl w:val="2"/>
        <w:rPr>
          <w:rFonts w:ascii="仿宋" w:hAnsi="仿宋" w:eastAsia="仿宋"/>
          <w:b/>
          <w:sz w:val="32"/>
          <w:szCs w:val="32"/>
        </w:rPr>
      </w:pPr>
      <w:r>
        <w:rPr>
          <w:rFonts w:hint="eastAsia" w:ascii="仿宋" w:hAnsi="仿宋" w:eastAsia="仿宋"/>
          <w:b/>
          <w:sz w:val="32"/>
          <w:szCs w:val="32"/>
        </w:rPr>
        <w:t>（四）预算绩效管理情况</w:t>
      </w:r>
    </w:p>
    <w:p>
      <w:pPr>
        <w:pStyle w:val="2"/>
        <w:spacing w:before="93"/>
        <w:ind w:firstLine="640" w:firstLineChars="200"/>
        <w:rPr>
          <w:highlight w:val="yellow"/>
        </w:rPr>
      </w:pPr>
      <w:r>
        <w:rPr>
          <w:rFonts w:hint="eastAsia" w:hAnsi="仿宋_GB2312" w:cs="仿宋_GB2312"/>
          <w:sz w:val="32"/>
          <w:szCs w:val="32"/>
        </w:rPr>
        <w:t>根据预算绩效管理要求，本单位在2022年度预算编制阶段，组织对</w:t>
      </w:r>
      <w:r>
        <w:rPr>
          <w:rFonts w:hint="eastAsia" w:hAnsi="仿宋_GB2312" w:cs="仿宋_GB2312"/>
          <w:sz w:val="32"/>
          <w:szCs w:val="32"/>
          <w:lang w:val="en-US" w:eastAsia="zh-CN"/>
        </w:rPr>
        <w:t>住房公积金（事业）</w:t>
      </w:r>
      <w:r>
        <w:rPr>
          <w:rFonts w:hint="eastAsia" w:hAnsi="仿宋_GB2312" w:cs="仿宋_GB2312"/>
          <w:sz w:val="32"/>
          <w:szCs w:val="32"/>
        </w:rPr>
        <w:t>项目等</w:t>
      </w:r>
      <w:r>
        <w:rPr>
          <w:rFonts w:hint="eastAsia" w:hAnsi="仿宋_GB2312" w:cs="仿宋_GB2312"/>
          <w:sz w:val="32"/>
          <w:szCs w:val="32"/>
          <w:lang w:val="en-US" w:eastAsia="zh-CN"/>
        </w:rPr>
        <w:t>8</w:t>
      </w:r>
      <w:r>
        <w:rPr>
          <w:rFonts w:hint="eastAsia" w:hAnsi="仿宋_GB2312" w:cs="仿宋_GB2312"/>
          <w:sz w:val="32"/>
          <w:szCs w:val="32"/>
        </w:rPr>
        <w:t>个项目开展了预算事前绩效评估，对</w:t>
      </w:r>
      <w:r>
        <w:rPr>
          <w:rFonts w:hint="eastAsia" w:hAnsi="仿宋_GB2312" w:cs="仿宋_GB2312"/>
          <w:sz w:val="32"/>
          <w:szCs w:val="32"/>
          <w:lang w:val="en-US" w:eastAsia="zh-CN"/>
        </w:rPr>
        <w:t>8</w:t>
      </w:r>
      <w:r>
        <w:rPr>
          <w:rFonts w:hint="eastAsia" w:hAnsi="仿宋_GB2312" w:cs="仿宋_GB2312"/>
          <w:sz w:val="32"/>
          <w:szCs w:val="32"/>
        </w:rPr>
        <w:t>个项目编制了绩效目标，预算执行过程中，选取</w:t>
      </w:r>
      <w:r>
        <w:rPr>
          <w:rFonts w:hint="eastAsia" w:hAnsi="仿宋_GB2312" w:cs="仿宋_GB2312"/>
          <w:sz w:val="32"/>
          <w:szCs w:val="32"/>
          <w:lang w:val="en-US" w:eastAsia="zh-CN"/>
        </w:rPr>
        <w:t>8</w:t>
      </w:r>
      <w:r>
        <w:rPr>
          <w:rFonts w:hint="eastAsia" w:hAnsi="仿宋_GB2312" w:cs="仿宋_GB2312"/>
          <w:sz w:val="32"/>
          <w:szCs w:val="32"/>
        </w:rPr>
        <w:t>个项目开展绩效监控，组织对</w:t>
      </w:r>
      <w:r>
        <w:rPr>
          <w:rFonts w:hint="eastAsia" w:hAnsi="仿宋_GB2312" w:cs="仿宋_GB2312"/>
          <w:sz w:val="32"/>
          <w:szCs w:val="32"/>
          <w:lang w:val="en-US" w:eastAsia="zh-CN"/>
        </w:rPr>
        <w:t>8</w:t>
      </w:r>
      <w:r>
        <w:rPr>
          <w:rFonts w:hint="eastAsia" w:hAnsi="仿宋_GB2312" w:cs="仿宋_GB2312"/>
          <w:sz w:val="32"/>
          <w:szCs w:val="32"/>
        </w:rPr>
        <w:t>个项目开展绩效自评，绩效自评表详见第四部分附件。</w:t>
      </w:r>
    </w:p>
    <w:p>
      <w:pPr>
        <w:widowControl/>
        <w:jc w:val="left"/>
        <w:rPr>
          <w:rFonts w:ascii="仿宋_GB2312" w:eastAsia="仿宋_GB2312"/>
          <w:b/>
          <w:sz w:val="32"/>
          <w:szCs w:val="32"/>
        </w:rPr>
      </w:pPr>
      <w:r>
        <w:rPr>
          <w:rFonts w:ascii="仿宋_GB2312" w:eastAsia="仿宋_GB2312"/>
          <w:b/>
          <w:sz w:val="32"/>
          <w:szCs w:val="32"/>
        </w:rPr>
        <w:br w:type="page"/>
      </w:r>
    </w:p>
    <w:p>
      <w:pPr>
        <w:numPr>
          <w:ilvl w:val="0"/>
          <w:numId w:val="3"/>
        </w:numPr>
        <w:spacing w:line="600" w:lineRule="exact"/>
        <w:ind w:firstLine="660" w:firstLineChars="150"/>
        <w:jc w:val="center"/>
        <w:outlineLvl w:val="0"/>
        <w:rPr>
          <w:rStyle w:val="24"/>
          <w:rFonts w:ascii="黑体" w:hAnsi="黑体" w:eastAsia="黑体"/>
          <w:b w:val="0"/>
        </w:rPr>
      </w:pPr>
      <w:bookmarkStart w:id="49" w:name="_Toc15396613"/>
      <w:bookmarkStart w:id="50" w:name="_Toc15377225"/>
      <w:r>
        <w:rPr>
          <w:rFonts w:hint="eastAsia" w:ascii="黑体" w:hAnsi="黑体" w:eastAsia="黑体"/>
          <w:sz w:val="44"/>
          <w:szCs w:val="44"/>
        </w:rPr>
        <w:t>名</w:t>
      </w:r>
      <w:r>
        <w:rPr>
          <w:rStyle w:val="24"/>
          <w:rFonts w:hint="eastAsia" w:ascii="黑体" w:hAnsi="黑体" w:eastAsia="黑体"/>
          <w:b w:val="0"/>
        </w:rPr>
        <w:t>词解释</w:t>
      </w:r>
      <w:bookmarkEnd w:id="49"/>
      <w:bookmarkEnd w:id="50"/>
    </w:p>
    <w:p>
      <w:pPr>
        <w:spacing w:line="600" w:lineRule="exact"/>
        <w:jc w:val="left"/>
        <w:rPr>
          <w:rFonts w:ascii="宋体"/>
          <w:b/>
          <w:sz w:val="44"/>
          <w:szCs w:val="44"/>
        </w:rPr>
      </w:pPr>
    </w:p>
    <w:p>
      <w:pPr>
        <w:pStyle w:val="22"/>
        <w:spacing w:line="560" w:lineRule="exact"/>
        <w:ind w:firstLine="640" w:firstLineChars="200"/>
        <w:rPr>
          <w:rFonts w:ascii="仿宋_GB2312" w:eastAsia="仿宋_GB2312"/>
          <w:color w:val="auto"/>
          <w:sz w:val="32"/>
          <w:szCs w:val="32"/>
        </w:rPr>
      </w:pPr>
      <w:bookmarkStart w:id="51" w:name="_Toc15377226"/>
      <w:r>
        <w:rPr>
          <w:rFonts w:ascii="仿宋_GB2312" w:eastAsia="仿宋_GB2312"/>
          <w:color w:val="auto"/>
          <w:sz w:val="32"/>
          <w:szCs w:val="32"/>
        </w:rPr>
        <w:t>1.</w:t>
      </w:r>
      <w:r>
        <w:rPr>
          <w:rFonts w:hint="eastAsia" w:ascii="仿宋_GB2312" w:eastAsia="仿宋_GB2312"/>
          <w:color w:val="auto"/>
          <w:sz w:val="32"/>
          <w:szCs w:val="32"/>
        </w:rPr>
        <w:t>财政拨款收入：指单位从同级财政部门取得的财政预算资金。</w:t>
      </w:r>
    </w:p>
    <w:p>
      <w:pPr>
        <w:spacing w:line="600" w:lineRule="exact"/>
        <w:ind w:firstLine="640" w:firstLineChars="200"/>
        <w:rPr>
          <w:rFonts w:hint="eastAsia" w:eastAsia="仿宋_GB2312"/>
          <w:color w:val="000000"/>
          <w:kern w:val="0"/>
          <w:sz w:val="32"/>
          <w:szCs w:val="32"/>
        </w:rPr>
      </w:pPr>
      <w:r>
        <w:rPr>
          <w:rFonts w:hint="eastAsia" w:ascii="仿宋_GB2312" w:eastAsia="仿宋_GB2312"/>
          <w:color w:val="auto"/>
          <w:sz w:val="32"/>
          <w:szCs w:val="32"/>
          <w:lang w:val="en-US" w:eastAsia="zh-CN"/>
        </w:rPr>
        <w:t>2</w:t>
      </w:r>
      <w:r>
        <w:rPr>
          <w:rFonts w:hint="eastAsia" w:eastAsia="仿宋_GB2312"/>
          <w:color w:val="000000"/>
          <w:kern w:val="0"/>
          <w:sz w:val="32"/>
          <w:szCs w:val="32"/>
        </w:rPr>
        <w:t>.科学技术支出（类）其他科学技术支出（款） 其他科学技术支出（项）：指</w:t>
      </w:r>
      <w:r>
        <w:rPr>
          <w:rFonts w:hint="eastAsia" w:eastAsia="仿宋_GB2312"/>
          <w:color w:val="000000"/>
          <w:kern w:val="0"/>
          <w:sz w:val="32"/>
          <w:szCs w:val="32"/>
          <w:lang w:val="en-US" w:eastAsia="zh-CN"/>
        </w:rPr>
        <w:t>用于保障单位正常运行、开展日常工作</w:t>
      </w:r>
      <w:r>
        <w:rPr>
          <w:rFonts w:hint="eastAsia" w:eastAsia="仿宋_GB2312"/>
          <w:color w:val="000000"/>
          <w:kern w:val="0"/>
          <w:sz w:val="32"/>
          <w:szCs w:val="32"/>
          <w:lang w:eastAsia="zh-CN"/>
        </w:rPr>
        <w:t>等</w:t>
      </w:r>
      <w:r>
        <w:rPr>
          <w:rFonts w:hint="eastAsia" w:eastAsia="仿宋_GB2312"/>
          <w:color w:val="000000"/>
          <w:kern w:val="0"/>
          <w:sz w:val="32"/>
          <w:szCs w:val="32"/>
        </w:rPr>
        <w:t>基本支出。</w:t>
      </w:r>
    </w:p>
    <w:p>
      <w:pPr>
        <w:spacing w:line="600" w:lineRule="exact"/>
        <w:ind w:firstLine="640" w:firstLineChars="200"/>
      </w:pPr>
      <w:r>
        <w:rPr>
          <w:rFonts w:hint="eastAsia" w:eastAsia="仿宋_GB2312"/>
          <w:color w:val="000000"/>
          <w:kern w:val="0"/>
          <w:sz w:val="32"/>
          <w:szCs w:val="32"/>
          <w:lang w:val="en-US" w:eastAsia="zh-CN"/>
        </w:rPr>
        <w:t>3.</w:t>
      </w:r>
      <w:r>
        <w:rPr>
          <w:rFonts w:hint="eastAsia" w:eastAsia="仿宋_GB2312"/>
          <w:color w:val="000000"/>
          <w:kern w:val="0"/>
          <w:sz w:val="32"/>
          <w:szCs w:val="32"/>
        </w:rPr>
        <w:t>社会保障和就业（类）行政事业单位养老支出（款）机关事业单位基本养老保险缴费支出（项）：</w:t>
      </w:r>
      <w:r>
        <w:rPr>
          <w:rFonts w:ascii="仿宋_gb2312" w:hAnsi="仿宋_gb2312" w:eastAsia="仿宋_gb2312" w:cs="仿宋_gb2312"/>
          <w:kern w:val="0"/>
          <w:sz w:val="33"/>
          <w:szCs w:val="33"/>
          <w:lang w:val="en-US" w:eastAsia="zh-CN" w:bidi="ar"/>
        </w:rPr>
        <w:t>指机关事业单位实施养老保险制度由单位缴纳的基本养老保险费支出。</w:t>
      </w:r>
    </w:p>
    <w:p>
      <w:pPr>
        <w:pStyle w:val="22"/>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4.</w:t>
      </w:r>
      <w:r>
        <w:rPr>
          <w:rFonts w:ascii="Times New Roman" w:hAnsi="Times New Roman" w:eastAsia="仿宋_GB2312" w:cs="Times New Roman"/>
          <w:sz w:val="32"/>
          <w:szCs w:val="32"/>
        </w:rPr>
        <w:t>住房保障支出（类）住房改革支出（款）住房公积金（项）</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指反映行政事业单位按</w:t>
      </w:r>
      <w:r>
        <w:rPr>
          <w:rFonts w:hint="eastAsia" w:ascii="Times New Roman" w:hAnsi="Times New Roman" w:eastAsia="仿宋_GB2312" w:cs="Times New Roman"/>
          <w:sz w:val="32"/>
          <w:szCs w:val="32"/>
        </w:rPr>
        <w:t>人力资源和社会保障部</w:t>
      </w:r>
      <w:r>
        <w:rPr>
          <w:rFonts w:ascii="Times New Roman" w:hAnsi="Times New Roman" w:eastAsia="仿宋_GB2312" w:cs="Times New Roman"/>
          <w:sz w:val="32"/>
          <w:szCs w:val="32"/>
        </w:rPr>
        <w:t>、财政部门规定的基本工资和津贴补贴以及规定比例为职工缴纳的住房公积金。</w:t>
      </w:r>
    </w:p>
    <w:p>
      <w:pPr>
        <w:ind w:firstLine="640" w:firstLineChars="200"/>
        <w:rPr>
          <w:rFonts w:ascii="仿宋_GB2312" w:eastAsia="仿宋_GB2312"/>
          <w:sz w:val="32"/>
          <w:szCs w:val="32"/>
        </w:rPr>
      </w:pPr>
      <w:r>
        <w:rPr>
          <w:rFonts w:hint="eastAsia" w:eastAsia="仿宋_GB2312"/>
          <w:color w:val="000000"/>
          <w:kern w:val="0"/>
          <w:sz w:val="32"/>
          <w:szCs w:val="32"/>
          <w:lang w:val="en-US" w:eastAsia="zh-CN"/>
        </w:rPr>
        <w:t>5</w:t>
      </w:r>
      <w:r>
        <w:rPr>
          <w:rFonts w:ascii="仿宋_GB2312" w:eastAsia="仿宋_GB2312"/>
          <w:sz w:val="32"/>
          <w:szCs w:val="32"/>
        </w:rPr>
        <w:t>.</w:t>
      </w:r>
      <w:r>
        <w:rPr>
          <w:rFonts w:hint="eastAsia" w:ascii="仿宋_GB2312" w:eastAsia="仿宋_GB2312"/>
          <w:sz w:val="32"/>
          <w:szCs w:val="32"/>
        </w:rPr>
        <w:t>基本支出：指为保障机构正常运转、完成日常工作任务而发生的人员支出和公用支出。</w:t>
      </w:r>
    </w:p>
    <w:p>
      <w:pPr>
        <w:pStyle w:val="22"/>
        <w:spacing w:line="560" w:lineRule="exact"/>
        <w:ind w:firstLine="640" w:firstLineChars="200"/>
        <w:rPr>
          <w:rFonts w:ascii="仿宋_GB2312" w:eastAsia="仿宋_GB2312"/>
          <w:color w:val="auto"/>
          <w:sz w:val="32"/>
          <w:szCs w:val="32"/>
        </w:rPr>
      </w:pPr>
      <w:r>
        <w:rPr>
          <w:rFonts w:hint="eastAsia" w:ascii="仿宋_GB2312" w:eastAsia="仿宋_GB2312"/>
          <w:sz w:val="32"/>
          <w:szCs w:val="32"/>
          <w:lang w:val="en-US" w:eastAsia="zh-CN"/>
        </w:rPr>
        <w:t>6</w:t>
      </w:r>
      <w:r>
        <w:rPr>
          <w:rFonts w:ascii="仿宋_GB2312" w:eastAsia="仿宋_GB2312"/>
          <w:color w:val="auto"/>
          <w:sz w:val="32"/>
          <w:szCs w:val="32"/>
        </w:rPr>
        <w:t>.</w:t>
      </w:r>
      <w:r>
        <w:rPr>
          <w:rFonts w:hint="eastAsia" w:ascii="仿宋_GB2312" w:eastAsia="仿宋_GB2312"/>
          <w:color w:val="auto"/>
          <w:sz w:val="32"/>
          <w:szCs w:val="32"/>
        </w:rPr>
        <w:t>“三公”经费：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spacing w:line="600" w:lineRule="exact"/>
        <w:jc w:val="center"/>
        <w:outlineLvl w:val="0"/>
        <w:rPr>
          <w:rStyle w:val="24"/>
          <w:rFonts w:ascii="黑体" w:hAnsi="黑体" w:eastAsia="黑体"/>
          <w:b w:val="0"/>
        </w:rPr>
      </w:pPr>
      <w:r>
        <w:rPr>
          <w:rFonts w:ascii="宋体"/>
          <w:b/>
          <w:sz w:val="44"/>
          <w:szCs w:val="44"/>
        </w:rPr>
        <w:br w:type="page"/>
      </w:r>
      <w:bookmarkStart w:id="52" w:name="_Toc15396614"/>
      <w:r>
        <w:rPr>
          <w:rFonts w:hint="eastAsia" w:ascii="黑体" w:hAnsi="黑体" w:eastAsia="黑体"/>
          <w:sz w:val="44"/>
          <w:szCs w:val="44"/>
        </w:rPr>
        <w:t>第</w:t>
      </w:r>
      <w:r>
        <w:rPr>
          <w:rStyle w:val="24"/>
          <w:rFonts w:hint="eastAsia" w:ascii="黑体" w:hAnsi="黑体" w:eastAsia="黑体"/>
          <w:b w:val="0"/>
        </w:rPr>
        <w:t>四部分 附件</w:t>
      </w:r>
      <w:bookmarkEnd w:id="52"/>
    </w:p>
    <w:p>
      <w:pPr>
        <w:spacing w:line="572" w:lineRule="exact"/>
        <w:jc w:val="left"/>
        <w:outlineLvl w:val="0"/>
        <w:rPr>
          <w:rFonts w:ascii="仿宋_GB2312" w:hAnsi="仿宋_GB2312" w:eastAsia="仿宋_GB2312" w:cs="仿宋_GB2312"/>
          <w:sz w:val="32"/>
          <w:szCs w:val="32"/>
        </w:rPr>
      </w:pPr>
    </w:p>
    <w:p>
      <w:pPr>
        <w:spacing w:line="600" w:lineRule="exact"/>
        <w:jc w:val="center"/>
        <w:outlineLvl w:val="0"/>
        <w:rPr>
          <w:rFonts w:hint="eastAsia" w:ascii="宋体" w:hAnsi="宋体" w:eastAsia="宋体" w:cs="宋体"/>
          <w:kern w:val="0"/>
          <w:sz w:val="32"/>
          <w:szCs w:val="32"/>
          <w:lang w:eastAsia="zh-CN"/>
        </w:rPr>
      </w:pPr>
      <w:bookmarkStart w:id="53" w:name="_Toc15396618"/>
      <w:r>
        <w:rPr>
          <w:rFonts w:hint="eastAsia" w:ascii="宋体" w:hAnsi="宋体" w:cs="宋体"/>
          <w:kern w:val="0"/>
          <w:sz w:val="32"/>
          <w:szCs w:val="32"/>
        </w:rPr>
        <w:t>部门预算项目支出绩效自评表（2022年度）见附件</w:t>
      </w:r>
      <w:r>
        <w:rPr>
          <w:rFonts w:hint="eastAsia" w:ascii="宋体" w:hAnsi="宋体" w:cs="宋体"/>
          <w:kern w:val="0"/>
          <w:sz w:val="32"/>
          <w:szCs w:val="32"/>
          <w:lang w:val="en-US" w:eastAsia="zh-CN"/>
        </w:rPr>
        <w:t>1</w:t>
      </w:r>
    </w:p>
    <w:p>
      <w:pPr>
        <w:spacing w:line="600" w:lineRule="exact"/>
        <w:jc w:val="left"/>
        <w:outlineLvl w:val="0"/>
        <w:rPr>
          <w:rFonts w:ascii="仿宋_GB2312" w:hAnsi="Calibri" w:eastAsia="仿宋_GB2312" w:cs="仿宋"/>
          <w:kern w:val="0"/>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spacing w:line="600" w:lineRule="exact"/>
        <w:jc w:val="center"/>
        <w:outlineLvl w:val="0"/>
        <w:rPr>
          <w:rFonts w:ascii="仿宋" w:hAnsi="仿宋" w:eastAsia="仿宋"/>
        </w:rPr>
      </w:pPr>
      <w:r>
        <w:rPr>
          <w:rFonts w:hint="eastAsia" w:ascii="黑体" w:hAnsi="黑体" w:eastAsia="黑体"/>
          <w:sz w:val="44"/>
          <w:szCs w:val="44"/>
        </w:rPr>
        <w:t>第</w:t>
      </w:r>
      <w:r>
        <w:rPr>
          <w:rStyle w:val="24"/>
          <w:rFonts w:hint="eastAsia" w:ascii="黑体" w:hAnsi="黑体" w:eastAsia="黑体"/>
          <w:b w:val="0"/>
        </w:rPr>
        <w:t>五部分 附表</w:t>
      </w:r>
      <w:bookmarkEnd w:id="51"/>
      <w:bookmarkEnd w:id="53"/>
      <w:bookmarkStart w:id="54" w:name="_Toc15396619"/>
    </w:p>
    <w:p>
      <w:pPr>
        <w:pStyle w:val="4"/>
        <w:rPr>
          <w:rFonts w:ascii="仿宋" w:hAnsi="仿宋" w:eastAsia="仿宋"/>
        </w:rPr>
      </w:pPr>
      <w:r>
        <w:rPr>
          <w:rFonts w:hint="eastAsia" w:ascii="仿宋" w:hAnsi="仿宋" w:eastAsia="仿宋"/>
          <w:b w:val="0"/>
        </w:rPr>
        <w:t>一、收</w:t>
      </w:r>
      <w:r>
        <w:rPr>
          <w:rStyle w:val="25"/>
          <w:rFonts w:hint="eastAsia" w:ascii="仿宋" w:hAnsi="仿宋" w:eastAsia="仿宋"/>
          <w:b w:val="0"/>
          <w:bCs w:val="0"/>
        </w:rPr>
        <w:t>入支出决算总表</w:t>
      </w:r>
      <w:bookmarkEnd w:id="54"/>
    </w:p>
    <w:p>
      <w:pPr>
        <w:pStyle w:val="4"/>
        <w:rPr>
          <w:rFonts w:ascii="仿宋" w:hAnsi="仿宋" w:eastAsia="仿宋"/>
        </w:rPr>
      </w:pPr>
      <w:bookmarkStart w:id="55" w:name="_Toc15396620"/>
      <w:r>
        <w:rPr>
          <w:rFonts w:hint="eastAsia" w:ascii="仿宋" w:hAnsi="仿宋" w:eastAsia="仿宋"/>
          <w:b w:val="0"/>
        </w:rPr>
        <w:t>二、收</w:t>
      </w:r>
      <w:r>
        <w:rPr>
          <w:rStyle w:val="25"/>
          <w:rFonts w:hint="eastAsia" w:ascii="仿宋" w:hAnsi="仿宋" w:eastAsia="仿宋"/>
          <w:b w:val="0"/>
          <w:bCs w:val="0"/>
        </w:rPr>
        <w:t>入决算表</w:t>
      </w:r>
      <w:bookmarkEnd w:id="55"/>
    </w:p>
    <w:p>
      <w:pPr>
        <w:pStyle w:val="4"/>
        <w:rPr>
          <w:rFonts w:ascii="仿宋" w:hAnsi="仿宋" w:eastAsia="仿宋"/>
        </w:rPr>
      </w:pPr>
      <w:bookmarkStart w:id="56" w:name="_Toc15396621"/>
      <w:r>
        <w:rPr>
          <w:rStyle w:val="25"/>
          <w:rFonts w:hint="eastAsia" w:ascii="仿宋" w:hAnsi="仿宋" w:eastAsia="仿宋"/>
          <w:b w:val="0"/>
          <w:bCs w:val="0"/>
        </w:rPr>
        <w:t>三、</w:t>
      </w:r>
      <w:r>
        <w:rPr>
          <w:rFonts w:hint="eastAsia" w:ascii="仿宋" w:hAnsi="仿宋" w:eastAsia="仿宋"/>
          <w:b w:val="0"/>
        </w:rPr>
        <w:t>支</w:t>
      </w:r>
      <w:r>
        <w:rPr>
          <w:rStyle w:val="25"/>
          <w:rFonts w:hint="eastAsia" w:ascii="仿宋" w:hAnsi="仿宋" w:eastAsia="仿宋"/>
          <w:b w:val="0"/>
          <w:bCs w:val="0"/>
        </w:rPr>
        <w:t>出决算表</w:t>
      </w:r>
      <w:bookmarkEnd w:id="56"/>
    </w:p>
    <w:p>
      <w:pPr>
        <w:pStyle w:val="4"/>
        <w:rPr>
          <w:rFonts w:ascii="仿宋" w:hAnsi="仿宋" w:eastAsia="仿宋"/>
          <w:b w:val="0"/>
        </w:rPr>
      </w:pPr>
      <w:bookmarkStart w:id="57" w:name="_Toc15396622"/>
      <w:r>
        <w:rPr>
          <w:rStyle w:val="25"/>
          <w:rFonts w:hint="eastAsia" w:ascii="仿宋" w:hAnsi="仿宋" w:eastAsia="仿宋"/>
          <w:b w:val="0"/>
          <w:bCs w:val="0"/>
        </w:rPr>
        <w:t>四、</w:t>
      </w:r>
      <w:r>
        <w:rPr>
          <w:rFonts w:hint="eastAsia" w:ascii="仿宋" w:hAnsi="仿宋" w:eastAsia="仿宋"/>
          <w:b w:val="0"/>
        </w:rPr>
        <w:t>财</w:t>
      </w:r>
      <w:r>
        <w:rPr>
          <w:rStyle w:val="25"/>
          <w:rFonts w:hint="eastAsia" w:ascii="仿宋" w:hAnsi="仿宋" w:eastAsia="仿宋"/>
          <w:b w:val="0"/>
          <w:bCs w:val="0"/>
        </w:rPr>
        <w:t>政拨款收入支出决算总表</w:t>
      </w:r>
      <w:bookmarkEnd w:id="57"/>
    </w:p>
    <w:p>
      <w:pPr>
        <w:pStyle w:val="4"/>
        <w:rPr>
          <w:rStyle w:val="25"/>
          <w:rFonts w:ascii="仿宋" w:hAnsi="仿宋" w:eastAsia="仿宋"/>
          <w:b w:val="0"/>
          <w:bCs w:val="0"/>
        </w:rPr>
      </w:pPr>
      <w:bookmarkStart w:id="58" w:name="_Toc15396623"/>
      <w:r>
        <w:rPr>
          <w:rStyle w:val="25"/>
          <w:rFonts w:hint="eastAsia" w:ascii="仿宋" w:hAnsi="仿宋" w:eastAsia="仿宋"/>
          <w:b w:val="0"/>
          <w:bCs w:val="0"/>
        </w:rPr>
        <w:t>五、</w:t>
      </w:r>
      <w:r>
        <w:rPr>
          <w:rFonts w:hint="eastAsia" w:ascii="仿宋" w:hAnsi="仿宋" w:eastAsia="仿宋"/>
          <w:b w:val="0"/>
        </w:rPr>
        <w:t>财</w:t>
      </w:r>
      <w:r>
        <w:rPr>
          <w:rStyle w:val="25"/>
          <w:rFonts w:hint="eastAsia" w:ascii="仿宋" w:hAnsi="仿宋" w:eastAsia="仿宋"/>
          <w:b w:val="0"/>
          <w:bCs w:val="0"/>
        </w:rPr>
        <w:t>政拨款支出决算明细表</w:t>
      </w:r>
      <w:bookmarkEnd w:id="58"/>
      <w:bookmarkStart w:id="59" w:name="_Toc15396624"/>
    </w:p>
    <w:p>
      <w:pPr>
        <w:pStyle w:val="4"/>
        <w:rPr>
          <w:rFonts w:ascii="仿宋" w:hAnsi="仿宋" w:eastAsia="仿宋"/>
        </w:rPr>
      </w:pPr>
      <w:r>
        <w:rPr>
          <w:rStyle w:val="25"/>
          <w:rFonts w:hint="eastAsia" w:ascii="仿宋" w:hAnsi="仿宋" w:eastAsia="仿宋"/>
          <w:b w:val="0"/>
          <w:bCs w:val="0"/>
        </w:rPr>
        <w:t>六、</w:t>
      </w:r>
      <w:r>
        <w:rPr>
          <w:rFonts w:hint="eastAsia" w:ascii="仿宋" w:hAnsi="仿宋" w:eastAsia="仿宋"/>
          <w:b w:val="0"/>
        </w:rPr>
        <w:t>一</w:t>
      </w:r>
      <w:r>
        <w:rPr>
          <w:rStyle w:val="25"/>
          <w:rFonts w:hint="eastAsia" w:ascii="仿宋" w:hAnsi="仿宋" w:eastAsia="仿宋"/>
          <w:b w:val="0"/>
          <w:bCs w:val="0"/>
        </w:rPr>
        <w:t>般公共预算财政拨款支出决算表</w:t>
      </w:r>
      <w:bookmarkEnd w:id="59"/>
    </w:p>
    <w:p>
      <w:pPr>
        <w:pStyle w:val="4"/>
        <w:rPr>
          <w:rFonts w:ascii="仿宋" w:hAnsi="仿宋" w:eastAsia="仿宋"/>
        </w:rPr>
      </w:pPr>
      <w:bookmarkStart w:id="60" w:name="_Toc15396625"/>
      <w:r>
        <w:rPr>
          <w:rStyle w:val="25"/>
          <w:rFonts w:hint="eastAsia" w:ascii="仿宋" w:hAnsi="仿宋" w:eastAsia="仿宋"/>
          <w:b w:val="0"/>
          <w:bCs w:val="0"/>
        </w:rPr>
        <w:t>七、</w:t>
      </w:r>
      <w:r>
        <w:rPr>
          <w:rFonts w:hint="eastAsia" w:ascii="仿宋" w:hAnsi="仿宋" w:eastAsia="仿宋"/>
          <w:b w:val="0"/>
        </w:rPr>
        <w:t>一</w:t>
      </w:r>
      <w:r>
        <w:rPr>
          <w:rStyle w:val="25"/>
          <w:rFonts w:hint="eastAsia" w:ascii="仿宋" w:hAnsi="仿宋" w:eastAsia="仿宋"/>
          <w:b w:val="0"/>
          <w:bCs w:val="0"/>
        </w:rPr>
        <w:t>般公共预算财政拨款支出决算明细表</w:t>
      </w:r>
      <w:bookmarkEnd w:id="60"/>
    </w:p>
    <w:p>
      <w:pPr>
        <w:pStyle w:val="4"/>
        <w:rPr>
          <w:rFonts w:ascii="仿宋" w:hAnsi="仿宋" w:eastAsia="仿宋"/>
        </w:rPr>
      </w:pPr>
      <w:bookmarkStart w:id="61" w:name="_Toc15396626"/>
      <w:r>
        <w:rPr>
          <w:rStyle w:val="25"/>
          <w:rFonts w:hint="eastAsia" w:ascii="仿宋" w:hAnsi="仿宋" w:eastAsia="仿宋"/>
          <w:b w:val="0"/>
          <w:bCs w:val="0"/>
        </w:rPr>
        <w:t>八、</w:t>
      </w:r>
      <w:r>
        <w:rPr>
          <w:rFonts w:hint="eastAsia" w:ascii="仿宋" w:hAnsi="仿宋" w:eastAsia="仿宋"/>
          <w:b w:val="0"/>
        </w:rPr>
        <w:t>一</w:t>
      </w:r>
      <w:r>
        <w:rPr>
          <w:rStyle w:val="25"/>
          <w:rFonts w:hint="eastAsia" w:ascii="仿宋" w:hAnsi="仿宋" w:eastAsia="仿宋"/>
          <w:b w:val="0"/>
          <w:bCs w:val="0"/>
        </w:rPr>
        <w:t>般公共预算财政拨款基本支出决算表</w:t>
      </w:r>
      <w:bookmarkEnd w:id="61"/>
    </w:p>
    <w:p>
      <w:pPr>
        <w:pStyle w:val="4"/>
        <w:rPr>
          <w:rFonts w:ascii="仿宋" w:hAnsi="仿宋" w:eastAsia="仿宋"/>
        </w:rPr>
      </w:pPr>
      <w:bookmarkStart w:id="62" w:name="_Toc15396627"/>
      <w:r>
        <w:rPr>
          <w:rStyle w:val="25"/>
          <w:rFonts w:hint="eastAsia" w:ascii="仿宋" w:hAnsi="仿宋" w:eastAsia="仿宋"/>
          <w:b w:val="0"/>
          <w:bCs w:val="0"/>
        </w:rPr>
        <w:t>九、</w:t>
      </w:r>
      <w:r>
        <w:rPr>
          <w:rFonts w:hint="eastAsia" w:ascii="仿宋" w:hAnsi="仿宋" w:eastAsia="仿宋"/>
          <w:b w:val="0"/>
        </w:rPr>
        <w:t>一</w:t>
      </w:r>
      <w:r>
        <w:rPr>
          <w:rStyle w:val="25"/>
          <w:rFonts w:hint="eastAsia" w:ascii="仿宋" w:hAnsi="仿宋" w:eastAsia="仿宋"/>
          <w:b w:val="0"/>
          <w:bCs w:val="0"/>
        </w:rPr>
        <w:t>般公共预算财政拨款项目支出决算表</w:t>
      </w:r>
      <w:bookmarkEnd w:id="62"/>
    </w:p>
    <w:p>
      <w:pPr>
        <w:pStyle w:val="4"/>
        <w:rPr>
          <w:rFonts w:ascii="仿宋" w:hAnsi="仿宋" w:eastAsia="仿宋"/>
        </w:rPr>
      </w:pPr>
      <w:bookmarkStart w:id="63" w:name="_Toc15396628"/>
      <w:r>
        <w:rPr>
          <w:rStyle w:val="25"/>
          <w:rFonts w:hint="eastAsia" w:ascii="仿宋" w:hAnsi="仿宋" w:eastAsia="仿宋"/>
          <w:b w:val="0"/>
          <w:bCs w:val="0"/>
        </w:rPr>
        <w:t>十、</w:t>
      </w:r>
      <w:bookmarkEnd w:id="63"/>
      <w:r>
        <w:rPr>
          <w:rFonts w:hint="eastAsia" w:ascii="仿宋" w:hAnsi="仿宋" w:eastAsia="仿宋"/>
          <w:b w:val="0"/>
        </w:rPr>
        <w:t>政</w:t>
      </w:r>
      <w:r>
        <w:rPr>
          <w:rStyle w:val="25"/>
          <w:rFonts w:hint="eastAsia" w:ascii="仿宋" w:hAnsi="仿宋" w:eastAsia="仿宋"/>
          <w:b w:val="0"/>
          <w:bCs w:val="0"/>
        </w:rPr>
        <w:t>府性基金预算财政拨款收入支出决算表</w:t>
      </w:r>
    </w:p>
    <w:p>
      <w:pPr>
        <w:pStyle w:val="4"/>
        <w:rPr>
          <w:rFonts w:ascii="仿宋" w:hAnsi="仿宋" w:eastAsia="仿宋"/>
        </w:rPr>
      </w:pPr>
      <w:bookmarkStart w:id="64" w:name="_Toc15396629"/>
      <w:r>
        <w:rPr>
          <w:rStyle w:val="25"/>
          <w:rFonts w:hint="eastAsia" w:ascii="仿宋" w:hAnsi="仿宋" w:eastAsia="仿宋"/>
          <w:b w:val="0"/>
          <w:bCs w:val="0"/>
        </w:rPr>
        <w:t>十一、</w:t>
      </w:r>
      <w:bookmarkEnd w:id="64"/>
      <w:r>
        <w:rPr>
          <w:rFonts w:hint="eastAsia" w:ascii="仿宋" w:hAnsi="仿宋" w:eastAsia="仿宋"/>
          <w:b w:val="0"/>
        </w:rPr>
        <w:t>国</w:t>
      </w:r>
      <w:r>
        <w:rPr>
          <w:rStyle w:val="25"/>
          <w:rFonts w:hint="eastAsia" w:ascii="仿宋" w:hAnsi="仿宋" w:eastAsia="仿宋"/>
          <w:b w:val="0"/>
          <w:bCs w:val="0"/>
        </w:rPr>
        <w:t>有资本经营预算财政拨款收入支出决算表</w:t>
      </w:r>
    </w:p>
    <w:p>
      <w:pPr>
        <w:pStyle w:val="4"/>
        <w:rPr>
          <w:rFonts w:ascii="仿宋" w:hAnsi="仿宋" w:eastAsia="仿宋"/>
        </w:rPr>
      </w:pPr>
      <w:bookmarkStart w:id="65" w:name="_Toc15396630"/>
      <w:r>
        <w:rPr>
          <w:rStyle w:val="25"/>
          <w:rFonts w:hint="eastAsia" w:ascii="仿宋" w:hAnsi="仿宋" w:eastAsia="仿宋"/>
          <w:b w:val="0"/>
          <w:bCs w:val="0"/>
        </w:rPr>
        <w:t>十二、</w:t>
      </w:r>
      <w:bookmarkEnd w:id="65"/>
      <w:r>
        <w:rPr>
          <w:rStyle w:val="25"/>
          <w:rFonts w:hint="eastAsia" w:ascii="仿宋" w:hAnsi="仿宋" w:eastAsia="仿宋"/>
          <w:b w:val="0"/>
          <w:bCs w:val="0"/>
        </w:rPr>
        <w:t>国有资本经营预算财政拨款支出决算表</w:t>
      </w:r>
    </w:p>
    <w:p>
      <w:pPr>
        <w:pStyle w:val="4"/>
        <w:rPr>
          <w:rFonts w:eastAsia="仿宋"/>
        </w:rPr>
      </w:pPr>
      <w:bookmarkStart w:id="66" w:name="_Toc15396631"/>
      <w:r>
        <w:rPr>
          <w:rStyle w:val="25"/>
          <w:rFonts w:hint="eastAsia" w:ascii="仿宋" w:hAnsi="仿宋" w:eastAsia="仿宋"/>
          <w:b w:val="0"/>
          <w:bCs w:val="0"/>
        </w:rPr>
        <w:t>十三、</w:t>
      </w:r>
      <w:bookmarkEnd w:id="66"/>
      <w:r>
        <w:rPr>
          <w:rStyle w:val="25"/>
          <w:rFonts w:hint="eastAsia" w:ascii="仿宋" w:hAnsi="仿宋" w:eastAsia="仿宋"/>
          <w:b w:val="0"/>
          <w:bCs w:val="0"/>
        </w:rPr>
        <w:t>财政拨款“三公”经费支出决算表</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2000000" w:usb3="00000000" w:csb0="0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仿宋_gb2312">
    <w:altName w:val="方正仿宋_GBK"/>
    <w:panose1 w:val="00000000000000000000"/>
    <w:charset w:val="00"/>
    <w:family w:val="auto"/>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Nimbus Roman No9 L">
    <w:panose1 w:val="00000000000000000000"/>
    <w:charset w:val="00"/>
    <w:family w:val="auto"/>
    <w:pitch w:val="default"/>
    <w:sig w:usb0="00000000" w:usb1="00000000" w:usb2="00000000" w:usb3="00000000" w:csb0="00000000" w:csb1="00000000"/>
  </w:font>
  <w:font w:name="FreeSerif">
    <w:panose1 w:val="02020603050405020304"/>
    <w:charset w:val="00"/>
    <w:family w:val="auto"/>
    <w:pitch w:val="default"/>
    <w:sig w:usb0="E59FAFFF" w:usb1="C200FDFF" w:usb2="43501B29" w:usb3="04000043" w:csb0="600101FF" w:csb1="FFFF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15</w:t>
        </w:r>
        <w:r>
          <w:fldChar w:fldCharType="end"/>
        </w:r>
      </w:p>
    </w:sdtContent>
  </w:sdt>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2">
    <w:nsid w:val="3818A09A"/>
    <w:multiLevelType w:val="singleLevel"/>
    <w:tmpl w:val="3818A09A"/>
    <w:lvl w:ilvl="0" w:tentative="0">
      <w:start w:val="1"/>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0F3D30"/>
    <w:rsid w:val="00114E9B"/>
    <w:rsid w:val="00123991"/>
    <w:rsid w:val="00142216"/>
    <w:rsid w:val="00144D6A"/>
    <w:rsid w:val="0014729F"/>
    <w:rsid w:val="00157BAB"/>
    <w:rsid w:val="001654D1"/>
    <w:rsid w:val="00166E95"/>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950"/>
    <w:rsid w:val="00260C38"/>
    <w:rsid w:val="00260C9E"/>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64B39"/>
    <w:rsid w:val="00471401"/>
    <w:rsid w:val="00473F31"/>
    <w:rsid w:val="0048263A"/>
    <w:rsid w:val="00485945"/>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A049A"/>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460DF"/>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641D5"/>
    <w:rsid w:val="0097099F"/>
    <w:rsid w:val="00971997"/>
    <w:rsid w:val="00971FFC"/>
    <w:rsid w:val="00980214"/>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35860"/>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7524A"/>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3774C29"/>
    <w:rsid w:val="053A62B5"/>
    <w:rsid w:val="0A2032A3"/>
    <w:rsid w:val="0B8A37D8"/>
    <w:rsid w:val="10C055FF"/>
    <w:rsid w:val="118107EC"/>
    <w:rsid w:val="11DD6519"/>
    <w:rsid w:val="16BB723D"/>
    <w:rsid w:val="18015F3F"/>
    <w:rsid w:val="1BE8440E"/>
    <w:rsid w:val="1D155CEE"/>
    <w:rsid w:val="20F57F95"/>
    <w:rsid w:val="22D95DB7"/>
    <w:rsid w:val="240371BF"/>
    <w:rsid w:val="25711CC6"/>
    <w:rsid w:val="25C741E6"/>
    <w:rsid w:val="27842671"/>
    <w:rsid w:val="29FD04D3"/>
    <w:rsid w:val="2ABE7A3E"/>
    <w:rsid w:val="2CA234A8"/>
    <w:rsid w:val="2EFA178C"/>
    <w:rsid w:val="30B46D73"/>
    <w:rsid w:val="319F7F4E"/>
    <w:rsid w:val="383D272C"/>
    <w:rsid w:val="39AE70AB"/>
    <w:rsid w:val="3C0C0783"/>
    <w:rsid w:val="3EBF0602"/>
    <w:rsid w:val="3F9F3A96"/>
    <w:rsid w:val="48BF60AB"/>
    <w:rsid w:val="493C27E9"/>
    <w:rsid w:val="496F39ED"/>
    <w:rsid w:val="49FF41D3"/>
    <w:rsid w:val="4BE068DB"/>
    <w:rsid w:val="4BF6002B"/>
    <w:rsid w:val="4DEEE2E1"/>
    <w:rsid w:val="4DF575F5"/>
    <w:rsid w:val="4ECE2238"/>
    <w:rsid w:val="4F7F48C4"/>
    <w:rsid w:val="51DB4B86"/>
    <w:rsid w:val="55333C3E"/>
    <w:rsid w:val="5EFBF668"/>
    <w:rsid w:val="5FDF1A8A"/>
    <w:rsid w:val="6179EB8F"/>
    <w:rsid w:val="64CA39A1"/>
    <w:rsid w:val="65FB7A88"/>
    <w:rsid w:val="67F3FCD1"/>
    <w:rsid w:val="69630ADE"/>
    <w:rsid w:val="6C4A05C8"/>
    <w:rsid w:val="6D3B1A89"/>
    <w:rsid w:val="6FAF9126"/>
    <w:rsid w:val="71BF4EC2"/>
    <w:rsid w:val="72734D90"/>
    <w:rsid w:val="73BBC9B6"/>
    <w:rsid w:val="73FD6C87"/>
    <w:rsid w:val="7412278C"/>
    <w:rsid w:val="79E7B28D"/>
    <w:rsid w:val="7AD87BFE"/>
    <w:rsid w:val="7DF7043C"/>
    <w:rsid w:val="7F7814DF"/>
    <w:rsid w:val="7F7B6FF7"/>
    <w:rsid w:val="7F9F20EE"/>
    <w:rsid w:val="7FB7051C"/>
    <w:rsid w:val="7FFF7BB2"/>
    <w:rsid w:val="9761BC2A"/>
    <w:rsid w:val="9E3A10E2"/>
    <w:rsid w:val="A97736FF"/>
    <w:rsid w:val="B66F7799"/>
    <w:rsid w:val="BFF6603E"/>
    <w:rsid w:val="C9FDF1CC"/>
    <w:rsid w:val="CCF7D356"/>
    <w:rsid w:val="D57F23C4"/>
    <w:rsid w:val="D8C24E6D"/>
    <w:rsid w:val="D9FF435F"/>
    <w:rsid w:val="DE6C2782"/>
    <w:rsid w:val="DEF3DDA0"/>
    <w:rsid w:val="DEFA15D5"/>
    <w:rsid w:val="DFB71CFC"/>
    <w:rsid w:val="DFDF6A6F"/>
    <w:rsid w:val="DFFF24E1"/>
    <w:rsid w:val="E7FFD1D2"/>
    <w:rsid w:val="EB87C468"/>
    <w:rsid w:val="EFD3BAA1"/>
    <w:rsid w:val="EFEF1F29"/>
    <w:rsid w:val="F2E1F9D4"/>
    <w:rsid w:val="F5F112C7"/>
    <w:rsid w:val="F6FF86FD"/>
    <w:rsid w:val="F7880819"/>
    <w:rsid w:val="F7F7D43B"/>
    <w:rsid w:val="FAFE0522"/>
    <w:rsid w:val="FBFF146C"/>
    <w:rsid w:val="FBFFF828"/>
    <w:rsid w:val="FCDBCC4E"/>
    <w:rsid w:val="FD41F97F"/>
    <w:rsid w:val="FDDFEDA9"/>
    <w:rsid w:val="FF18B8C9"/>
    <w:rsid w:val="FF6B3AF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1"/>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semiHidden/>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qFormat/>
    <w:uiPriority w:val="99"/>
    <w:rPr>
      <w:color w:val="0000FF" w:themeColor="hyperlink"/>
      <w:u w:val="single"/>
      <w14:textFill>
        <w14:solidFill>
          <w14:schemeClr w14:val="hlink"/>
        </w14:solidFill>
      </w14:textFill>
    </w:rPr>
  </w:style>
  <w:style w:type="character" w:customStyle="1" w:styleId="16">
    <w:name w:val="Header Char"/>
    <w:basedOn w:val="13"/>
    <w:semiHidden/>
    <w:qFormat/>
    <w:uiPriority w:val="99"/>
    <w:rPr>
      <w:rFonts w:ascii="Times New Roman" w:hAnsi="Times New Roman"/>
      <w:sz w:val="18"/>
      <w:szCs w:val="18"/>
    </w:rPr>
  </w:style>
  <w:style w:type="character" w:customStyle="1" w:styleId="17">
    <w:name w:val="页眉 字符"/>
    <w:link w:val="9"/>
    <w:semiHidden/>
    <w:qFormat/>
    <w:locked/>
    <w:uiPriority w:val="99"/>
    <w:rPr>
      <w:sz w:val="18"/>
    </w:rPr>
  </w:style>
  <w:style w:type="character" w:customStyle="1" w:styleId="18">
    <w:name w:val="Footer Char"/>
    <w:basedOn w:val="13"/>
    <w:semiHidden/>
    <w:qFormat/>
    <w:uiPriority w:val="99"/>
    <w:rPr>
      <w:rFonts w:ascii="Times New Roman" w:hAnsi="Times New Roman"/>
      <w:sz w:val="18"/>
      <w:szCs w:val="18"/>
    </w:rPr>
  </w:style>
  <w:style w:type="character" w:customStyle="1" w:styleId="19">
    <w:name w:val="页脚 字符"/>
    <w:link w:val="8"/>
    <w:qFormat/>
    <w:locked/>
    <w:uiPriority w:val="99"/>
    <w:rPr>
      <w:sz w:val="18"/>
    </w:rPr>
  </w:style>
  <w:style w:type="character" w:customStyle="1" w:styleId="20">
    <w:name w:val="Body Text Char"/>
    <w:basedOn w:val="13"/>
    <w:semiHidden/>
    <w:qFormat/>
    <w:uiPriority w:val="99"/>
    <w:rPr>
      <w:rFonts w:ascii="Times New Roman" w:hAnsi="Times New Roman"/>
      <w:szCs w:val="24"/>
    </w:rPr>
  </w:style>
  <w:style w:type="character" w:customStyle="1" w:styleId="21">
    <w:name w:val="正文文本 字符"/>
    <w:link w:val="2"/>
    <w:qFormat/>
    <w:locked/>
    <w:uiPriority w:val="99"/>
    <w:rPr>
      <w:rFonts w:ascii="仿宋_GB2312" w:hAnsi="Times New Roman" w:eastAsia="仿宋_GB2312"/>
      <w:sz w:val="24"/>
    </w:r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3">
    <w:name w:val="List Paragraph"/>
    <w:basedOn w:val="1"/>
    <w:qFormat/>
    <w:uiPriority w:val="34"/>
    <w:pPr>
      <w:ind w:firstLine="420" w:firstLineChars="200"/>
    </w:pPr>
  </w:style>
  <w:style w:type="character" w:customStyle="1" w:styleId="24">
    <w:name w:val="标题 1 字符"/>
    <w:basedOn w:val="13"/>
    <w:link w:val="3"/>
    <w:qFormat/>
    <w:uiPriority w:val="9"/>
    <w:rPr>
      <w:rFonts w:ascii="Times New Roman" w:hAnsi="Times New Roman"/>
      <w:b/>
      <w:bCs/>
      <w:kern w:val="44"/>
      <w:sz w:val="44"/>
      <w:szCs w:val="44"/>
    </w:rPr>
  </w:style>
  <w:style w:type="character" w:customStyle="1" w:styleId="25">
    <w:name w:val="标题 2 字符"/>
    <w:basedOn w:val="13"/>
    <w:link w:val="4"/>
    <w:qFormat/>
    <w:uiPriority w:val="9"/>
    <w:rPr>
      <w:rFonts w:asciiTheme="majorHAnsi" w:hAnsiTheme="majorHAnsi" w:eastAsiaTheme="majorEastAsia" w:cstheme="majorBidi"/>
      <w:b/>
      <w:bCs/>
      <w:kern w:val="2"/>
      <w:sz w:val="32"/>
      <w:szCs w:val="32"/>
    </w:rPr>
  </w:style>
  <w:style w:type="paragraph" w:customStyle="1" w:styleId="26">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7">
    <w:name w:val="批注框文本 字符"/>
    <w:basedOn w:val="13"/>
    <w:link w:val="7"/>
    <w:semiHidden/>
    <w:qFormat/>
    <w:uiPriority w:val="99"/>
    <w:rPr>
      <w:rFonts w:ascii="Times New Roman" w:hAnsi="Times New Roman"/>
      <w:kern w:val="2"/>
      <w:sz w:val="18"/>
      <w:szCs w:val="18"/>
    </w:rPr>
  </w:style>
  <w:style w:type="character" w:customStyle="1" w:styleId="28">
    <w:name w:val="标题 3 字符"/>
    <w:basedOn w:val="13"/>
    <w:link w:val="5"/>
    <w:qFormat/>
    <w:uiPriority w:val="9"/>
    <w:rPr>
      <w:rFonts w:ascii="Times New Roman" w:hAnsi="Times New Roman"/>
      <w:b/>
      <w:bCs/>
      <w:kern w:val="2"/>
      <w:sz w:val="32"/>
      <w:szCs w:val="32"/>
    </w:rPr>
  </w:style>
  <w:style w:type="paragraph" w:customStyle="1" w:styleId="29">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6.png"/><Relationship Id="rId14" Type="http://schemas.openxmlformats.org/officeDocument/2006/relationships/image" Target="media/image5.png"/><Relationship Id="rId13" Type="http://schemas.openxmlformats.org/officeDocument/2006/relationships/image" Target="media/image4.png"/><Relationship Id="rId12" Type="http://schemas.openxmlformats.org/officeDocument/2006/relationships/image" Target="media/image3.png"/><Relationship Id="rId11" Type="http://schemas.openxmlformats.org/officeDocument/2006/relationships/image" Target="media/image2.png"/><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17</Pages>
  <Words>882</Words>
  <Characters>5030</Characters>
  <Lines>41</Lines>
  <Paragraphs>11</Paragraphs>
  <TotalTime>2</TotalTime>
  <ScaleCrop>false</ScaleCrop>
  <LinksUpToDate>false</LinksUpToDate>
  <CharactersWithSpaces>5901</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2020-08-06T17:49:00Z</dcterms:created>
  <dc:creator>曹颖</dc:creator>
  <cp:lastModifiedBy>user</cp:lastModifiedBy>
  <cp:lastPrinted>2023-08-01T18:35:00Z</cp:lastPrinted>
  <dcterms:modified xsi:type="dcterms:W3CDTF">2023-09-13T08:50:05Z</dcterms:modified>
  <dc:title>四川省***</dc:title>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ies>
</file>