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8441"/>
      <w:bookmarkStart w:id="2" w:name="_Toc15377193"/>
      <w:bookmarkStart w:id="3" w:name="_Toc15396597"/>
      <w:bookmarkStart w:id="4" w:name="_Toc15396475"/>
      <w:bookmarkStart w:id="5" w:name="_Toc1537742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eastAsia="zh-CN"/>
        </w:rPr>
      </w:pPr>
      <w:bookmarkStart w:id="6" w:name="_Toc15377426"/>
      <w:bookmarkStart w:id="7" w:name="_Toc15396598"/>
      <w:bookmarkStart w:id="8" w:name="_Toc15377194"/>
      <w:bookmarkStart w:id="9" w:name="_Toc15396476"/>
      <w:bookmarkStart w:id="10" w:name="_Toc15378442"/>
      <w:r>
        <w:rPr>
          <w:rFonts w:hint="eastAsia" w:ascii="方正小标宋简体" w:hAnsi="方正小标宋简体" w:eastAsia="方正小标宋简体" w:cs="方正小标宋简体"/>
          <w:sz w:val="72"/>
          <w:szCs w:val="72"/>
        </w:rPr>
        <w:t>攀枝花市</w:t>
      </w:r>
      <w:bookmarkEnd w:id="0"/>
      <w:bookmarkStart w:id="11" w:name="_Toc15306268"/>
      <w:r>
        <w:rPr>
          <w:rFonts w:hint="eastAsia" w:ascii="方正小标宋简体" w:hAnsi="方正小标宋简体" w:eastAsia="方正小标宋简体" w:cs="方正小标宋简体"/>
          <w:sz w:val="72"/>
          <w:szCs w:val="72"/>
          <w:lang w:eastAsia="zh-CN"/>
        </w:rPr>
        <w:t>科学技术局</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公开时间：2023年9月</w:t>
      </w:r>
      <w:r>
        <w:t>1</w:t>
      </w:r>
      <w:r>
        <w:rPr>
          <w:rFonts w:hint="default"/>
          <w:lang w:val="en"/>
        </w:rPr>
        <w:t>4</w:t>
      </w:r>
      <w:bookmarkStart w:id="67" w:name="_GoBack"/>
      <w:bookmarkEnd w:id="67"/>
      <w:r>
        <w:rPr>
          <w:rFonts w:hint="eastAsia"/>
        </w:rPr>
        <w:t>日</w:t>
      </w:r>
    </w:p>
    <w:p/>
    <w:p>
      <w:pPr>
        <w:pStyle w:val="11"/>
        <w:adjustRightInd w:val="0"/>
        <w:snapToGrid w:val="0"/>
        <w:spacing w:before="0" w:line="440" w:lineRule="exact"/>
        <w:jc w:val="left"/>
        <w:rPr>
          <w:rFonts w:hint="eastAsia" w:eastAsia="仿宋" w:cstheme="minorBidi"/>
          <w:sz w:val="24"/>
          <w:szCs w:val="24"/>
          <w:lang w:val="en-US" w:eastAsia="zh-CN"/>
        </w:rPr>
      </w:pPr>
      <w:r>
        <w:rPr>
          <w:rFonts w:hint="eastAsia"/>
          <w:sz w:val="24"/>
        </w:rPr>
        <w:t>第一部分</w:t>
      </w:r>
      <w:r>
        <w:rPr>
          <w:sz w:val="24"/>
        </w:rPr>
        <w:t xml:space="preserve"> </w:t>
      </w:r>
      <w:r>
        <w:rPr>
          <w:rFonts w:hint="eastAsia"/>
          <w:sz w:val="24"/>
        </w:rPr>
        <w:t>单位概况</w:t>
      </w:r>
      <w:r>
        <w:rPr>
          <w:rFonts w:cstheme="minorBidi"/>
          <w:sz w:val="24"/>
          <w:szCs w:val="24"/>
        </w:rPr>
        <w:tab/>
      </w:r>
      <w:r>
        <w:rPr>
          <w:rFonts w:hint="eastAsia" w:cstheme="minorBidi"/>
          <w:sz w:val="24"/>
          <w:szCs w:val="24"/>
          <w:lang w:val="en-US" w:eastAsia="zh-CN"/>
        </w:rPr>
        <w:t>4</w:t>
      </w:r>
    </w:p>
    <w:p>
      <w:pPr>
        <w:pStyle w:val="12"/>
        <w:adjustRightInd w:val="0"/>
        <w:snapToGrid w:val="0"/>
        <w:spacing w:line="440" w:lineRule="exact"/>
        <w:jc w:val="left"/>
        <w:rPr>
          <w:rFonts w:hint="eastAsia" w:eastAsia="宋体"/>
          <w:sz w:val="24"/>
          <w:lang w:val="en-US" w:eastAsia="zh-CN"/>
        </w:rPr>
      </w:pPr>
      <w:r>
        <w:rPr>
          <w:rFonts w:hint="eastAsia"/>
          <w:sz w:val="24"/>
        </w:rPr>
        <w:t>一、主要职责</w:t>
      </w:r>
      <w:r>
        <w:rPr>
          <w:rFonts w:cstheme="minorBidi"/>
          <w:sz w:val="24"/>
        </w:rPr>
        <w:tab/>
      </w:r>
      <w:r>
        <w:rPr>
          <w:rFonts w:hint="eastAsia" w:cstheme="minorBidi"/>
          <w:sz w:val="24"/>
          <w:lang w:val="en-US" w:eastAsia="zh-CN"/>
        </w:rPr>
        <w:t>4</w:t>
      </w:r>
    </w:p>
    <w:p>
      <w:pPr>
        <w:pStyle w:val="12"/>
        <w:adjustRightInd w:val="0"/>
        <w:snapToGrid w:val="0"/>
        <w:spacing w:line="440" w:lineRule="exact"/>
        <w:jc w:val="left"/>
        <w:rPr>
          <w:rFonts w:hint="eastAsia" w:eastAsia="宋体"/>
          <w:lang w:val="en-US" w:eastAsia="zh-CN"/>
        </w:rPr>
      </w:pPr>
      <w:r>
        <w:rPr>
          <w:rFonts w:hint="eastAsia"/>
          <w:sz w:val="24"/>
        </w:rPr>
        <w:t>二、机构设置</w:t>
      </w:r>
      <w:r>
        <w:rPr>
          <w:rFonts w:cstheme="minorBidi"/>
          <w:sz w:val="24"/>
        </w:rPr>
        <w:tab/>
      </w:r>
      <w:r>
        <w:rPr>
          <w:rFonts w:hint="eastAsia" w:cstheme="minorBidi"/>
          <w:sz w:val="24"/>
          <w:lang w:val="en-US" w:eastAsia="zh-CN"/>
        </w:rPr>
        <w:t>6</w:t>
      </w:r>
    </w:p>
    <w:p>
      <w:pPr>
        <w:pStyle w:val="11"/>
        <w:adjustRightInd w:val="0"/>
        <w:snapToGrid w:val="0"/>
        <w:spacing w:before="0" w:line="440" w:lineRule="exact"/>
        <w:jc w:val="left"/>
        <w:rPr>
          <w:rFonts w:hint="default" w:eastAsia="仿宋"/>
          <w:sz w:val="24"/>
          <w:szCs w:val="24"/>
          <w:lang w:val="en-US" w:eastAsia="zh-CN"/>
        </w:rPr>
      </w:pPr>
      <w:r>
        <w:rPr>
          <w:rFonts w:hint="eastAsia"/>
          <w:sz w:val="24"/>
        </w:rPr>
        <w:t>第二部分 2022年度单位决算情况说明</w:t>
      </w:r>
      <w:r>
        <w:rPr>
          <w:rFonts w:cstheme="minorBidi"/>
          <w:sz w:val="24"/>
        </w:rPr>
        <w:tab/>
      </w:r>
      <w:r>
        <w:rPr>
          <w:rFonts w:hint="eastAsia" w:cstheme="minorBidi"/>
          <w:sz w:val="24"/>
          <w:lang w:val="en-US" w:eastAsia="zh-CN"/>
        </w:rPr>
        <w:t>7</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sz w:val="24"/>
        </w:rPr>
        <w:t>一、收入支出决算总体情况说明</w:t>
      </w:r>
      <w:r>
        <w:rPr>
          <w:rFonts w:cstheme="minorBidi"/>
          <w:sz w:val="24"/>
        </w:rPr>
        <w:tab/>
      </w:r>
      <w:r>
        <w:rPr>
          <w:rFonts w:hint="eastAsia" w:cstheme="minorBidi"/>
          <w:sz w:val="24"/>
          <w:lang w:val="en-US" w:eastAsia="zh-CN"/>
        </w:rPr>
        <w:t>7</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sz w:val="24"/>
        </w:rPr>
        <w:t>二、收入决算情况说明</w:t>
      </w:r>
      <w:r>
        <w:rPr>
          <w:rFonts w:cstheme="minorBidi"/>
          <w:sz w:val="24"/>
        </w:rPr>
        <w:tab/>
      </w:r>
      <w:r>
        <w:rPr>
          <w:rFonts w:hint="eastAsia" w:cstheme="minorBidi"/>
          <w:sz w:val="24"/>
          <w:lang w:val="en-US" w:eastAsia="zh-CN"/>
        </w:rPr>
        <w:t>7</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sz w:val="24"/>
        </w:rPr>
        <w:t>三、支出决算情况说明</w:t>
      </w:r>
      <w:r>
        <w:rPr>
          <w:rFonts w:cstheme="minorBidi"/>
          <w:sz w:val="24"/>
        </w:rPr>
        <w:tab/>
      </w:r>
      <w:r>
        <w:rPr>
          <w:rFonts w:hint="eastAsia" w:cstheme="minorBidi"/>
          <w:sz w:val="24"/>
          <w:lang w:val="en-US" w:eastAsia="zh-CN"/>
        </w:rPr>
        <w:t>8</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sz w:val="24"/>
        </w:rPr>
        <w:t>四、财政拨款收入支出决算总体情况说明</w:t>
      </w:r>
      <w:r>
        <w:rPr>
          <w:rFonts w:cstheme="minorBidi"/>
          <w:sz w:val="24"/>
        </w:rPr>
        <w:tab/>
      </w:r>
      <w:r>
        <w:rPr>
          <w:rFonts w:hint="eastAsia" w:cstheme="minorBidi"/>
          <w:sz w:val="24"/>
          <w:lang w:val="en-US" w:eastAsia="zh-CN"/>
        </w:rPr>
        <w:t>9</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sz w:val="24"/>
        </w:rPr>
        <w:t>五、一般公共预算财政拨款支出决算情况说明</w:t>
      </w:r>
      <w:r>
        <w:rPr>
          <w:rFonts w:cstheme="minorBidi"/>
          <w:sz w:val="24"/>
        </w:rPr>
        <w:tab/>
      </w:r>
      <w:r>
        <w:rPr>
          <w:rFonts w:hint="eastAsia" w:cstheme="minorBidi"/>
          <w:sz w:val="24"/>
          <w:lang w:val="en-US" w:eastAsia="zh-CN"/>
        </w:rPr>
        <w:t>9</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六、一般公共预算财政拨款基本支出决算情况说明</w:t>
      </w:r>
      <w:r>
        <w:rPr>
          <w:rFonts w:cstheme="minorBidi"/>
          <w:sz w:val="24"/>
        </w:rPr>
        <w:tab/>
      </w:r>
      <w:r>
        <w:rPr>
          <w:rFonts w:hint="eastAsia" w:cstheme="minorBidi"/>
          <w:sz w:val="24"/>
          <w:lang w:val="en-US" w:eastAsia="zh-CN"/>
        </w:rPr>
        <w:t>12</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七、财政拨款“三公”经费支出决算情况说明</w:t>
      </w:r>
      <w:r>
        <w:rPr>
          <w:rFonts w:cstheme="minorBidi"/>
          <w:sz w:val="24"/>
        </w:rPr>
        <w:tab/>
      </w:r>
      <w:r>
        <w:rPr>
          <w:rFonts w:hint="eastAsia" w:cstheme="minorBidi"/>
          <w:sz w:val="24"/>
          <w:lang w:val="en-US" w:eastAsia="zh-CN"/>
        </w:rPr>
        <w:t>12</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八、政府性基金预算支出决算情况说明</w:t>
      </w:r>
      <w:r>
        <w:rPr>
          <w:rFonts w:cstheme="minorBidi"/>
          <w:sz w:val="24"/>
        </w:rPr>
        <w:tab/>
      </w:r>
      <w:r>
        <w:rPr>
          <w:rFonts w:hint="eastAsia" w:cstheme="minorBidi"/>
          <w:sz w:val="24"/>
          <w:lang w:val="en-US" w:eastAsia="zh-CN"/>
        </w:rPr>
        <w:t>14</w:t>
      </w:r>
    </w:p>
    <w:p>
      <w:pPr>
        <w:pStyle w:val="12"/>
        <w:adjustRightInd w:val="0"/>
        <w:snapToGrid w:val="0"/>
        <w:spacing w:line="440" w:lineRule="exact"/>
        <w:jc w:val="left"/>
        <w:rPr>
          <w:rFonts w:hint="default" w:eastAsia="宋体"/>
          <w:sz w:val="24"/>
          <w:lang w:val="en-US" w:eastAsia="zh-CN"/>
        </w:rPr>
      </w:pPr>
      <w:r>
        <w:rPr>
          <w:rFonts w:hint="eastAsia"/>
          <w:sz w:val="24"/>
        </w:rPr>
        <w:t>九、国有资本经营预算支出决算情况说明</w:t>
      </w:r>
      <w:r>
        <w:rPr>
          <w:rFonts w:cstheme="minorBidi"/>
          <w:sz w:val="24"/>
        </w:rPr>
        <w:tab/>
      </w:r>
      <w:r>
        <w:rPr>
          <w:rFonts w:hint="eastAsia" w:cstheme="minorBidi"/>
          <w:sz w:val="24"/>
          <w:lang w:val="en-US" w:eastAsia="zh-CN"/>
        </w:rPr>
        <w:t>15</w:t>
      </w:r>
    </w:p>
    <w:p>
      <w:pPr>
        <w:pStyle w:val="12"/>
        <w:adjustRightInd w:val="0"/>
        <w:snapToGrid w:val="0"/>
        <w:spacing w:line="440" w:lineRule="exact"/>
        <w:jc w:val="left"/>
        <w:rPr>
          <w:rFonts w:hint="default" w:eastAsia="宋体"/>
          <w:sz w:val="24"/>
          <w:lang w:val="en-US" w:eastAsia="zh-CN"/>
        </w:rPr>
      </w:pPr>
      <w:r>
        <w:rPr>
          <w:rFonts w:hint="eastAsia"/>
          <w:sz w:val="24"/>
        </w:rPr>
        <w:t>十、其他重要事项的情况说明</w:t>
      </w:r>
      <w:r>
        <w:rPr>
          <w:rFonts w:cstheme="minorBidi"/>
          <w:sz w:val="24"/>
        </w:rPr>
        <w:tab/>
      </w:r>
      <w:r>
        <w:rPr>
          <w:rFonts w:hint="eastAsia" w:cstheme="minorBidi"/>
          <w:sz w:val="24"/>
          <w:lang w:val="en-US" w:eastAsia="zh-CN"/>
        </w:rPr>
        <w:t>15</w:t>
      </w:r>
    </w:p>
    <w:p>
      <w:pPr>
        <w:pStyle w:val="11"/>
        <w:adjustRightInd w:val="0"/>
        <w:snapToGrid w:val="0"/>
        <w:spacing w:before="0" w:line="440" w:lineRule="exact"/>
        <w:jc w:val="left"/>
        <w:rPr>
          <w:rFonts w:hint="default" w:eastAsia="仿宋" w:cstheme="minorBidi"/>
          <w:sz w:val="24"/>
          <w:szCs w:val="24"/>
          <w:lang w:val="en-US" w:eastAsia="zh-CN"/>
        </w:rPr>
      </w:pPr>
      <w:r>
        <w:rPr>
          <w:rFonts w:hint="eastAsia"/>
          <w:sz w:val="24"/>
        </w:rPr>
        <w:t>第三部分</w:t>
      </w:r>
      <w:r>
        <w:rPr>
          <w:sz w:val="24"/>
        </w:rPr>
        <w:t xml:space="preserve"> </w:t>
      </w:r>
      <w:r>
        <w:rPr>
          <w:rFonts w:hint="eastAsia"/>
          <w:sz w:val="24"/>
        </w:rPr>
        <w:t>名词解释</w:t>
      </w:r>
      <w:r>
        <w:rPr>
          <w:rFonts w:cstheme="minorBidi"/>
          <w:sz w:val="24"/>
        </w:rPr>
        <w:tab/>
      </w:r>
      <w:r>
        <w:rPr>
          <w:rFonts w:hint="eastAsia" w:cstheme="minorBidi"/>
          <w:sz w:val="24"/>
          <w:lang w:val="en-US" w:eastAsia="zh-CN"/>
        </w:rPr>
        <w:t>17</w:t>
      </w:r>
    </w:p>
    <w:p>
      <w:pPr>
        <w:pStyle w:val="11"/>
        <w:adjustRightInd w:val="0"/>
        <w:snapToGrid w:val="0"/>
        <w:spacing w:before="0" w:line="440" w:lineRule="exact"/>
        <w:jc w:val="left"/>
        <w:rPr>
          <w:rFonts w:hint="default" w:eastAsia="仿宋" w:cstheme="minorBidi"/>
          <w:sz w:val="24"/>
          <w:szCs w:val="24"/>
          <w:lang w:val="en-US" w:eastAsia="zh-CN"/>
        </w:rPr>
      </w:pPr>
      <w:r>
        <w:rPr>
          <w:rFonts w:hint="eastAsia"/>
          <w:sz w:val="24"/>
        </w:rPr>
        <w:t>第四部分</w:t>
      </w:r>
      <w:r>
        <w:rPr>
          <w:sz w:val="24"/>
        </w:rPr>
        <w:t xml:space="preserve"> </w:t>
      </w:r>
      <w:r>
        <w:rPr>
          <w:rFonts w:hint="eastAsia"/>
          <w:sz w:val="24"/>
        </w:rPr>
        <w:t>附件</w:t>
      </w:r>
      <w:r>
        <w:rPr>
          <w:rFonts w:cstheme="minorBidi"/>
          <w:sz w:val="24"/>
        </w:rPr>
        <w:tab/>
      </w:r>
      <w:r>
        <w:rPr>
          <w:rFonts w:hint="eastAsia" w:cstheme="minorBidi"/>
          <w:sz w:val="24"/>
          <w:lang w:val="en-US" w:eastAsia="zh-CN"/>
        </w:rPr>
        <w:t>20</w:t>
      </w:r>
    </w:p>
    <w:p>
      <w:pPr>
        <w:pStyle w:val="11"/>
        <w:adjustRightInd w:val="0"/>
        <w:snapToGrid w:val="0"/>
        <w:spacing w:before="0" w:line="440" w:lineRule="exact"/>
        <w:jc w:val="left"/>
        <w:rPr>
          <w:rFonts w:hint="default"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cstheme="minorBidi"/>
          <w:sz w:val="24"/>
        </w:rPr>
        <w:tab/>
      </w:r>
      <w:r>
        <w:rPr>
          <w:rFonts w:hint="eastAsia" w:cstheme="minorBidi"/>
          <w:sz w:val="24"/>
          <w:lang w:val="en-US" w:eastAsia="zh-CN"/>
        </w:rPr>
        <w:t>21</w:t>
      </w:r>
    </w:p>
    <w:p>
      <w:pPr>
        <w:pStyle w:val="12"/>
        <w:adjustRightInd w:val="0"/>
        <w:snapToGrid w:val="0"/>
        <w:spacing w:line="440" w:lineRule="exact"/>
        <w:jc w:val="left"/>
        <w:rPr>
          <w:rFonts w:hint="default" w:eastAsia="宋体"/>
          <w:sz w:val="24"/>
          <w:lang w:val="en-US" w:eastAsia="zh-CN"/>
        </w:rPr>
      </w:pPr>
      <w:r>
        <w:rPr>
          <w:rFonts w:hint="eastAsia"/>
          <w:sz w:val="24"/>
        </w:rPr>
        <w:t>一、收入支出决算总表</w:t>
      </w:r>
      <w:r>
        <w:rPr>
          <w:rFonts w:cstheme="minorBidi"/>
          <w:sz w:val="24"/>
        </w:rPr>
        <w:tab/>
      </w:r>
      <w:r>
        <w:rPr>
          <w:rFonts w:hint="eastAsia" w:cstheme="minorBidi"/>
          <w:sz w:val="24"/>
          <w:lang w:val="en-US" w:eastAsia="zh-CN"/>
        </w:rPr>
        <w:t>21</w:t>
      </w:r>
    </w:p>
    <w:p>
      <w:pPr>
        <w:pStyle w:val="12"/>
        <w:adjustRightInd w:val="0"/>
        <w:snapToGrid w:val="0"/>
        <w:spacing w:line="440" w:lineRule="exact"/>
        <w:jc w:val="left"/>
        <w:rPr>
          <w:rFonts w:hint="default" w:eastAsia="宋体"/>
          <w:sz w:val="24"/>
          <w:lang w:val="en-US" w:eastAsia="zh-CN"/>
        </w:rPr>
      </w:pPr>
      <w:r>
        <w:rPr>
          <w:rFonts w:hint="eastAsia"/>
          <w:sz w:val="24"/>
        </w:rPr>
        <w:t>二、收入决算表</w:t>
      </w:r>
      <w:r>
        <w:rPr>
          <w:rFonts w:cstheme="minorBidi"/>
          <w:sz w:val="24"/>
        </w:rPr>
        <w:tab/>
      </w:r>
      <w:r>
        <w:rPr>
          <w:rFonts w:hint="eastAsia" w:cstheme="minorBidi"/>
          <w:sz w:val="24"/>
          <w:lang w:val="en-US" w:eastAsia="zh-CN"/>
        </w:rPr>
        <w:t>21</w:t>
      </w:r>
    </w:p>
    <w:p>
      <w:pPr>
        <w:pStyle w:val="12"/>
        <w:adjustRightInd w:val="0"/>
        <w:snapToGrid w:val="0"/>
        <w:spacing w:line="440" w:lineRule="exact"/>
        <w:jc w:val="left"/>
        <w:rPr>
          <w:rFonts w:hint="default" w:eastAsia="宋体"/>
          <w:sz w:val="24"/>
          <w:lang w:val="en-US" w:eastAsia="zh-CN"/>
        </w:rPr>
      </w:pPr>
      <w:r>
        <w:rPr>
          <w:rFonts w:hint="eastAsia"/>
          <w:sz w:val="24"/>
        </w:rPr>
        <w:t>三、支出决算表</w:t>
      </w:r>
      <w:r>
        <w:rPr>
          <w:rFonts w:cstheme="minorBidi"/>
          <w:sz w:val="24"/>
        </w:rPr>
        <w:tab/>
      </w:r>
      <w:r>
        <w:rPr>
          <w:rFonts w:hint="eastAsia" w:cstheme="minorBidi"/>
          <w:sz w:val="24"/>
          <w:lang w:val="en-US" w:eastAsia="zh-CN"/>
        </w:rPr>
        <w:t>21</w:t>
      </w:r>
    </w:p>
    <w:p>
      <w:pPr>
        <w:pStyle w:val="12"/>
        <w:adjustRightInd w:val="0"/>
        <w:snapToGrid w:val="0"/>
        <w:spacing w:line="440" w:lineRule="exact"/>
        <w:jc w:val="left"/>
        <w:rPr>
          <w:rFonts w:hint="default" w:eastAsia="宋体"/>
          <w:sz w:val="24"/>
          <w:lang w:val="en-US" w:eastAsia="zh-CN"/>
        </w:rPr>
      </w:pPr>
      <w:r>
        <w:rPr>
          <w:rFonts w:hint="eastAsia"/>
          <w:sz w:val="24"/>
        </w:rPr>
        <w:t>四、财政拨款收入支出决算总表</w:t>
      </w:r>
      <w:r>
        <w:rPr>
          <w:rFonts w:cstheme="minorBidi"/>
          <w:sz w:val="24"/>
        </w:rPr>
        <w:tab/>
      </w:r>
      <w:r>
        <w:rPr>
          <w:rFonts w:hint="eastAsia" w:cstheme="minorBidi"/>
          <w:sz w:val="24"/>
          <w:lang w:val="en-US" w:eastAsia="zh-CN"/>
        </w:rPr>
        <w:t>21</w:t>
      </w:r>
    </w:p>
    <w:p>
      <w:pPr>
        <w:pStyle w:val="12"/>
        <w:adjustRightInd w:val="0"/>
        <w:snapToGrid w:val="0"/>
        <w:spacing w:line="440" w:lineRule="exact"/>
        <w:jc w:val="left"/>
        <w:rPr>
          <w:rFonts w:hint="default" w:eastAsia="宋体"/>
          <w:sz w:val="24"/>
          <w:lang w:val="en-US" w:eastAsia="zh-CN"/>
        </w:rPr>
      </w:pPr>
      <w:r>
        <w:rPr>
          <w:rFonts w:hint="eastAsia"/>
          <w:sz w:val="24"/>
        </w:rPr>
        <w:t>五、财政拨款支出决算明细表</w:t>
      </w:r>
      <w:r>
        <w:rPr>
          <w:rFonts w:cstheme="minorBidi"/>
          <w:sz w:val="24"/>
        </w:rPr>
        <w:tab/>
      </w:r>
      <w:r>
        <w:rPr>
          <w:rFonts w:hint="eastAsia" w:cstheme="minorBidi"/>
          <w:sz w:val="24"/>
          <w:lang w:val="en-US" w:eastAsia="zh-CN"/>
        </w:rPr>
        <w:t>21</w:t>
      </w:r>
    </w:p>
    <w:p>
      <w:pPr>
        <w:pStyle w:val="12"/>
        <w:adjustRightInd w:val="0"/>
        <w:snapToGrid w:val="0"/>
        <w:spacing w:line="440" w:lineRule="exact"/>
        <w:jc w:val="left"/>
        <w:rPr>
          <w:rFonts w:hint="default" w:eastAsia="宋体"/>
          <w:sz w:val="24"/>
          <w:lang w:val="en-US" w:eastAsia="zh-CN"/>
        </w:rPr>
      </w:pPr>
      <w:r>
        <w:rPr>
          <w:rFonts w:hint="eastAsia"/>
          <w:sz w:val="24"/>
        </w:rPr>
        <w:t>六、一般公共预算财政拨款支出决算表</w:t>
      </w:r>
      <w:r>
        <w:rPr>
          <w:rFonts w:cstheme="minorBidi"/>
          <w:sz w:val="24"/>
        </w:rPr>
        <w:tab/>
      </w:r>
      <w:r>
        <w:rPr>
          <w:rFonts w:hint="eastAsia" w:cstheme="minorBidi"/>
          <w:sz w:val="24"/>
          <w:lang w:val="en-US" w:eastAsia="zh-CN"/>
        </w:rPr>
        <w:t>21</w:t>
      </w:r>
    </w:p>
    <w:p>
      <w:pPr>
        <w:pStyle w:val="12"/>
        <w:adjustRightInd w:val="0"/>
        <w:snapToGrid w:val="0"/>
        <w:spacing w:line="440" w:lineRule="exact"/>
        <w:jc w:val="left"/>
        <w:rPr>
          <w:rFonts w:hint="default" w:eastAsia="宋体"/>
          <w:sz w:val="24"/>
          <w:lang w:val="en-US" w:eastAsia="zh-CN"/>
        </w:rPr>
      </w:pPr>
      <w:r>
        <w:rPr>
          <w:rFonts w:hint="eastAsia"/>
          <w:sz w:val="24"/>
        </w:rPr>
        <w:t>七、一般公共预算财政拨款支出决算明细表</w:t>
      </w:r>
      <w:r>
        <w:rPr>
          <w:rFonts w:cstheme="minorBidi"/>
          <w:sz w:val="24"/>
        </w:rPr>
        <w:tab/>
      </w:r>
      <w:r>
        <w:rPr>
          <w:rFonts w:hint="eastAsia" w:cstheme="minorBidi"/>
          <w:sz w:val="24"/>
          <w:lang w:val="en-US" w:eastAsia="zh-CN"/>
        </w:rPr>
        <w:t>21</w:t>
      </w:r>
    </w:p>
    <w:p>
      <w:pPr>
        <w:pStyle w:val="12"/>
        <w:adjustRightInd w:val="0"/>
        <w:snapToGrid w:val="0"/>
        <w:spacing w:line="440" w:lineRule="exact"/>
        <w:jc w:val="left"/>
        <w:rPr>
          <w:rFonts w:hint="default" w:eastAsia="宋体"/>
          <w:sz w:val="24"/>
          <w:lang w:val="en-US" w:eastAsia="zh-CN"/>
        </w:rPr>
      </w:pPr>
      <w:r>
        <w:rPr>
          <w:rFonts w:hint="eastAsia"/>
          <w:sz w:val="24"/>
        </w:rPr>
        <w:t>八、一般公共预算财政拨款基本支出决算明细表</w:t>
      </w:r>
      <w:r>
        <w:rPr>
          <w:rFonts w:cstheme="minorBidi"/>
          <w:sz w:val="24"/>
        </w:rPr>
        <w:tab/>
      </w:r>
      <w:r>
        <w:rPr>
          <w:rFonts w:hint="eastAsia" w:cstheme="minorBidi"/>
          <w:sz w:val="24"/>
          <w:lang w:val="en-US" w:eastAsia="zh-CN"/>
        </w:rPr>
        <w:t>21</w:t>
      </w:r>
    </w:p>
    <w:p>
      <w:pPr>
        <w:pStyle w:val="12"/>
        <w:adjustRightInd w:val="0"/>
        <w:snapToGrid w:val="0"/>
        <w:spacing w:line="440" w:lineRule="exact"/>
        <w:jc w:val="left"/>
        <w:rPr>
          <w:rFonts w:hint="default" w:eastAsia="宋体" w:cstheme="minorBidi"/>
          <w:sz w:val="24"/>
          <w:lang w:val="en-US" w:eastAsia="zh-CN"/>
        </w:rPr>
      </w:pPr>
      <w:r>
        <w:rPr>
          <w:rFonts w:hint="eastAsia"/>
          <w:sz w:val="24"/>
        </w:rPr>
        <w:t>九、一般公共预算财政拨款项目支出决算表</w:t>
      </w:r>
      <w:r>
        <w:rPr>
          <w:rFonts w:cstheme="minorBidi"/>
          <w:sz w:val="24"/>
        </w:rPr>
        <w:tab/>
      </w:r>
      <w:r>
        <w:rPr>
          <w:rFonts w:hint="eastAsia" w:cstheme="minorBidi"/>
          <w:sz w:val="24"/>
          <w:lang w:val="en-US" w:eastAsia="zh-CN"/>
        </w:rPr>
        <w:t>21</w:t>
      </w:r>
    </w:p>
    <w:p>
      <w:pPr>
        <w:pStyle w:val="12"/>
        <w:adjustRightInd w:val="0"/>
        <w:snapToGrid w:val="0"/>
        <w:spacing w:line="440" w:lineRule="exact"/>
        <w:jc w:val="left"/>
        <w:rPr>
          <w:rFonts w:hint="default" w:eastAsia="宋体"/>
          <w:sz w:val="24"/>
          <w:lang w:val="en-US" w:eastAsia="zh-CN"/>
        </w:rPr>
      </w:pPr>
      <w:r>
        <w:rPr>
          <w:rFonts w:hint="eastAsia"/>
          <w:sz w:val="24"/>
        </w:rPr>
        <w:t>十、政府性基金预算财政拨款收入支出决算表</w:t>
      </w:r>
      <w:r>
        <w:rPr>
          <w:rFonts w:cstheme="minorBidi"/>
          <w:sz w:val="24"/>
        </w:rPr>
        <w:tab/>
      </w:r>
      <w:r>
        <w:rPr>
          <w:rFonts w:hint="eastAsia" w:cstheme="minorBidi"/>
          <w:sz w:val="24"/>
          <w:lang w:val="en-US" w:eastAsia="zh-CN"/>
        </w:rPr>
        <w:t>21</w:t>
      </w:r>
    </w:p>
    <w:p>
      <w:pPr>
        <w:pStyle w:val="12"/>
        <w:adjustRightInd w:val="0"/>
        <w:snapToGrid w:val="0"/>
        <w:spacing w:line="440" w:lineRule="exact"/>
        <w:jc w:val="left"/>
        <w:rPr>
          <w:rFonts w:hint="default" w:eastAsia="宋体"/>
          <w:sz w:val="24"/>
          <w:lang w:val="en-US" w:eastAsia="zh-CN"/>
        </w:rPr>
      </w:pPr>
      <w:r>
        <w:rPr>
          <w:rFonts w:hint="eastAsia"/>
          <w:sz w:val="24"/>
        </w:rPr>
        <w:t>十一、国有资本经营预算财政拨款收入支出决算表</w:t>
      </w:r>
      <w:r>
        <w:rPr>
          <w:rFonts w:cstheme="minorBidi"/>
          <w:sz w:val="24"/>
        </w:rPr>
        <w:tab/>
      </w:r>
      <w:r>
        <w:rPr>
          <w:rFonts w:hint="eastAsia" w:cstheme="minorBidi"/>
          <w:sz w:val="24"/>
          <w:lang w:val="en-US" w:eastAsia="zh-CN"/>
        </w:rPr>
        <w:t>21</w:t>
      </w:r>
    </w:p>
    <w:p>
      <w:pPr>
        <w:pStyle w:val="12"/>
        <w:adjustRightInd w:val="0"/>
        <w:snapToGrid w:val="0"/>
        <w:spacing w:line="440" w:lineRule="exact"/>
        <w:jc w:val="left"/>
        <w:rPr>
          <w:rFonts w:hint="default" w:eastAsia="宋体"/>
          <w:sz w:val="24"/>
          <w:lang w:val="en-US" w:eastAsia="zh-CN"/>
        </w:rPr>
      </w:pPr>
      <w:r>
        <w:rPr>
          <w:rFonts w:hint="eastAsia"/>
          <w:sz w:val="24"/>
        </w:rPr>
        <w:t>十二、国有资本经营预算财政拨款支出决算表</w:t>
      </w:r>
      <w:r>
        <w:rPr>
          <w:rFonts w:cstheme="minorBidi"/>
          <w:sz w:val="24"/>
        </w:rPr>
        <w:tab/>
      </w:r>
      <w:r>
        <w:rPr>
          <w:rFonts w:hint="eastAsia" w:cstheme="minorBidi"/>
          <w:sz w:val="24"/>
          <w:lang w:val="en-US" w:eastAsia="zh-CN"/>
        </w:rPr>
        <w:t>21</w:t>
      </w:r>
    </w:p>
    <w:p>
      <w:pPr>
        <w:pStyle w:val="12"/>
        <w:adjustRightInd w:val="0"/>
        <w:snapToGrid w:val="0"/>
        <w:spacing w:line="440" w:lineRule="exact"/>
        <w:jc w:val="left"/>
        <w:rPr>
          <w:rFonts w:hint="default" w:eastAsia="宋体"/>
          <w:sz w:val="24"/>
          <w:lang w:val="en-US" w:eastAsia="zh-CN"/>
        </w:rPr>
      </w:pPr>
      <w:r>
        <w:rPr>
          <w:rFonts w:hint="eastAsia"/>
          <w:sz w:val="24"/>
        </w:rPr>
        <w:t>十三、财政拨款“三公”经费支出决算表</w:t>
      </w:r>
      <w:r>
        <w:rPr>
          <w:rFonts w:cstheme="minorBidi"/>
          <w:sz w:val="24"/>
        </w:rPr>
        <w:tab/>
      </w:r>
      <w:r>
        <w:rPr>
          <w:rFonts w:hint="eastAsia" w:cstheme="minorBidi"/>
          <w:sz w:val="24"/>
          <w:lang w:val="en-US" w:eastAsia="zh-CN"/>
        </w:rPr>
        <w:t>21</w:t>
      </w:r>
    </w:p>
    <w:p>
      <w:pPr>
        <w:widowControl/>
        <w:adjustRightInd w:val="0"/>
        <w:snapToGrid w:val="0"/>
        <w:spacing w:line="440" w:lineRule="exact"/>
        <w:ind w:firstLine="1320" w:firstLineChars="550"/>
        <w:jc w:val="left"/>
        <w:rPr>
          <w:rFonts w:ascii="仿宋" w:hAnsi="仿宋" w:eastAsia="仿宋"/>
          <w:sz w:val="24"/>
        </w:rPr>
      </w:pP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4"/>
        <w:jc w:val="center"/>
        <w:rPr>
          <w:rStyle w:val="25"/>
          <w:rFonts w:ascii="黑体" w:hAnsi="黑体" w:eastAsia="黑体"/>
          <w:b/>
          <w:bCs w:val="0"/>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widowControl/>
        <w:jc w:val="left"/>
        <w:rPr>
          <w:rFonts w:ascii="黑体" w:eastAsia="黑体"/>
          <w:sz w:val="32"/>
          <w:szCs w:val="32"/>
        </w:rPr>
      </w:pPr>
    </w:p>
    <w:p>
      <w:pPr>
        <w:pStyle w:val="5"/>
        <w:numPr>
          <w:ilvl w:val="0"/>
          <w:numId w:val="1"/>
        </w:numPr>
        <w:rPr>
          <w:rStyle w:val="26"/>
          <w:rFonts w:ascii="黑体" w:hAnsi="黑体" w:eastAsia="黑体"/>
          <w:b w:val="0"/>
          <w:bCs w:val="0"/>
        </w:rPr>
      </w:pPr>
      <w:bookmarkStart w:id="14" w:name="_Toc15377197"/>
      <w:bookmarkStart w:id="15" w:name="_Toc15396600"/>
      <w:r>
        <w:rPr>
          <w:rStyle w:val="26"/>
          <w:rFonts w:hint="eastAsia" w:ascii="黑体" w:hAnsi="黑体" w:eastAsia="黑体"/>
          <w:b w:val="0"/>
          <w:bCs w:val="0"/>
        </w:rPr>
        <w:t>主要职责</w:t>
      </w:r>
    </w:p>
    <w:p>
      <w:pPr>
        <w:widowControl/>
        <w:adjustRightInd w:val="0"/>
        <w:spacing w:line="56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 xml:space="preserve">拟订全市创新驱动发展战略以及科技发展、引进国外智力规划和政策措施并组织实施。起草有关科技发展的政策措施并组织实施。 </w:t>
      </w:r>
    </w:p>
    <w:p>
      <w:pPr>
        <w:widowControl/>
        <w:adjustRightInd w:val="0"/>
        <w:spacing w:line="56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 xml:space="preserve">统筹推进全市科技创新体系建设和科技体制改革，会同有关部门健全技术创新激励机制。优化科研体系建设，指导科研机构改革发展，推动企业科技创新能力建设，承担推进科技军民融合发展相关工作，推进全市重大科技决策咨询制度建设。组织拟订全市推进创新创业、促进科技金融结合、科技招商的政策措施并组织实施。 </w:t>
      </w:r>
    </w:p>
    <w:p>
      <w:pPr>
        <w:widowControl/>
        <w:adjustRightInd w:val="0"/>
        <w:spacing w:line="560" w:lineRule="exact"/>
        <w:ind w:firstLine="640" w:firstLineChars="200"/>
        <w:jc w:val="left"/>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 xml:space="preserve">牵头建立全市科研项目资金协调、实施、评估、监管机制。会同有关部门提出优化配置科技资源的政策措施建议，推动多元化科技投入体系建设。组织拟订市级财政科技计划（专项、基金）并监督和实施。负责本部门预算中的科技经费预决算及经费使用的监督管理。 </w:t>
      </w:r>
    </w:p>
    <w:p>
      <w:pPr>
        <w:widowControl/>
        <w:adjustRightInd w:val="0"/>
        <w:spacing w:line="560" w:lineRule="exact"/>
        <w:ind w:firstLine="640" w:firstLineChars="200"/>
        <w:jc w:val="left"/>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 xml:space="preserve">组织协调全市重大基础研究和应用基础研究。拟订科技创新基地建设规划并监督实施，参与编制重大科技基础设施建设规划和监督实施。牵头推进在攀的国家、省（部）重点实验室、技术创新中心等重大科研平台建设，推动科研条件保障建设和科技资源开放共享。 </w:t>
      </w:r>
    </w:p>
    <w:p>
      <w:pPr>
        <w:widowControl/>
        <w:adjustRightInd w:val="0"/>
        <w:spacing w:line="560" w:lineRule="exact"/>
        <w:ind w:firstLine="640" w:firstLineChars="200"/>
        <w:jc w:val="left"/>
        <w:rPr>
          <w:rFonts w:eastAsia="仿宋_GB2312"/>
          <w:sz w:val="32"/>
          <w:szCs w:val="32"/>
        </w:rPr>
      </w:pPr>
      <w:r>
        <w:rPr>
          <w:rFonts w:eastAsia="仿宋_GB2312"/>
          <w:sz w:val="32"/>
          <w:szCs w:val="32"/>
        </w:rPr>
        <w:t>5</w:t>
      </w:r>
      <w:r>
        <w:rPr>
          <w:rFonts w:hint="eastAsia" w:eastAsia="仿宋_GB2312"/>
          <w:sz w:val="32"/>
          <w:szCs w:val="32"/>
        </w:rPr>
        <w:t>.</w:t>
      </w:r>
      <w:r>
        <w:rPr>
          <w:rFonts w:eastAsia="仿宋_GB2312"/>
          <w:sz w:val="32"/>
          <w:szCs w:val="32"/>
        </w:rPr>
        <w:t xml:space="preserve">拟订推进攀西国家战略资源创新开发试验区建设发展的科技支撑计划并组织实施。编制全市重大科技专项方案并组织实施。统筹经济社会发展重要领域的关键共性技术、前沿引领技术、现代工程技术、颠覆性计划的研发和创新，牵头组织重大科技攻关和成果应用示范。组织开展重点领域技术发展需求分析，提出重大科技发展建议并组织实施。负责组织国家、省科学技术奖等科技评奖的申报、审核、推荐工作。 </w:t>
      </w:r>
    </w:p>
    <w:p>
      <w:pPr>
        <w:widowControl/>
        <w:adjustRightInd w:val="0"/>
        <w:spacing w:line="560" w:lineRule="exact"/>
        <w:ind w:firstLine="640" w:firstLineChars="200"/>
        <w:jc w:val="left"/>
        <w:rPr>
          <w:rFonts w:eastAsia="仿宋_GB2312"/>
          <w:sz w:val="32"/>
          <w:szCs w:val="32"/>
        </w:rPr>
      </w:pPr>
      <w:r>
        <w:rPr>
          <w:rFonts w:eastAsia="仿宋_GB2312"/>
          <w:sz w:val="32"/>
          <w:szCs w:val="32"/>
        </w:rPr>
        <w:t>6</w:t>
      </w:r>
      <w:r>
        <w:rPr>
          <w:rFonts w:hint="eastAsia" w:eastAsia="仿宋_GB2312"/>
          <w:sz w:val="32"/>
          <w:szCs w:val="32"/>
        </w:rPr>
        <w:t>.</w:t>
      </w:r>
      <w:r>
        <w:rPr>
          <w:rFonts w:eastAsia="仿宋_GB2312"/>
          <w:sz w:val="32"/>
          <w:szCs w:val="32"/>
        </w:rPr>
        <w:t xml:space="preserve">组织拟订高新技术发展及产业化的规划和政策措施并组织实施。指导高新技术企业、创新型企业申报和创新平台建设，负责市级创新平台认定管理工作。组织开展科技型中小企业评价的初审工作。 </w:t>
      </w:r>
    </w:p>
    <w:p>
      <w:pPr>
        <w:widowControl/>
        <w:adjustRightInd w:val="0"/>
        <w:spacing w:line="560" w:lineRule="exact"/>
        <w:ind w:firstLine="640" w:firstLineChars="200"/>
        <w:jc w:val="left"/>
        <w:rPr>
          <w:rFonts w:eastAsia="仿宋_GB2312"/>
          <w:sz w:val="32"/>
          <w:szCs w:val="32"/>
        </w:rPr>
      </w:pPr>
      <w:r>
        <w:rPr>
          <w:rFonts w:eastAsia="仿宋_GB2312"/>
          <w:sz w:val="32"/>
          <w:szCs w:val="32"/>
        </w:rPr>
        <w:t>7</w:t>
      </w:r>
      <w:r>
        <w:rPr>
          <w:rFonts w:hint="eastAsia" w:eastAsia="仿宋_GB2312"/>
          <w:sz w:val="32"/>
          <w:szCs w:val="32"/>
        </w:rPr>
        <w:t>.</w:t>
      </w:r>
      <w:r>
        <w:rPr>
          <w:rFonts w:eastAsia="仿宋_GB2312"/>
          <w:sz w:val="32"/>
          <w:szCs w:val="32"/>
        </w:rPr>
        <w:t xml:space="preserve">组织拟订科技促进农业农村和社会发展的规划、政策和措施，指导现代农业示范基地建设，推进科技服务民生工作。拟订科学普及和科学传播规划，政策措施并组织实施。 </w:t>
      </w:r>
    </w:p>
    <w:p>
      <w:pPr>
        <w:widowControl/>
        <w:adjustRightInd w:val="0"/>
        <w:spacing w:line="560" w:lineRule="exact"/>
        <w:ind w:firstLine="640" w:firstLineChars="200"/>
        <w:jc w:val="left"/>
        <w:rPr>
          <w:rFonts w:eastAsia="仿宋_GB2312"/>
          <w:sz w:val="32"/>
          <w:szCs w:val="32"/>
        </w:rPr>
      </w:pPr>
      <w:r>
        <w:rPr>
          <w:rFonts w:eastAsia="仿宋_GB2312"/>
          <w:sz w:val="32"/>
          <w:szCs w:val="32"/>
        </w:rPr>
        <w:t>8</w:t>
      </w:r>
      <w:r>
        <w:rPr>
          <w:rFonts w:hint="eastAsia" w:eastAsia="仿宋_GB2312"/>
          <w:sz w:val="32"/>
          <w:szCs w:val="32"/>
        </w:rPr>
        <w:t>.</w:t>
      </w:r>
      <w:r>
        <w:rPr>
          <w:rFonts w:eastAsia="仿宋_GB2312"/>
          <w:sz w:val="32"/>
          <w:szCs w:val="32"/>
        </w:rPr>
        <w:t xml:space="preserve">牵头全市技术转移体系建设，拟订科技成果转移转化和促进产学研结合的相关政策措施并组织实施。指导科技服务业、技术市场和科技中介组织发展。 </w:t>
      </w:r>
    </w:p>
    <w:p>
      <w:pPr>
        <w:widowControl/>
        <w:adjustRightInd w:val="0"/>
        <w:spacing w:line="560" w:lineRule="exact"/>
        <w:ind w:firstLine="640" w:firstLineChars="200"/>
        <w:jc w:val="left"/>
        <w:rPr>
          <w:rFonts w:eastAsia="仿宋_GB2312"/>
          <w:sz w:val="32"/>
          <w:szCs w:val="32"/>
        </w:rPr>
      </w:pPr>
      <w:r>
        <w:rPr>
          <w:rFonts w:eastAsia="仿宋_GB2312"/>
          <w:sz w:val="32"/>
          <w:szCs w:val="32"/>
        </w:rPr>
        <w:t>9</w:t>
      </w:r>
      <w:r>
        <w:rPr>
          <w:rFonts w:hint="eastAsia" w:eastAsia="仿宋_GB2312"/>
          <w:sz w:val="32"/>
          <w:szCs w:val="32"/>
        </w:rPr>
        <w:t>.</w:t>
      </w:r>
      <w:r>
        <w:rPr>
          <w:rFonts w:eastAsia="仿宋_GB2312"/>
          <w:sz w:val="32"/>
          <w:szCs w:val="32"/>
        </w:rPr>
        <w:t xml:space="preserve">统筹区域科技创新体系建设，指导区域创新发展、科技资源合理布局和协同创新能力建设，推动高新技术园区建设。 </w:t>
      </w:r>
    </w:p>
    <w:p>
      <w:pPr>
        <w:widowControl/>
        <w:adjustRightInd w:val="0"/>
        <w:spacing w:line="560" w:lineRule="exact"/>
        <w:ind w:firstLine="640" w:firstLineChars="200"/>
        <w:jc w:val="left"/>
        <w:rPr>
          <w:rFonts w:eastAsia="仿宋_GB2312"/>
          <w:sz w:val="32"/>
          <w:szCs w:val="32"/>
        </w:rPr>
      </w:pPr>
      <w:r>
        <w:rPr>
          <w:rFonts w:eastAsia="仿宋_GB2312"/>
          <w:sz w:val="32"/>
          <w:szCs w:val="32"/>
        </w:rPr>
        <w:t>10</w:t>
      </w:r>
      <w:r>
        <w:rPr>
          <w:rFonts w:hint="eastAsia" w:eastAsia="仿宋_GB2312"/>
          <w:sz w:val="32"/>
          <w:szCs w:val="32"/>
        </w:rPr>
        <w:t>.</w:t>
      </w:r>
      <w:r>
        <w:rPr>
          <w:rFonts w:eastAsia="仿宋_GB2312"/>
          <w:sz w:val="32"/>
          <w:szCs w:val="32"/>
        </w:rPr>
        <w:t xml:space="preserve">会同有关部门拟订科技人才队伍建设规划和政策，建立健全科技人才评价和激励机制，组织实施科技人才计划，推动高端科技创新人才队伍建设。 </w:t>
      </w:r>
    </w:p>
    <w:p>
      <w:pPr>
        <w:widowControl/>
        <w:adjustRightInd w:val="0"/>
        <w:spacing w:line="560" w:lineRule="exact"/>
        <w:ind w:firstLine="640" w:firstLineChars="200"/>
        <w:jc w:val="left"/>
        <w:rPr>
          <w:rFonts w:eastAsia="仿宋_GB2312"/>
          <w:sz w:val="32"/>
          <w:szCs w:val="32"/>
        </w:rPr>
      </w:pPr>
      <w:r>
        <w:rPr>
          <w:rFonts w:eastAsia="仿宋_GB2312"/>
          <w:sz w:val="32"/>
          <w:szCs w:val="32"/>
        </w:rPr>
        <w:t>11</w:t>
      </w:r>
      <w:r>
        <w:rPr>
          <w:rFonts w:hint="eastAsia" w:eastAsia="仿宋_GB2312"/>
          <w:sz w:val="32"/>
          <w:szCs w:val="32"/>
        </w:rPr>
        <w:t>.</w:t>
      </w:r>
      <w:r>
        <w:rPr>
          <w:rFonts w:eastAsia="仿宋_GB2312"/>
          <w:sz w:val="32"/>
          <w:szCs w:val="32"/>
        </w:rPr>
        <w:t xml:space="preserve">负责科技监督评价体系建设和相关科技评估管理，指导科技评价机制改革，统筹科研诚信建设。组织实施全市创新调查和科技报告制度，指导全市科技保密相关工作。 </w:t>
      </w:r>
    </w:p>
    <w:p>
      <w:pPr>
        <w:widowControl/>
        <w:adjustRightInd w:val="0"/>
        <w:spacing w:line="560" w:lineRule="exact"/>
        <w:ind w:firstLine="640" w:firstLineChars="200"/>
        <w:jc w:val="left"/>
        <w:rPr>
          <w:rFonts w:eastAsia="仿宋_GB2312"/>
          <w:sz w:val="32"/>
          <w:szCs w:val="32"/>
        </w:rPr>
      </w:pPr>
      <w:r>
        <w:rPr>
          <w:rFonts w:eastAsia="仿宋_GB2312"/>
          <w:sz w:val="32"/>
          <w:szCs w:val="32"/>
        </w:rPr>
        <w:t>12</w:t>
      </w:r>
      <w:r>
        <w:rPr>
          <w:rFonts w:hint="eastAsia" w:eastAsia="仿宋_GB2312"/>
          <w:sz w:val="32"/>
          <w:szCs w:val="32"/>
        </w:rPr>
        <w:t>.</w:t>
      </w:r>
      <w:r>
        <w:rPr>
          <w:rFonts w:eastAsia="仿宋_GB2312"/>
          <w:sz w:val="32"/>
          <w:szCs w:val="32"/>
        </w:rPr>
        <w:t xml:space="preserve">拟订科技对外交流与创新能力开放合作的规划和政策措施，组织开展对外科技合作与科技人才交流。指导县（区）和相关部门对外科技合作与科技人才交流工作。负责有关科技博览展会参展推广的组织协调工作。 </w:t>
      </w:r>
    </w:p>
    <w:p>
      <w:pPr>
        <w:widowControl/>
        <w:adjustRightInd w:val="0"/>
        <w:spacing w:line="560" w:lineRule="exact"/>
        <w:ind w:firstLine="640" w:firstLineChars="200"/>
        <w:jc w:val="left"/>
        <w:rPr>
          <w:rFonts w:eastAsia="仿宋_GB2312"/>
          <w:sz w:val="32"/>
          <w:szCs w:val="32"/>
        </w:rPr>
      </w:pPr>
      <w:r>
        <w:rPr>
          <w:rFonts w:eastAsia="仿宋_GB2312"/>
          <w:sz w:val="32"/>
          <w:szCs w:val="32"/>
        </w:rPr>
        <w:t>13</w:t>
      </w:r>
      <w:r>
        <w:rPr>
          <w:rFonts w:hint="eastAsia" w:eastAsia="仿宋_GB2312"/>
          <w:sz w:val="32"/>
          <w:szCs w:val="32"/>
        </w:rPr>
        <w:t>.</w:t>
      </w:r>
      <w:r>
        <w:rPr>
          <w:rFonts w:eastAsia="仿宋_GB2312"/>
          <w:sz w:val="32"/>
          <w:szCs w:val="32"/>
        </w:rPr>
        <w:t xml:space="preserve">负责引进国外智力工作。拟订全市重点引进外国专家总体规划、计划并组织实施，建立外国顶尖专家、团队吸引集聚机制和重点外国专家联系服务机制。拟订出国（境）培训总体规划、政策和年度计划并监督实施。会同有关部门制定外国人来攀工作政策、办理相关外国人工作许可。 </w:t>
      </w:r>
    </w:p>
    <w:p>
      <w:pPr>
        <w:widowControl/>
        <w:adjustRightInd w:val="0"/>
        <w:spacing w:line="560" w:lineRule="exact"/>
        <w:ind w:firstLine="640" w:firstLineChars="200"/>
        <w:jc w:val="left"/>
        <w:rPr>
          <w:rFonts w:ascii="Times New Roman" w:hAnsi="Times New Roman" w:eastAsia="仿宋_GB2312" w:cs="Times New Roman"/>
          <w:sz w:val="32"/>
          <w:szCs w:val="32"/>
        </w:rPr>
      </w:pPr>
      <w:r>
        <w:rPr>
          <w:rFonts w:eastAsia="仿宋_GB2312"/>
          <w:sz w:val="32"/>
          <w:szCs w:val="32"/>
        </w:rPr>
        <w:t>14</w:t>
      </w:r>
      <w:r>
        <w:rPr>
          <w:rFonts w:hint="eastAsia" w:eastAsia="仿宋_GB2312"/>
          <w:sz w:val="32"/>
          <w:szCs w:val="32"/>
        </w:rPr>
        <w:t>.</w:t>
      </w:r>
      <w:r>
        <w:rPr>
          <w:rFonts w:eastAsia="仿宋_GB2312"/>
          <w:sz w:val="32"/>
          <w:szCs w:val="32"/>
        </w:rPr>
        <w:t>负责</w:t>
      </w:r>
      <w:r>
        <w:rPr>
          <w:rFonts w:ascii="Times New Roman" w:hAnsi="Times New Roman" w:eastAsia="仿宋_GB2312" w:cs="Times New Roman"/>
          <w:sz w:val="32"/>
          <w:szCs w:val="32"/>
        </w:rPr>
        <w:t xml:space="preserve">职责范围内的安全生产和职业健康、生态环境保护、审批服务便民化等工作。 </w:t>
      </w:r>
    </w:p>
    <w:p>
      <w:pPr>
        <w:widowControl/>
        <w:adjustRightInd w:val="0"/>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完成市委、市政府交办的其他任务。 </w:t>
      </w:r>
    </w:p>
    <w:p>
      <w:pPr>
        <w:pStyle w:val="5"/>
        <w:rPr>
          <w:rFonts w:ascii="黑体" w:hAnsi="黑体" w:eastAsia="黑体"/>
          <w:b w:val="0"/>
        </w:rPr>
      </w:pPr>
      <w:r>
        <w:rPr>
          <w:rFonts w:hint="eastAsia" w:ascii="黑体" w:hAnsi="黑体" w:eastAsia="黑体"/>
          <w:b w:val="0"/>
        </w:rPr>
        <w:t>二、机构设置</w:t>
      </w:r>
    </w:p>
    <w:bookmarkEnd w:id="14"/>
    <w:bookmarkEnd w:id="15"/>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仿宋" w:hAnsi="仿宋" w:eastAsia="仿宋"/>
          <w:kern w:val="0"/>
          <w:sz w:val="32"/>
          <w:szCs w:val="32"/>
        </w:rPr>
      </w:pPr>
      <w:r>
        <w:rPr>
          <w:rFonts w:ascii="Times New Roman" w:hAnsi="Times New Roman" w:eastAsia="仿宋_GB2312" w:cs="Times New Roman"/>
          <w:b w:val="0"/>
          <w:bCs w:val="0"/>
          <w:kern w:val="2"/>
          <w:sz w:val="32"/>
          <w:szCs w:val="32"/>
          <w:lang w:val="en-US" w:eastAsia="zh-CN" w:bidi="ar-SA"/>
        </w:rPr>
        <w:t>攀枝花市科学技术局（以下简称市科技局）属独立核算行政单位，单位行政编制21人，行政工勤编制5人</w:t>
      </w:r>
      <w:r>
        <w:rPr>
          <w:rFonts w:hint="eastAsia" w:eastAsia="仿宋_GB2312" w:cs="Times New Roman"/>
          <w:b w:val="0"/>
          <w:bCs w:val="0"/>
          <w:kern w:val="2"/>
          <w:sz w:val="32"/>
          <w:szCs w:val="32"/>
          <w:lang w:val="en-US" w:eastAsia="zh-CN" w:bidi="ar-SA"/>
        </w:rPr>
        <w:t>，2022年</w:t>
      </w:r>
      <w:r>
        <w:rPr>
          <w:rFonts w:hint="eastAsia" w:ascii="Times New Roman" w:hAnsi="Times New Roman" w:eastAsia="仿宋_GB2312" w:cs="Times New Roman"/>
          <w:b w:val="0"/>
          <w:bCs w:val="0"/>
          <w:kern w:val="2"/>
          <w:sz w:val="32"/>
          <w:szCs w:val="32"/>
          <w:lang w:val="en-US" w:eastAsia="zh-CN" w:bidi="ar-SA"/>
        </w:rPr>
        <w:t>底</w:t>
      </w:r>
      <w:r>
        <w:rPr>
          <w:rFonts w:ascii="Times New Roman" w:hAnsi="Times New Roman" w:eastAsia="仿宋_GB2312" w:cs="Times New Roman"/>
          <w:b w:val="0"/>
          <w:bCs w:val="0"/>
          <w:kern w:val="2"/>
          <w:sz w:val="32"/>
          <w:szCs w:val="32"/>
          <w:lang w:val="en-US" w:eastAsia="zh-CN" w:bidi="ar-SA"/>
        </w:rPr>
        <w:t>实有在职职工人数2</w:t>
      </w:r>
      <w:r>
        <w:rPr>
          <w:rFonts w:hint="eastAsia" w:eastAsia="仿宋_GB2312" w:cs="Times New Roman"/>
          <w:b w:val="0"/>
          <w:bCs w:val="0"/>
          <w:kern w:val="2"/>
          <w:sz w:val="32"/>
          <w:szCs w:val="32"/>
          <w:lang w:val="en-US" w:eastAsia="zh-CN" w:bidi="ar-SA"/>
        </w:rPr>
        <w:t>6</w:t>
      </w:r>
      <w:r>
        <w:rPr>
          <w:rFonts w:ascii="Times New Roman" w:hAnsi="Times New Roman" w:eastAsia="仿宋_GB2312" w:cs="Times New Roman"/>
          <w:b w:val="0"/>
          <w:bCs w:val="0"/>
          <w:kern w:val="2"/>
          <w:sz w:val="32"/>
          <w:szCs w:val="32"/>
          <w:lang w:val="en-US" w:eastAsia="zh-CN" w:bidi="ar-SA"/>
        </w:rPr>
        <w:t>人，离</w:t>
      </w:r>
      <w:r>
        <w:rPr>
          <w:rFonts w:hint="eastAsia" w:ascii="Times New Roman" w:hAnsi="Times New Roman" w:eastAsia="仿宋_GB2312" w:cs="Times New Roman"/>
          <w:b w:val="0"/>
          <w:bCs w:val="0"/>
          <w:kern w:val="2"/>
          <w:sz w:val="32"/>
          <w:szCs w:val="32"/>
          <w:lang w:val="en-US" w:eastAsia="zh-CN" w:bidi="ar-SA"/>
        </w:rPr>
        <w:t>退</w:t>
      </w:r>
      <w:r>
        <w:rPr>
          <w:rFonts w:ascii="Times New Roman" w:hAnsi="Times New Roman" w:eastAsia="仿宋_GB2312" w:cs="Times New Roman"/>
          <w:b w:val="0"/>
          <w:bCs w:val="0"/>
          <w:kern w:val="2"/>
          <w:sz w:val="32"/>
          <w:szCs w:val="32"/>
          <w:lang w:val="en-US" w:eastAsia="zh-CN" w:bidi="ar-SA"/>
        </w:rPr>
        <w:t>休职工</w:t>
      </w:r>
      <w:r>
        <w:rPr>
          <w:rFonts w:hint="eastAsia" w:eastAsia="仿宋_GB2312" w:cs="Times New Roman"/>
          <w:b w:val="0"/>
          <w:bCs w:val="0"/>
          <w:kern w:val="2"/>
          <w:sz w:val="32"/>
          <w:szCs w:val="32"/>
          <w:lang w:val="en-US" w:eastAsia="zh-CN" w:bidi="ar-SA"/>
        </w:rPr>
        <w:t>28</w:t>
      </w:r>
      <w:r>
        <w:rPr>
          <w:rFonts w:ascii="Times New Roman" w:hAnsi="Times New Roman" w:eastAsia="仿宋_GB2312" w:cs="Times New Roman"/>
          <w:b w:val="0"/>
          <w:bCs w:val="0"/>
          <w:kern w:val="2"/>
          <w:sz w:val="32"/>
          <w:szCs w:val="32"/>
          <w:lang w:val="en-US" w:eastAsia="zh-CN" w:bidi="ar-SA"/>
        </w:rPr>
        <w:t>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rPr>
        <w:t>市科技局内设办公室、资源配置与政策法规科、创新体系与科技人才科、高新技术科、农村与社会发展科技科、成果转化与区域合作科和人事科7个职能机构</w:t>
      </w:r>
      <w:r>
        <w:rPr>
          <w:rFonts w:hint="eastAsia" w:ascii="Times New Roman" w:hAnsi="Times New Roman" w:eastAsia="仿宋_GB2312" w:cs="Times New Roman"/>
          <w:sz w:val="32"/>
          <w:szCs w:val="32"/>
          <w:lang w:val="en-US" w:eastAsia="zh-CN"/>
        </w:rPr>
        <w:t>。</w:t>
      </w:r>
      <w:r>
        <w:rPr>
          <w:rFonts w:ascii="仿宋" w:hAnsi="仿宋" w:eastAsia="仿宋"/>
          <w:sz w:val="32"/>
          <w:szCs w:val="32"/>
        </w:rPr>
        <w:br w:type="page"/>
      </w:r>
    </w:p>
    <w:p>
      <w:pPr>
        <w:pStyle w:val="4"/>
        <w:ind w:right="440"/>
        <w:jc w:val="center"/>
        <w:rPr>
          <w:rStyle w:val="25"/>
          <w:rFonts w:ascii="黑体" w:hAnsi="黑体" w:eastAsia="黑体"/>
          <w:b w:val="0"/>
          <w:bCs/>
        </w:rPr>
      </w:pPr>
      <w:bookmarkStart w:id="16" w:name="_Toc15396602"/>
      <w:bookmarkStart w:id="17" w:name="_Toc15377204"/>
      <w:r>
        <w:rPr>
          <w:rFonts w:hint="eastAsia" w:ascii="黑体" w:hAnsi="黑体" w:eastAsia="黑体"/>
          <w:b w:val="0"/>
        </w:rPr>
        <w:t>第二部分 2022年度</w:t>
      </w:r>
      <w:r>
        <w:rPr>
          <w:rStyle w:val="25"/>
          <w:rFonts w:hint="eastAsia" w:ascii="黑体" w:hAnsi="黑体" w:eastAsia="黑体"/>
          <w:b w:val="0"/>
          <w:bCs/>
        </w:rPr>
        <w:t>单位决算情况说明</w:t>
      </w:r>
      <w:bookmarkEnd w:id="16"/>
      <w:bookmarkEnd w:id="17"/>
    </w:p>
    <w:p/>
    <w:p>
      <w:pPr>
        <w:pStyle w:val="24"/>
        <w:numPr>
          <w:ilvl w:val="0"/>
          <w:numId w:val="0"/>
        </w:numPr>
        <w:spacing w:line="600" w:lineRule="exact"/>
        <w:ind w:left="640" w:leftChars="0"/>
        <w:outlineLvl w:val="1"/>
        <w:rPr>
          <w:rStyle w:val="26"/>
          <w:rFonts w:ascii="黑体" w:hAnsi="黑体" w:eastAsia="黑体"/>
          <w:b w:val="0"/>
        </w:rPr>
      </w:pPr>
      <w:bookmarkStart w:id="18" w:name="_Toc15377205"/>
      <w:bookmarkStart w:id="19" w:name="_Toc15396603"/>
      <w:r>
        <w:rPr>
          <w:rFonts w:hint="eastAsia" w:ascii="黑体" w:hAnsi="黑体" w:eastAsia="黑体"/>
          <w:sz w:val="32"/>
          <w:szCs w:val="32"/>
          <w:lang w:eastAsia="zh-CN"/>
        </w:rPr>
        <w:t>一、</w:t>
      </w:r>
      <w:r>
        <w:rPr>
          <w:rFonts w:hint="eastAsia" w:ascii="黑体" w:hAnsi="黑体" w:eastAsia="黑体"/>
          <w:sz w:val="32"/>
          <w:szCs w:val="32"/>
        </w:rPr>
        <w:t>收</w:t>
      </w:r>
      <w:r>
        <w:rPr>
          <w:rStyle w:val="26"/>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2022年度收、支总计892.68万元。与2021年相比，收、支总计各减少</w:t>
      </w:r>
      <w:r>
        <w:rPr>
          <w:rFonts w:hint="eastAsia" w:ascii="仿宋" w:hAnsi="仿宋" w:eastAsia="仿宋"/>
          <w:sz w:val="32"/>
          <w:szCs w:val="32"/>
          <w:lang w:val="en-US" w:eastAsia="zh-CN"/>
        </w:rPr>
        <w:t>96.79</w:t>
      </w:r>
      <w:r>
        <w:rPr>
          <w:rFonts w:hint="eastAsia" w:ascii="仿宋" w:hAnsi="仿宋" w:eastAsia="仿宋"/>
          <w:sz w:val="32"/>
          <w:szCs w:val="32"/>
        </w:rPr>
        <w:t>万元，下降</w:t>
      </w:r>
      <w:r>
        <w:rPr>
          <w:rFonts w:hint="eastAsia" w:ascii="仿宋" w:hAnsi="仿宋" w:eastAsia="仿宋"/>
          <w:sz w:val="32"/>
          <w:szCs w:val="32"/>
          <w:lang w:val="en-US" w:eastAsia="zh-CN"/>
        </w:rPr>
        <w:t>9.78</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项目经费支出减少</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640" w:firstLineChars="200"/>
        <w:jc w:val="left"/>
        <w:rPr>
          <w:rStyle w:val="26"/>
          <w:rFonts w:ascii="黑体" w:hAnsi="黑体" w:eastAsia="黑体"/>
          <w:b w:val="0"/>
        </w:rPr>
      </w:pPr>
      <w:r>
        <w:rPr>
          <w:rFonts w:hint="eastAsia" w:ascii="仿宋_GB2312" w:eastAsia="仿宋_GB2312"/>
          <w:sz w:val="32"/>
          <w:szCs w:val="32"/>
          <w:lang w:eastAsia="zh-CN"/>
        </w:rPr>
        <w:drawing>
          <wp:anchor distT="0" distB="0" distL="114300" distR="114300" simplePos="0" relativeHeight="251658240" behindDoc="0" locked="0" layoutInCell="1" allowOverlap="1">
            <wp:simplePos x="0" y="0"/>
            <wp:positionH relativeFrom="column">
              <wp:posOffset>28575</wp:posOffset>
            </wp:positionH>
            <wp:positionV relativeFrom="paragraph">
              <wp:posOffset>168275</wp:posOffset>
            </wp:positionV>
            <wp:extent cx="5272405" cy="3002280"/>
            <wp:effectExtent l="0" t="0" r="4445" b="7620"/>
            <wp:wrapSquare wrapText="bothSides"/>
            <wp:docPr id="1" name="图片 1"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true"/>
                    </pic:cNvPicPr>
                  </pic:nvPicPr>
                  <pic:blipFill>
                    <a:blip r:embed="rId10"/>
                    <a:stretch>
                      <a:fillRect/>
                    </a:stretch>
                  </pic:blipFill>
                  <pic:spPr>
                    <a:xfrm>
                      <a:off x="0" y="0"/>
                      <a:ext cx="5272405" cy="3002280"/>
                    </a:xfrm>
                    <a:prstGeom prst="rect">
                      <a:avLst/>
                    </a:prstGeom>
                  </pic:spPr>
                </pic:pic>
              </a:graphicData>
            </a:graphic>
          </wp:anchor>
        </w:drawing>
      </w:r>
      <w:bookmarkStart w:id="20" w:name="_Toc15377206"/>
      <w:bookmarkStart w:id="21" w:name="_Toc15396604"/>
      <w:r>
        <w:rPr>
          <w:rFonts w:hint="eastAsia" w:ascii="黑体" w:hAnsi="黑体" w:eastAsia="黑体"/>
          <w:sz w:val="32"/>
          <w:szCs w:val="32"/>
          <w:lang w:eastAsia="zh-CN"/>
        </w:rPr>
        <w:t>二、</w:t>
      </w:r>
      <w:r>
        <w:rPr>
          <w:rFonts w:hint="eastAsia" w:ascii="黑体" w:hAnsi="黑体" w:eastAsia="黑体"/>
          <w:sz w:val="32"/>
          <w:szCs w:val="32"/>
        </w:rPr>
        <w:t>收</w:t>
      </w:r>
      <w:r>
        <w:rPr>
          <w:rStyle w:val="26"/>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color w:val="auto"/>
          <w:sz w:val="32"/>
          <w:szCs w:val="32"/>
        </w:rPr>
      </w:pPr>
      <w:r>
        <w:rPr>
          <w:rFonts w:ascii="仿宋" w:hAnsi="仿宋" w:eastAsia="仿宋"/>
          <w:sz w:val="32"/>
          <w:szCs w:val="32"/>
        </w:rPr>
        <w:t>20</w:t>
      </w:r>
      <w:r>
        <w:rPr>
          <w:rFonts w:hint="eastAsia" w:ascii="仿宋" w:hAnsi="仿宋" w:eastAsia="仿宋"/>
          <w:sz w:val="32"/>
          <w:szCs w:val="32"/>
        </w:rPr>
        <w:t>22年本年收入合计868.32万元，其中：一般公共预算财政拨款收入868.32万元，占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olor w:val="auto"/>
          <w:sz w:val="32"/>
          <w:szCs w:val="32"/>
        </w:rPr>
        <w:t>政府性基金预算财政拨款收入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；国有资本经营预算财政拨款收入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；上级补助收入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；事业收入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；经营收入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；附属单位上缴收入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；其他收入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drawing>
          <wp:anchor distT="0" distB="0" distL="114300" distR="114300" simplePos="0" relativeHeight="251659264" behindDoc="0" locked="0" layoutInCell="1" allowOverlap="1">
            <wp:simplePos x="0" y="0"/>
            <wp:positionH relativeFrom="column">
              <wp:posOffset>152400</wp:posOffset>
            </wp:positionH>
            <wp:positionV relativeFrom="paragraph">
              <wp:posOffset>224790</wp:posOffset>
            </wp:positionV>
            <wp:extent cx="4584065" cy="2755265"/>
            <wp:effectExtent l="0" t="0" r="6985" b="6985"/>
            <wp:wrapSquare wrapText="bothSides"/>
            <wp:docPr id="2" name="图片 2" descr="图片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图片2"/>
                    <pic:cNvPicPr>
                      <a:picLocks noChangeAspect="true"/>
                    </pic:cNvPicPr>
                  </pic:nvPicPr>
                  <pic:blipFill>
                    <a:blip r:embed="rId11"/>
                    <a:stretch>
                      <a:fillRect/>
                    </a:stretch>
                  </pic:blipFill>
                  <pic:spPr>
                    <a:xfrm>
                      <a:off x="0" y="0"/>
                      <a:ext cx="4584065" cy="2755265"/>
                    </a:xfrm>
                    <a:prstGeom prst="rect">
                      <a:avLst/>
                    </a:prstGeom>
                  </pic:spPr>
                </pic:pic>
              </a:graphicData>
            </a:graphic>
          </wp:anchor>
        </w:drawing>
      </w:r>
    </w:p>
    <w:p>
      <w:pPr>
        <w:pStyle w:val="2"/>
        <w:rPr>
          <w:rFonts w:ascii="仿宋_GB2312" w:eastAsia="仿宋_GB2312"/>
          <w:sz w:val="32"/>
          <w:szCs w:val="32"/>
        </w:rPr>
      </w:pPr>
    </w:p>
    <w:p>
      <w:pPr>
        <w:pStyle w:val="2"/>
        <w:rPr>
          <w:rFonts w:ascii="仿宋_GB2312" w:eastAsia="仿宋_GB2312"/>
          <w:sz w:val="32"/>
          <w:szCs w:val="32"/>
        </w:rPr>
      </w:pPr>
    </w:p>
    <w:p>
      <w:pPr>
        <w:pStyle w:val="2"/>
        <w:rPr>
          <w:rFonts w:hint="eastAsia" w:ascii="仿宋_GB2312" w:eastAsia="仿宋_GB2312"/>
          <w:sz w:val="32"/>
          <w:szCs w:val="32"/>
          <w:lang w:eastAsia="zh-CN"/>
        </w:rPr>
      </w:pPr>
    </w:p>
    <w:p>
      <w:pPr>
        <w:pStyle w:val="24"/>
        <w:numPr>
          <w:ilvl w:val="0"/>
          <w:numId w:val="0"/>
        </w:numPr>
        <w:spacing w:line="600" w:lineRule="exact"/>
        <w:ind w:left="640" w:leftChars="0"/>
        <w:outlineLvl w:val="1"/>
        <w:rPr>
          <w:rFonts w:hint="eastAsia" w:ascii="黑体" w:hAnsi="黑体" w:eastAsia="黑体"/>
          <w:sz w:val="32"/>
          <w:szCs w:val="32"/>
          <w:lang w:eastAsia="zh-CN"/>
        </w:rPr>
      </w:pPr>
      <w:bookmarkStart w:id="22" w:name="_Toc15396605"/>
      <w:bookmarkStart w:id="23" w:name="_Toc15377207"/>
    </w:p>
    <w:p>
      <w:pPr>
        <w:pStyle w:val="24"/>
        <w:numPr>
          <w:ilvl w:val="0"/>
          <w:numId w:val="0"/>
        </w:numPr>
        <w:spacing w:line="600" w:lineRule="exact"/>
        <w:ind w:left="640" w:leftChars="0"/>
        <w:outlineLvl w:val="1"/>
        <w:rPr>
          <w:rFonts w:hint="eastAsia" w:ascii="黑体" w:hAnsi="黑体" w:eastAsia="黑体"/>
          <w:sz w:val="32"/>
          <w:szCs w:val="32"/>
          <w:lang w:eastAsia="zh-CN"/>
        </w:rPr>
      </w:pPr>
    </w:p>
    <w:p>
      <w:pPr>
        <w:pStyle w:val="24"/>
        <w:numPr>
          <w:ilvl w:val="0"/>
          <w:numId w:val="0"/>
        </w:numPr>
        <w:spacing w:line="600" w:lineRule="exact"/>
        <w:ind w:left="640" w:leftChars="0"/>
        <w:outlineLvl w:val="1"/>
        <w:rPr>
          <w:rFonts w:hint="eastAsia" w:ascii="黑体" w:hAnsi="黑体" w:eastAsia="黑体"/>
          <w:sz w:val="32"/>
          <w:szCs w:val="32"/>
          <w:lang w:eastAsia="zh-CN"/>
        </w:rPr>
      </w:pPr>
    </w:p>
    <w:p>
      <w:pPr>
        <w:pStyle w:val="24"/>
        <w:numPr>
          <w:ilvl w:val="0"/>
          <w:numId w:val="0"/>
        </w:numPr>
        <w:spacing w:line="600" w:lineRule="exact"/>
        <w:ind w:left="640" w:leftChars="0"/>
        <w:outlineLvl w:val="1"/>
        <w:rPr>
          <w:rFonts w:hint="eastAsia" w:ascii="黑体" w:hAnsi="黑体" w:eastAsia="黑体"/>
          <w:sz w:val="32"/>
          <w:szCs w:val="32"/>
          <w:lang w:eastAsia="zh-CN"/>
        </w:rPr>
      </w:pPr>
    </w:p>
    <w:p>
      <w:pPr>
        <w:pStyle w:val="24"/>
        <w:numPr>
          <w:ilvl w:val="0"/>
          <w:numId w:val="0"/>
        </w:numPr>
        <w:spacing w:line="600" w:lineRule="exact"/>
        <w:ind w:left="640" w:leftChars="0"/>
        <w:outlineLvl w:val="1"/>
        <w:rPr>
          <w:rStyle w:val="26"/>
          <w:rFonts w:ascii="黑体" w:hAnsi="黑体" w:eastAsia="黑体"/>
          <w:b w:val="0"/>
        </w:rPr>
      </w:pPr>
      <w:r>
        <w:rPr>
          <w:rFonts w:hint="eastAsia" w:ascii="黑体" w:hAnsi="黑体" w:eastAsia="黑体"/>
          <w:sz w:val="32"/>
          <w:szCs w:val="32"/>
          <w:lang w:eastAsia="zh-CN"/>
        </w:rPr>
        <w:t>三、</w:t>
      </w:r>
      <w:r>
        <w:rPr>
          <w:rFonts w:hint="eastAsia" w:ascii="黑体" w:hAnsi="黑体" w:eastAsia="黑体"/>
          <w:sz w:val="32"/>
          <w:szCs w:val="32"/>
        </w:rPr>
        <w:t>支</w:t>
      </w:r>
      <w:r>
        <w:rPr>
          <w:rStyle w:val="26"/>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22年本年支出合计885.18万元，其中：基本支出786.07万元，占</w:t>
      </w:r>
      <w:r>
        <w:rPr>
          <w:rFonts w:hint="eastAsia" w:ascii="仿宋" w:hAnsi="仿宋" w:eastAsia="仿宋"/>
          <w:sz w:val="32"/>
          <w:szCs w:val="32"/>
          <w:lang w:val="en-US" w:eastAsia="zh-CN"/>
        </w:rPr>
        <w:t>88.8</w:t>
      </w:r>
      <w:r>
        <w:rPr>
          <w:rFonts w:ascii="仿宋" w:hAnsi="仿宋" w:eastAsia="仿宋"/>
          <w:sz w:val="32"/>
          <w:szCs w:val="32"/>
        </w:rPr>
        <w:t>%</w:t>
      </w:r>
      <w:r>
        <w:rPr>
          <w:rFonts w:hint="eastAsia" w:ascii="仿宋" w:hAnsi="仿宋" w:eastAsia="仿宋"/>
          <w:sz w:val="32"/>
          <w:szCs w:val="32"/>
        </w:rPr>
        <w:t>；项目支出99.1万元，占</w:t>
      </w:r>
      <w:r>
        <w:rPr>
          <w:rFonts w:hint="eastAsia" w:ascii="仿宋" w:hAnsi="仿宋" w:eastAsia="仿宋"/>
          <w:sz w:val="32"/>
          <w:szCs w:val="32"/>
          <w:lang w:val="en-US" w:eastAsia="zh-CN"/>
        </w:rPr>
        <w:t>11.2</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drawing>
          <wp:anchor distT="0" distB="0" distL="114300" distR="114300" simplePos="0" relativeHeight="251660288" behindDoc="0" locked="0" layoutInCell="1" allowOverlap="1">
            <wp:simplePos x="0" y="0"/>
            <wp:positionH relativeFrom="column">
              <wp:posOffset>695325</wp:posOffset>
            </wp:positionH>
            <wp:positionV relativeFrom="paragraph">
              <wp:posOffset>112395</wp:posOffset>
            </wp:positionV>
            <wp:extent cx="3956050" cy="2548255"/>
            <wp:effectExtent l="0" t="0" r="6350" b="4445"/>
            <wp:wrapSquare wrapText="bothSides"/>
            <wp:docPr id="3" name="图片 3" descr="图片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图片3"/>
                    <pic:cNvPicPr>
                      <a:picLocks noChangeAspect="true"/>
                    </pic:cNvPicPr>
                  </pic:nvPicPr>
                  <pic:blipFill>
                    <a:blip r:embed="rId12"/>
                    <a:stretch>
                      <a:fillRect/>
                    </a:stretch>
                  </pic:blipFill>
                  <pic:spPr>
                    <a:xfrm>
                      <a:off x="0" y="0"/>
                      <a:ext cx="3956050" cy="2548255"/>
                    </a:xfrm>
                    <a:prstGeom prst="rect">
                      <a:avLst/>
                    </a:prstGeom>
                  </pic:spPr>
                </pic:pic>
              </a:graphicData>
            </a:graphic>
          </wp:anchor>
        </w:drawing>
      </w:r>
    </w:p>
    <w:p>
      <w:pPr>
        <w:pStyle w:val="2"/>
        <w:rPr>
          <w:rFonts w:ascii="仿宋_GB2312" w:eastAsia="仿宋_GB2312"/>
          <w:sz w:val="32"/>
          <w:szCs w:val="32"/>
        </w:rPr>
      </w:pPr>
    </w:p>
    <w:p>
      <w:pPr>
        <w:pStyle w:val="2"/>
        <w:rPr>
          <w:rFonts w:ascii="仿宋_GB2312" w:eastAsia="仿宋_GB2312"/>
          <w:sz w:val="32"/>
          <w:szCs w:val="32"/>
        </w:rPr>
      </w:pPr>
    </w:p>
    <w:p>
      <w:pPr>
        <w:pStyle w:val="2"/>
        <w:rPr>
          <w:rFonts w:hint="eastAsia" w:ascii="仿宋_GB2312" w:eastAsia="仿宋_GB2312"/>
          <w:sz w:val="32"/>
          <w:szCs w:val="32"/>
          <w:lang w:eastAsia="zh-CN"/>
        </w:rPr>
      </w:pPr>
    </w:p>
    <w:p>
      <w:pPr>
        <w:spacing w:line="600" w:lineRule="exact"/>
        <w:ind w:firstLine="640" w:firstLineChars="200"/>
        <w:outlineLvl w:val="1"/>
        <w:rPr>
          <w:rFonts w:hint="eastAsia" w:ascii="黑体" w:hAnsi="黑体" w:eastAsia="黑体"/>
          <w:sz w:val="32"/>
          <w:szCs w:val="32"/>
        </w:rPr>
      </w:pPr>
      <w:bookmarkStart w:id="24" w:name="_Toc15377208"/>
      <w:bookmarkStart w:id="25" w:name="_Toc15396606"/>
    </w:p>
    <w:p>
      <w:pPr>
        <w:spacing w:line="600" w:lineRule="exact"/>
        <w:ind w:firstLine="640" w:firstLineChars="200"/>
        <w:outlineLvl w:val="1"/>
        <w:rPr>
          <w:rFonts w:hint="eastAsia" w:ascii="黑体" w:hAnsi="黑体" w:eastAsia="黑体"/>
          <w:sz w:val="32"/>
          <w:szCs w:val="32"/>
        </w:rPr>
      </w:pPr>
    </w:p>
    <w:p>
      <w:pPr>
        <w:spacing w:line="600" w:lineRule="exact"/>
        <w:ind w:firstLine="640" w:firstLineChars="200"/>
        <w:outlineLvl w:val="1"/>
        <w:rPr>
          <w:rFonts w:hint="eastAsia" w:ascii="黑体" w:hAnsi="黑体" w:eastAsia="黑体"/>
          <w:sz w:val="32"/>
          <w:szCs w:val="32"/>
        </w:rPr>
      </w:pPr>
    </w:p>
    <w:p>
      <w:pPr>
        <w:spacing w:line="600" w:lineRule="exact"/>
        <w:ind w:firstLine="640" w:firstLineChars="200"/>
        <w:outlineLvl w:val="1"/>
        <w:rPr>
          <w:rStyle w:val="26"/>
          <w:rFonts w:ascii="黑体" w:hAnsi="黑体" w:eastAsia="黑体"/>
          <w:b w:val="0"/>
        </w:rPr>
      </w:pPr>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24"/>
      <w:bookmarkEnd w:id="25"/>
    </w:p>
    <w:p>
      <w:pPr>
        <w:spacing w:line="600" w:lineRule="exact"/>
        <w:ind w:firstLine="64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22年财政拨款收、支总计891.04万元。与</w:t>
      </w:r>
      <w:r>
        <w:rPr>
          <w:rFonts w:ascii="仿宋" w:hAnsi="仿宋" w:eastAsia="仿宋"/>
          <w:sz w:val="32"/>
          <w:szCs w:val="32"/>
        </w:rPr>
        <w:t>20</w:t>
      </w:r>
      <w:r>
        <w:rPr>
          <w:rFonts w:hint="eastAsia" w:ascii="仿宋" w:hAnsi="仿宋" w:eastAsia="仿宋"/>
          <w:sz w:val="32"/>
          <w:szCs w:val="32"/>
        </w:rPr>
        <w:t>21年相比，财政拨款收、支总计各减少</w:t>
      </w:r>
      <w:r>
        <w:rPr>
          <w:rFonts w:hint="eastAsia" w:ascii="仿宋" w:hAnsi="仿宋" w:eastAsia="仿宋"/>
          <w:sz w:val="32"/>
          <w:szCs w:val="32"/>
          <w:lang w:val="en-US" w:eastAsia="zh-CN"/>
        </w:rPr>
        <w:t>96.77</w:t>
      </w:r>
      <w:r>
        <w:rPr>
          <w:rFonts w:hint="eastAsia" w:ascii="仿宋" w:hAnsi="仿宋" w:eastAsia="仿宋"/>
          <w:sz w:val="32"/>
          <w:szCs w:val="32"/>
        </w:rPr>
        <w:t>万元，下降</w:t>
      </w:r>
      <w:r>
        <w:rPr>
          <w:rFonts w:hint="eastAsia" w:ascii="仿宋" w:hAnsi="仿宋" w:eastAsia="仿宋"/>
          <w:sz w:val="32"/>
          <w:szCs w:val="32"/>
          <w:lang w:val="en-US" w:eastAsia="zh-CN"/>
        </w:rPr>
        <w:t>9.8</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项目经费支出减少。</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rPr>
          <w:rStyle w:val="26"/>
          <w:rFonts w:ascii="黑体" w:hAnsi="黑体" w:eastAsia="黑体"/>
          <w:b w:val="0"/>
        </w:rPr>
      </w:pPr>
      <w:r>
        <w:rPr>
          <w:rFonts w:hint="eastAsia" w:ascii="仿宋" w:hAnsi="仿宋" w:eastAsia="仿宋"/>
          <w:b/>
          <w:sz w:val="32"/>
          <w:szCs w:val="32"/>
          <w:lang w:eastAsia="zh-CN"/>
        </w:rPr>
        <w:drawing>
          <wp:anchor distT="0" distB="0" distL="114300" distR="114300" simplePos="0" relativeHeight="251661312" behindDoc="0" locked="0" layoutInCell="1" allowOverlap="1">
            <wp:simplePos x="0" y="0"/>
            <wp:positionH relativeFrom="column">
              <wp:posOffset>38100</wp:posOffset>
            </wp:positionH>
            <wp:positionV relativeFrom="paragraph">
              <wp:posOffset>233045</wp:posOffset>
            </wp:positionV>
            <wp:extent cx="5272405" cy="2663825"/>
            <wp:effectExtent l="0" t="0" r="4445" b="3175"/>
            <wp:wrapSquare wrapText="bothSides"/>
            <wp:docPr id="4" name="图片 4" descr="图片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图片4"/>
                    <pic:cNvPicPr>
                      <a:picLocks noChangeAspect="true"/>
                    </pic:cNvPicPr>
                  </pic:nvPicPr>
                  <pic:blipFill>
                    <a:blip r:embed="rId13"/>
                    <a:stretch>
                      <a:fillRect/>
                    </a:stretch>
                  </pic:blipFill>
                  <pic:spPr>
                    <a:xfrm>
                      <a:off x="0" y="0"/>
                      <a:ext cx="5272405" cy="2663825"/>
                    </a:xfrm>
                    <a:prstGeom prst="rect">
                      <a:avLst/>
                    </a:prstGeom>
                  </pic:spPr>
                </pic:pic>
              </a:graphicData>
            </a:graphic>
          </wp:anchor>
        </w:drawing>
      </w: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6"/>
      <w:bookmarkEnd w:id="27"/>
    </w:p>
    <w:p>
      <w:pPr>
        <w:spacing w:line="600" w:lineRule="exact"/>
        <w:ind w:firstLine="642"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22年一般公共预算财政拨款支出885.18万元，占本年支出合计的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w:t>
      </w:r>
      <w:r>
        <w:rPr>
          <w:rFonts w:hint="eastAsia" w:ascii="仿宋" w:hAnsi="仿宋" w:eastAsia="仿宋"/>
          <w:sz w:val="32"/>
          <w:szCs w:val="32"/>
          <w:lang w:val="en-US" w:eastAsia="zh-CN"/>
        </w:rPr>
        <w:t>90.85</w:t>
      </w:r>
      <w:r>
        <w:rPr>
          <w:rFonts w:hint="eastAsia" w:ascii="仿宋" w:hAnsi="仿宋" w:eastAsia="仿宋"/>
          <w:sz w:val="32"/>
          <w:szCs w:val="32"/>
        </w:rPr>
        <w:t>万元，下降</w:t>
      </w:r>
      <w:r>
        <w:rPr>
          <w:rFonts w:hint="eastAsia" w:ascii="仿宋" w:hAnsi="仿宋" w:eastAsia="仿宋"/>
          <w:sz w:val="32"/>
          <w:szCs w:val="32"/>
          <w:lang w:val="en-US" w:eastAsia="zh-CN"/>
        </w:rPr>
        <w:t>9.31</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项目经费支出减少。</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0" w:firstLineChars="200"/>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r>
        <w:rPr>
          <w:rFonts w:hint="eastAsia" w:ascii="仿宋" w:hAnsi="仿宋" w:eastAsia="仿宋"/>
          <w:sz w:val="32"/>
          <w:szCs w:val="32"/>
          <w:lang w:eastAsia="zh-CN"/>
        </w:rPr>
        <w:drawing>
          <wp:anchor distT="0" distB="0" distL="114300" distR="114300" simplePos="0" relativeHeight="251662336" behindDoc="0" locked="0" layoutInCell="1" allowOverlap="1">
            <wp:simplePos x="0" y="0"/>
            <wp:positionH relativeFrom="column">
              <wp:posOffset>235585</wp:posOffset>
            </wp:positionH>
            <wp:positionV relativeFrom="paragraph">
              <wp:posOffset>-123825</wp:posOffset>
            </wp:positionV>
            <wp:extent cx="4584065" cy="2785745"/>
            <wp:effectExtent l="0" t="0" r="6985" b="14605"/>
            <wp:wrapSquare wrapText="bothSides"/>
            <wp:docPr id="5" name="图片 5" descr="图片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图片5"/>
                    <pic:cNvPicPr>
                      <a:picLocks noChangeAspect="true"/>
                    </pic:cNvPicPr>
                  </pic:nvPicPr>
                  <pic:blipFill>
                    <a:blip r:embed="rId14"/>
                    <a:stretch>
                      <a:fillRect/>
                    </a:stretch>
                  </pic:blipFill>
                  <pic:spPr>
                    <a:xfrm>
                      <a:off x="0" y="0"/>
                      <a:ext cx="4584065" cy="2785745"/>
                    </a:xfrm>
                    <a:prstGeom prst="rect">
                      <a:avLst/>
                    </a:prstGeom>
                  </pic:spPr>
                </pic:pic>
              </a:graphicData>
            </a:graphic>
          </wp:anchor>
        </w:drawing>
      </w:r>
    </w:p>
    <w:p>
      <w:pPr>
        <w:pStyle w:val="2"/>
        <w:rPr>
          <w:rFonts w:ascii="仿宋" w:hAnsi="仿宋" w:eastAsia="仿宋"/>
          <w:sz w:val="32"/>
          <w:szCs w:val="32"/>
        </w:rPr>
      </w:pPr>
    </w:p>
    <w:p>
      <w:pPr>
        <w:pStyle w:val="2"/>
        <w:rPr>
          <w:rFonts w:hint="eastAsia" w:ascii="仿宋" w:hAnsi="仿宋" w:eastAsia="仿宋"/>
          <w:sz w:val="32"/>
          <w:szCs w:val="32"/>
          <w:lang w:eastAsia="zh-CN"/>
        </w:rPr>
      </w:pPr>
    </w:p>
    <w:p>
      <w:pPr>
        <w:spacing w:line="600" w:lineRule="exact"/>
        <w:ind w:firstLine="642" w:firstLineChars="200"/>
        <w:outlineLvl w:val="2"/>
        <w:rPr>
          <w:rFonts w:hint="eastAsia" w:ascii="仿宋" w:hAnsi="仿宋" w:eastAsia="仿宋"/>
          <w:b/>
          <w:sz w:val="32"/>
          <w:szCs w:val="32"/>
        </w:rPr>
      </w:pPr>
      <w:bookmarkStart w:id="29" w:name="_Toc15377211"/>
    </w:p>
    <w:p>
      <w:pPr>
        <w:spacing w:line="600" w:lineRule="exact"/>
        <w:ind w:firstLine="642" w:firstLineChars="200"/>
        <w:outlineLvl w:val="2"/>
        <w:rPr>
          <w:rFonts w:hint="eastAsia" w:ascii="仿宋" w:hAnsi="仿宋" w:eastAsia="仿宋"/>
          <w:b/>
          <w:sz w:val="32"/>
          <w:szCs w:val="32"/>
        </w:rPr>
      </w:pPr>
    </w:p>
    <w:p>
      <w:pPr>
        <w:spacing w:line="600" w:lineRule="exact"/>
        <w:ind w:firstLine="642" w:firstLineChars="200"/>
        <w:outlineLvl w:val="2"/>
        <w:rPr>
          <w:rFonts w:hint="eastAsia" w:ascii="仿宋" w:hAnsi="仿宋" w:eastAsia="仿宋"/>
          <w:b/>
          <w:sz w:val="32"/>
          <w:szCs w:val="32"/>
        </w:rPr>
      </w:pPr>
    </w:p>
    <w:p>
      <w:pPr>
        <w:spacing w:line="600" w:lineRule="exact"/>
        <w:ind w:firstLine="642" w:firstLineChars="200"/>
        <w:outlineLvl w:val="2"/>
        <w:rPr>
          <w:rFonts w:hint="eastAsia" w:ascii="仿宋" w:hAnsi="仿宋" w:eastAsia="仿宋"/>
          <w:b/>
          <w:sz w:val="32"/>
          <w:szCs w:val="32"/>
        </w:rPr>
      </w:pPr>
    </w:p>
    <w:p>
      <w:pPr>
        <w:spacing w:line="600" w:lineRule="exact"/>
        <w:ind w:firstLine="642" w:firstLineChars="200"/>
        <w:outlineLvl w:val="2"/>
        <w:rPr>
          <w:rFonts w:ascii="仿宋" w:hAnsi="仿宋" w:eastAsia="仿宋"/>
          <w:b/>
          <w:sz w:val="32"/>
          <w:szCs w:val="32"/>
        </w:rPr>
      </w:pPr>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885.18</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rPr>
        <w:t>7.62万元，占</w:t>
      </w:r>
      <w:r>
        <w:rPr>
          <w:rFonts w:hint="eastAsia" w:ascii="仿宋" w:hAnsi="仿宋" w:eastAsia="仿宋"/>
          <w:sz w:val="32"/>
          <w:szCs w:val="32"/>
          <w:lang w:val="en-US" w:eastAsia="zh-CN"/>
        </w:rPr>
        <w:t>0.86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rPr>
        <w:t>636.75万元，占</w:t>
      </w:r>
      <w:r>
        <w:rPr>
          <w:rFonts w:hint="eastAsia" w:ascii="仿宋" w:hAnsi="仿宋" w:eastAsia="仿宋"/>
          <w:sz w:val="32"/>
          <w:szCs w:val="32"/>
          <w:lang w:val="en-US" w:eastAsia="zh-CN"/>
        </w:rPr>
        <w:t>71.93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187.24万元，占</w:t>
      </w:r>
      <w:r>
        <w:rPr>
          <w:rFonts w:hint="eastAsia" w:ascii="仿宋" w:hAnsi="仿宋" w:eastAsia="仿宋"/>
          <w:sz w:val="32"/>
          <w:szCs w:val="32"/>
          <w:lang w:val="en-US" w:eastAsia="zh-CN"/>
        </w:rPr>
        <w:t>21.15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0.36万元，占</w:t>
      </w:r>
      <w:r>
        <w:rPr>
          <w:rFonts w:hint="eastAsia" w:ascii="仿宋" w:hAnsi="仿宋" w:eastAsia="仿宋"/>
          <w:sz w:val="32"/>
          <w:szCs w:val="32"/>
          <w:lang w:val="en-US" w:eastAsia="zh-CN"/>
        </w:rPr>
        <w:t>0.04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51.83万元，占</w:t>
      </w:r>
      <w:r>
        <w:rPr>
          <w:rFonts w:hint="eastAsia" w:ascii="仿宋" w:hAnsi="仿宋" w:eastAsia="仿宋"/>
          <w:sz w:val="32"/>
          <w:szCs w:val="32"/>
          <w:lang w:val="en-US" w:eastAsia="zh-CN"/>
        </w:rPr>
        <w:t>5.86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灾害防治及应急管理支出</w:t>
      </w:r>
      <w:r>
        <w:rPr>
          <w:rFonts w:hint="eastAsia" w:ascii="仿宋" w:hAnsi="仿宋" w:eastAsia="仿宋"/>
          <w:sz w:val="32"/>
          <w:szCs w:val="32"/>
          <w:lang w:val="en-US" w:eastAsia="zh-CN"/>
        </w:rPr>
        <w:t>1.38万元，占0.16%</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drawing>
          <wp:anchor distT="0" distB="0" distL="114300" distR="114300" simplePos="0" relativeHeight="251663360" behindDoc="0" locked="0" layoutInCell="1" allowOverlap="1">
            <wp:simplePos x="0" y="0"/>
            <wp:positionH relativeFrom="column">
              <wp:posOffset>542925</wp:posOffset>
            </wp:positionH>
            <wp:positionV relativeFrom="paragraph">
              <wp:posOffset>211455</wp:posOffset>
            </wp:positionV>
            <wp:extent cx="3956050" cy="2548255"/>
            <wp:effectExtent l="0" t="0" r="6350" b="4445"/>
            <wp:wrapSquare wrapText="bothSides"/>
            <wp:docPr id="6" name="图片 6" descr="图片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图片6"/>
                    <pic:cNvPicPr>
                      <a:picLocks noChangeAspect="true"/>
                    </pic:cNvPicPr>
                  </pic:nvPicPr>
                  <pic:blipFill>
                    <a:blip r:embed="rId15"/>
                    <a:stretch>
                      <a:fillRect/>
                    </a:stretch>
                  </pic:blipFill>
                  <pic:spPr>
                    <a:xfrm>
                      <a:off x="0" y="0"/>
                      <a:ext cx="3956050" cy="2548255"/>
                    </a:xfrm>
                    <a:prstGeom prst="rect">
                      <a:avLst/>
                    </a:prstGeom>
                  </pic:spPr>
                </pic:pic>
              </a:graphicData>
            </a:graphic>
          </wp:anchor>
        </w:drawing>
      </w:r>
    </w:p>
    <w:p>
      <w:pPr>
        <w:pStyle w:val="2"/>
        <w:rPr>
          <w:rFonts w:ascii="仿宋" w:hAnsi="仿宋" w:eastAsia="仿宋"/>
          <w:sz w:val="32"/>
          <w:szCs w:val="32"/>
        </w:rPr>
      </w:pPr>
    </w:p>
    <w:p>
      <w:pPr>
        <w:pStyle w:val="2"/>
        <w:rPr>
          <w:rFonts w:ascii="仿宋" w:hAnsi="仿宋" w:eastAsia="仿宋"/>
          <w:sz w:val="32"/>
          <w:szCs w:val="32"/>
        </w:rPr>
      </w:pPr>
    </w:p>
    <w:p>
      <w:pPr>
        <w:pStyle w:val="2"/>
        <w:rPr>
          <w:rFonts w:hint="eastAsia" w:ascii="仿宋" w:hAnsi="仿宋" w:eastAsia="仿宋"/>
          <w:sz w:val="32"/>
          <w:szCs w:val="32"/>
          <w:lang w:eastAsia="zh-CN"/>
        </w:rPr>
      </w:pPr>
    </w:p>
    <w:p>
      <w:pPr>
        <w:pStyle w:val="2"/>
        <w:rPr>
          <w:rFonts w:hint="eastAsia" w:ascii="仿宋" w:hAnsi="仿宋" w:eastAsia="仿宋"/>
          <w:sz w:val="32"/>
          <w:szCs w:val="32"/>
          <w:lang w:eastAsia="zh-CN"/>
        </w:rPr>
      </w:pPr>
    </w:p>
    <w:p>
      <w:pPr>
        <w:pStyle w:val="2"/>
        <w:rPr>
          <w:rFonts w:hint="eastAsia" w:ascii="仿宋" w:hAnsi="仿宋" w:eastAsia="仿宋"/>
          <w:sz w:val="32"/>
          <w:szCs w:val="32"/>
          <w:lang w:eastAsia="zh-CN"/>
        </w:rPr>
      </w:pPr>
    </w:p>
    <w:p>
      <w:pPr>
        <w:spacing w:line="600" w:lineRule="exact"/>
        <w:ind w:firstLine="642"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2" w:firstLineChars="200"/>
        <w:outlineLvl w:val="2"/>
        <w:rPr>
          <w:rFonts w:ascii="仿宋" w:hAnsi="仿宋" w:eastAsia="仿宋"/>
          <w:sz w:val="32"/>
          <w:szCs w:val="32"/>
        </w:rPr>
      </w:pPr>
      <w:bookmarkStart w:id="31" w:name="_Toc15377444"/>
      <w:bookmarkStart w:id="32" w:name="_Toc15378460"/>
      <w:bookmarkStart w:id="33" w:name="_Toc15377213"/>
      <w:r>
        <w:rPr>
          <w:rFonts w:hint="eastAsia" w:ascii="仿宋" w:hAnsi="仿宋" w:eastAsia="仿宋"/>
          <w:b/>
          <w:sz w:val="32"/>
          <w:szCs w:val="32"/>
        </w:rPr>
        <w:t>2022年一般公共预算支出决算数为885.18</w:t>
      </w:r>
      <w:r>
        <w:rPr>
          <w:rFonts w:hint="eastAsia" w:ascii="仿宋" w:hAnsi="仿宋" w:eastAsia="仿宋"/>
          <w:sz w:val="32"/>
          <w:szCs w:val="32"/>
        </w:rPr>
        <w:t>，</w:t>
      </w:r>
      <w:r>
        <w:rPr>
          <w:rStyle w:val="15"/>
          <w:rFonts w:hint="eastAsia" w:ascii="仿宋" w:hAnsi="仿宋" w:eastAsia="仿宋"/>
          <w:bCs/>
          <w:sz w:val="32"/>
          <w:szCs w:val="32"/>
        </w:rPr>
        <w:t>完成预算</w:t>
      </w:r>
      <w:r>
        <w:rPr>
          <w:rStyle w:val="15"/>
          <w:rFonts w:hint="eastAsia" w:ascii="仿宋" w:hAnsi="仿宋" w:eastAsia="仿宋"/>
          <w:bCs/>
          <w:sz w:val="32"/>
          <w:szCs w:val="32"/>
          <w:lang w:val="en-US" w:eastAsia="zh-CN"/>
        </w:rPr>
        <w:t>100</w:t>
      </w:r>
      <w:r>
        <w:rPr>
          <w:rStyle w:val="15"/>
          <w:rFonts w:ascii="仿宋" w:hAnsi="仿宋" w:eastAsia="仿宋"/>
          <w:bCs/>
          <w:sz w:val="32"/>
          <w:szCs w:val="32"/>
        </w:rPr>
        <w:t>%</w:t>
      </w:r>
      <w:r>
        <w:rPr>
          <w:rStyle w:val="15"/>
          <w:rFonts w:hint="eastAsia" w:ascii="仿宋" w:hAnsi="仿宋" w:eastAsia="仿宋"/>
          <w:bCs/>
          <w:sz w:val="32"/>
          <w:szCs w:val="32"/>
        </w:rPr>
        <w:t>。其中：</w:t>
      </w:r>
      <w:bookmarkEnd w:id="31"/>
      <w:bookmarkEnd w:id="32"/>
      <w:bookmarkEnd w:id="33"/>
    </w:p>
    <w:p>
      <w:pPr>
        <w:spacing w:line="600" w:lineRule="exact"/>
        <w:ind w:firstLine="642" w:firstLineChars="200"/>
        <w:rPr>
          <w:rFonts w:ascii="仿宋" w:hAnsi="仿宋" w:eastAsia="仿宋"/>
          <w:b/>
          <w:sz w:val="32"/>
          <w:szCs w:val="32"/>
        </w:rPr>
      </w:pPr>
      <w:r>
        <w:rPr>
          <w:rStyle w:val="15"/>
          <w:rFonts w:ascii="仿宋" w:hAnsi="仿宋" w:eastAsia="仿宋"/>
          <w:bCs/>
          <w:sz w:val="32"/>
          <w:szCs w:val="32"/>
        </w:rPr>
        <w:t>1.</w:t>
      </w:r>
      <w:r>
        <w:rPr>
          <w:rStyle w:val="15"/>
          <w:rFonts w:hint="eastAsia" w:ascii="仿宋" w:hAnsi="仿宋" w:eastAsia="仿宋"/>
          <w:bCs/>
          <w:sz w:val="32"/>
          <w:szCs w:val="32"/>
        </w:rPr>
        <w:t>一般公共服务（类）组织事务（款）其他组织事务支出（项）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支出决算为7.62万元，完成预算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2" w:firstLineChars="200"/>
        <w:rPr>
          <w:rFonts w:ascii="仿宋" w:hAnsi="仿宋" w:eastAsia="仿宋"/>
          <w:b/>
          <w:sz w:val="32"/>
          <w:szCs w:val="32"/>
        </w:rPr>
      </w:pPr>
      <w:r>
        <w:rPr>
          <w:rStyle w:val="15"/>
          <w:rFonts w:ascii="仿宋" w:hAnsi="仿宋" w:eastAsia="仿宋"/>
          <w:bCs/>
          <w:sz w:val="32"/>
          <w:szCs w:val="32"/>
        </w:rPr>
        <w:t>2.</w:t>
      </w:r>
      <w:r>
        <w:rPr>
          <w:rStyle w:val="15"/>
          <w:rFonts w:hint="eastAsia" w:ascii="仿宋" w:hAnsi="仿宋" w:eastAsia="仿宋"/>
          <w:bCs/>
          <w:sz w:val="32"/>
          <w:szCs w:val="32"/>
        </w:rPr>
        <w:t>科学技术（类）科学技术管理事务（款）行政运行（项）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支出决算为546.92万元，完成预算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r>
        <w:rPr>
          <w:rStyle w:val="15"/>
          <w:rFonts w:hint="eastAsia" w:ascii="仿宋" w:hAnsi="仿宋" w:eastAsia="仿宋"/>
          <w:b w:val="0"/>
          <w:bCs/>
          <w:sz w:val="32"/>
          <w:szCs w:val="32"/>
          <w:lang w:eastAsia="zh-CN"/>
        </w:rPr>
        <w:t>；</w:t>
      </w:r>
      <w:r>
        <w:rPr>
          <w:rStyle w:val="15"/>
          <w:rFonts w:hint="eastAsia" w:ascii="仿宋" w:hAnsi="仿宋" w:eastAsia="仿宋"/>
          <w:bCs/>
          <w:sz w:val="32"/>
          <w:szCs w:val="32"/>
        </w:rPr>
        <w:t>科学技术管理事务（款）</w:t>
      </w:r>
      <w:r>
        <w:rPr>
          <w:rStyle w:val="15"/>
          <w:rFonts w:hint="eastAsia" w:ascii="仿宋" w:hAnsi="仿宋" w:eastAsia="仿宋"/>
          <w:b/>
          <w:bCs w:val="0"/>
          <w:sz w:val="32"/>
          <w:szCs w:val="32"/>
          <w:lang w:eastAsia="zh-CN"/>
        </w:rPr>
        <w:t>其他科学技术管理事务支出</w:t>
      </w:r>
      <w:r>
        <w:rPr>
          <w:rStyle w:val="15"/>
          <w:rFonts w:hint="eastAsia" w:ascii="仿宋" w:hAnsi="仿宋" w:eastAsia="仿宋"/>
          <w:b/>
          <w:bCs w:val="0"/>
          <w:sz w:val="32"/>
          <w:szCs w:val="32"/>
        </w:rPr>
        <w:t>（项</w:t>
      </w:r>
      <w:r>
        <w:rPr>
          <w:rStyle w:val="15"/>
          <w:rFonts w:hint="eastAsia" w:ascii="仿宋" w:hAnsi="仿宋" w:eastAsia="仿宋"/>
          <w:bCs/>
          <w:sz w:val="32"/>
          <w:szCs w:val="32"/>
        </w:rPr>
        <w:t>）</w:t>
      </w:r>
      <w:r>
        <w:rPr>
          <w:rStyle w:val="15"/>
          <w:rFonts w:hint="eastAsia" w:ascii="仿宋" w:hAnsi="仿宋" w:eastAsia="仿宋"/>
          <w:bCs/>
          <w:sz w:val="32"/>
          <w:szCs w:val="32"/>
          <w:lang w:eastAsia="zh-CN"/>
        </w:rPr>
        <w:t>：</w:t>
      </w:r>
      <w:r>
        <w:rPr>
          <w:rStyle w:val="15"/>
          <w:rFonts w:hint="eastAsia" w:ascii="仿宋" w:hAnsi="仿宋" w:eastAsia="仿宋"/>
          <w:b w:val="0"/>
          <w:bCs/>
          <w:sz w:val="32"/>
          <w:szCs w:val="32"/>
        </w:rPr>
        <w:t>支出决算为2.87万元，完成预算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r>
        <w:rPr>
          <w:rStyle w:val="15"/>
          <w:rFonts w:hint="eastAsia" w:ascii="仿宋" w:hAnsi="仿宋" w:eastAsia="仿宋"/>
          <w:b w:val="0"/>
          <w:bCs/>
          <w:sz w:val="32"/>
          <w:szCs w:val="32"/>
          <w:lang w:eastAsia="zh-CN"/>
        </w:rPr>
        <w:t>；</w:t>
      </w:r>
      <w:r>
        <w:rPr>
          <w:rStyle w:val="15"/>
          <w:rFonts w:hint="eastAsia" w:ascii="仿宋" w:hAnsi="仿宋" w:eastAsia="仿宋"/>
          <w:bCs/>
          <w:sz w:val="32"/>
          <w:szCs w:val="32"/>
        </w:rPr>
        <w:t>其他科学技术支出（款）</w:t>
      </w:r>
      <w:r>
        <w:rPr>
          <w:rStyle w:val="15"/>
          <w:rFonts w:hint="eastAsia" w:ascii="仿宋" w:hAnsi="仿宋" w:eastAsia="仿宋"/>
          <w:b/>
          <w:bCs w:val="0"/>
          <w:sz w:val="32"/>
          <w:szCs w:val="32"/>
          <w:lang w:eastAsia="zh-CN"/>
        </w:rPr>
        <w:t xml:space="preserve"> 其他科学技术支出</w:t>
      </w:r>
      <w:r>
        <w:rPr>
          <w:rStyle w:val="15"/>
          <w:rFonts w:hint="eastAsia" w:ascii="仿宋" w:hAnsi="仿宋" w:eastAsia="仿宋"/>
          <w:b/>
          <w:bCs w:val="0"/>
          <w:sz w:val="32"/>
          <w:szCs w:val="32"/>
        </w:rPr>
        <w:t>（项</w:t>
      </w:r>
      <w:r>
        <w:rPr>
          <w:rStyle w:val="15"/>
          <w:rFonts w:hint="eastAsia" w:ascii="仿宋" w:hAnsi="仿宋" w:eastAsia="仿宋"/>
          <w:bCs/>
          <w:sz w:val="32"/>
          <w:szCs w:val="32"/>
        </w:rPr>
        <w:t>）</w:t>
      </w:r>
      <w:r>
        <w:rPr>
          <w:rStyle w:val="15"/>
          <w:rFonts w:hint="eastAsia" w:ascii="仿宋" w:hAnsi="仿宋" w:eastAsia="仿宋"/>
          <w:bCs/>
          <w:sz w:val="32"/>
          <w:szCs w:val="32"/>
          <w:lang w:eastAsia="zh-CN"/>
        </w:rPr>
        <w:t>：</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86.96</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2" w:firstLineChars="200"/>
        <w:rPr>
          <w:rFonts w:hint="eastAsia" w:ascii="仿宋" w:hAnsi="仿宋" w:eastAsia="仿宋"/>
          <w:b/>
          <w:sz w:val="32"/>
          <w:szCs w:val="32"/>
          <w:lang w:eastAsia="zh-CN"/>
        </w:rPr>
      </w:pPr>
      <w:r>
        <w:rPr>
          <w:rStyle w:val="15"/>
          <w:rFonts w:hint="eastAsia" w:ascii="仿宋" w:hAnsi="仿宋" w:eastAsia="仿宋"/>
          <w:bCs/>
          <w:sz w:val="32"/>
          <w:szCs w:val="32"/>
          <w:lang w:val="en-US" w:eastAsia="zh-CN"/>
        </w:rPr>
        <w:t>3</w:t>
      </w:r>
      <w:r>
        <w:rPr>
          <w:rStyle w:val="15"/>
          <w:rFonts w:ascii="仿宋" w:hAnsi="仿宋" w:eastAsia="仿宋"/>
          <w:bCs/>
          <w:sz w:val="32"/>
          <w:szCs w:val="32"/>
        </w:rPr>
        <w:t>.</w:t>
      </w:r>
      <w:r>
        <w:rPr>
          <w:rStyle w:val="15"/>
          <w:rFonts w:hint="eastAsia" w:ascii="仿宋" w:hAnsi="仿宋" w:eastAsia="仿宋"/>
          <w:bCs/>
          <w:sz w:val="32"/>
          <w:szCs w:val="32"/>
        </w:rPr>
        <w:t>社会保障和就业（类）人力资源和社会保障管理事务（款）其他人力资源和社会保障管理事务支出（项）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0.23</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r>
        <w:rPr>
          <w:rStyle w:val="15"/>
          <w:rFonts w:hint="eastAsia" w:ascii="仿宋" w:hAnsi="仿宋" w:eastAsia="仿宋"/>
          <w:b w:val="0"/>
          <w:bCs/>
          <w:sz w:val="32"/>
          <w:szCs w:val="32"/>
          <w:lang w:eastAsia="zh-CN"/>
        </w:rPr>
        <w:t>；</w:t>
      </w:r>
      <w:r>
        <w:rPr>
          <w:rStyle w:val="15"/>
          <w:rFonts w:hint="eastAsia" w:ascii="仿宋" w:hAnsi="仿宋" w:eastAsia="仿宋"/>
          <w:b/>
          <w:bCs w:val="0"/>
          <w:sz w:val="32"/>
          <w:szCs w:val="32"/>
          <w:lang w:eastAsia="zh-CN"/>
        </w:rPr>
        <w:t>行政事业单位养老支出</w:t>
      </w:r>
      <w:r>
        <w:rPr>
          <w:rStyle w:val="15"/>
          <w:rFonts w:hint="eastAsia" w:ascii="仿宋" w:hAnsi="仿宋" w:eastAsia="仿宋"/>
          <w:bCs/>
          <w:sz w:val="32"/>
          <w:szCs w:val="32"/>
        </w:rPr>
        <w:t>（款）行政单位离退休（项）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143.62</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r>
        <w:rPr>
          <w:rStyle w:val="15"/>
          <w:rFonts w:hint="eastAsia" w:ascii="仿宋" w:hAnsi="仿宋" w:eastAsia="仿宋"/>
          <w:b w:val="0"/>
          <w:bCs/>
          <w:sz w:val="32"/>
          <w:szCs w:val="32"/>
          <w:lang w:eastAsia="zh-CN"/>
        </w:rPr>
        <w:t>；</w:t>
      </w:r>
      <w:r>
        <w:rPr>
          <w:rStyle w:val="15"/>
          <w:rFonts w:hint="eastAsia" w:ascii="仿宋" w:hAnsi="仿宋" w:eastAsia="仿宋"/>
          <w:b/>
          <w:bCs w:val="0"/>
          <w:sz w:val="32"/>
          <w:szCs w:val="32"/>
          <w:lang w:eastAsia="zh-CN"/>
        </w:rPr>
        <w:t>行政事业单位养老支出</w:t>
      </w:r>
      <w:r>
        <w:rPr>
          <w:rStyle w:val="15"/>
          <w:rFonts w:hint="eastAsia" w:ascii="仿宋" w:hAnsi="仿宋" w:eastAsia="仿宋"/>
          <w:bCs/>
          <w:sz w:val="32"/>
          <w:szCs w:val="32"/>
        </w:rPr>
        <w:t>（款）机关事业单位基本养老保险缴费支出（项）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39.61</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r>
        <w:rPr>
          <w:rStyle w:val="15"/>
          <w:rFonts w:hint="eastAsia" w:ascii="仿宋" w:hAnsi="仿宋" w:eastAsia="仿宋"/>
          <w:b w:val="0"/>
          <w:bCs/>
          <w:sz w:val="32"/>
          <w:szCs w:val="32"/>
          <w:lang w:eastAsia="zh-CN"/>
        </w:rPr>
        <w:t>；</w:t>
      </w:r>
      <w:r>
        <w:rPr>
          <w:rStyle w:val="15"/>
          <w:rFonts w:hint="eastAsia" w:ascii="仿宋" w:hAnsi="仿宋" w:eastAsia="仿宋"/>
          <w:b/>
          <w:bCs w:val="0"/>
          <w:sz w:val="32"/>
          <w:szCs w:val="32"/>
          <w:lang w:eastAsia="zh-CN"/>
        </w:rPr>
        <w:t>抚恤</w:t>
      </w:r>
      <w:r>
        <w:rPr>
          <w:rStyle w:val="15"/>
          <w:rFonts w:hint="eastAsia" w:ascii="仿宋" w:hAnsi="仿宋" w:eastAsia="仿宋"/>
          <w:bCs/>
          <w:sz w:val="32"/>
          <w:szCs w:val="32"/>
        </w:rPr>
        <w:t>（款）死亡抚恤</w:t>
      </w:r>
      <w:r>
        <w:rPr>
          <w:rStyle w:val="15"/>
          <w:rFonts w:hint="eastAsia" w:ascii="仿宋" w:hAnsi="仿宋" w:eastAsia="仿宋"/>
          <w:bCs/>
          <w:sz w:val="32"/>
          <w:szCs w:val="32"/>
          <w:lang w:eastAsia="zh-CN"/>
        </w:rPr>
        <w:t>（项目）：</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2.72</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r>
        <w:rPr>
          <w:rStyle w:val="15"/>
          <w:rFonts w:hint="eastAsia" w:ascii="仿宋" w:hAnsi="仿宋" w:eastAsia="仿宋"/>
          <w:b w:val="0"/>
          <w:bCs/>
          <w:sz w:val="32"/>
          <w:szCs w:val="32"/>
          <w:lang w:eastAsia="zh-CN"/>
        </w:rPr>
        <w:t>；</w:t>
      </w:r>
      <w:r>
        <w:rPr>
          <w:rStyle w:val="15"/>
          <w:rFonts w:hint="eastAsia" w:ascii="仿宋" w:hAnsi="仿宋" w:eastAsia="仿宋"/>
          <w:b/>
          <w:bCs w:val="0"/>
          <w:sz w:val="32"/>
          <w:szCs w:val="32"/>
          <w:lang w:eastAsia="zh-CN"/>
        </w:rPr>
        <w:t>社会福利</w:t>
      </w:r>
      <w:r>
        <w:rPr>
          <w:rStyle w:val="15"/>
          <w:rFonts w:hint="eastAsia" w:ascii="仿宋" w:hAnsi="仿宋" w:eastAsia="仿宋"/>
          <w:bCs/>
          <w:sz w:val="32"/>
          <w:szCs w:val="32"/>
        </w:rPr>
        <w:t>（款）儿童福利</w:t>
      </w:r>
      <w:r>
        <w:rPr>
          <w:rStyle w:val="15"/>
          <w:rFonts w:hint="eastAsia" w:ascii="仿宋" w:hAnsi="仿宋" w:eastAsia="仿宋"/>
          <w:bCs/>
          <w:sz w:val="32"/>
          <w:szCs w:val="32"/>
          <w:lang w:eastAsia="zh-CN"/>
        </w:rPr>
        <w:t>（项目）：</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1.07</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r>
        <w:rPr>
          <w:rStyle w:val="15"/>
          <w:rFonts w:hint="eastAsia" w:ascii="仿宋" w:hAnsi="仿宋" w:eastAsia="仿宋"/>
          <w:b w:val="0"/>
          <w:bCs/>
          <w:sz w:val="32"/>
          <w:szCs w:val="32"/>
          <w:lang w:eastAsia="zh-CN"/>
        </w:rPr>
        <w:t>。</w:t>
      </w:r>
    </w:p>
    <w:p>
      <w:pPr>
        <w:spacing w:line="600" w:lineRule="exact"/>
        <w:ind w:firstLine="642" w:firstLineChars="200"/>
        <w:rPr>
          <w:rFonts w:ascii="仿宋" w:hAnsi="仿宋" w:eastAsia="仿宋"/>
          <w:b/>
          <w:sz w:val="32"/>
          <w:szCs w:val="32"/>
        </w:rPr>
      </w:pPr>
      <w:r>
        <w:rPr>
          <w:rStyle w:val="15"/>
          <w:rFonts w:hint="eastAsia" w:ascii="仿宋" w:hAnsi="仿宋" w:eastAsia="仿宋"/>
          <w:bCs/>
          <w:sz w:val="32"/>
          <w:szCs w:val="32"/>
          <w:lang w:val="en-US" w:eastAsia="zh-CN"/>
        </w:rPr>
        <w:t>4</w:t>
      </w:r>
      <w:r>
        <w:rPr>
          <w:rStyle w:val="15"/>
          <w:rFonts w:ascii="仿宋" w:hAnsi="仿宋" w:eastAsia="仿宋"/>
          <w:bCs/>
          <w:sz w:val="32"/>
          <w:szCs w:val="32"/>
        </w:rPr>
        <w:t>.</w:t>
      </w:r>
      <w:r>
        <w:rPr>
          <w:rFonts w:hint="eastAsia" w:ascii="仿宋" w:hAnsi="仿宋" w:eastAsia="仿宋"/>
          <w:b/>
          <w:bCs/>
          <w:sz w:val="32"/>
          <w:szCs w:val="32"/>
        </w:rPr>
        <w:t>卫生健康</w:t>
      </w:r>
      <w:r>
        <w:rPr>
          <w:rStyle w:val="15"/>
          <w:rFonts w:hint="eastAsia" w:ascii="仿宋" w:hAnsi="仿宋" w:eastAsia="仿宋"/>
          <w:bCs/>
          <w:sz w:val="32"/>
          <w:szCs w:val="32"/>
        </w:rPr>
        <w:t>（类）其他卫生健康支出（款）其他卫生健康支出（项）</w:t>
      </w:r>
      <w:r>
        <w:rPr>
          <w:rStyle w:val="15"/>
          <w:rFonts w:ascii="仿宋" w:hAnsi="仿宋" w:eastAsia="仿宋"/>
          <w:bCs/>
          <w:sz w:val="32"/>
          <w:szCs w:val="32"/>
        </w:rPr>
        <w:t>:</w:t>
      </w:r>
      <w:r>
        <w:rPr>
          <w:rStyle w:val="15"/>
          <w:rFonts w:hint="eastAsia" w:ascii="仿宋" w:hAnsi="仿宋" w:eastAsia="仿宋"/>
          <w:b w:val="0"/>
          <w:bCs/>
          <w:sz w:val="32"/>
          <w:szCs w:val="32"/>
        </w:rPr>
        <w:t>支出决算为0.36万元，完成预算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2" w:firstLineChars="200"/>
        <w:rPr>
          <w:rFonts w:ascii="仿宋" w:hAnsi="仿宋" w:eastAsia="仿宋"/>
          <w:b/>
          <w:sz w:val="32"/>
          <w:szCs w:val="32"/>
        </w:rPr>
      </w:pPr>
      <w:r>
        <w:rPr>
          <w:rStyle w:val="15"/>
          <w:rFonts w:hint="eastAsia" w:ascii="仿宋" w:hAnsi="仿宋" w:eastAsia="仿宋"/>
          <w:bCs/>
          <w:sz w:val="32"/>
          <w:szCs w:val="32"/>
          <w:lang w:val="en-US" w:eastAsia="zh-CN"/>
        </w:rPr>
        <w:t>5</w:t>
      </w:r>
      <w:r>
        <w:rPr>
          <w:rStyle w:val="15"/>
          <w:rFonts w:ascii="仿宋" w:hAnsi="仿宋" w:eastAsia="仿宋"/>
          <w:bCs/>
          <w:sz w:val="32"/>
          <w:szCs w:val="32"/>
        </w:rPr>
        <w:t>.</w:t>
      </w:r>
      <w:r>
        <w:rPr>
          <w:rFonts w:hint="eastAsia" w:ascii="仿宋" w:hAnsi="仿宋" w:eastAsia="仿宋"/>
          <w:b/>
          <w:bCs/>
          <w:sz w:val="32"/>
          <w:szCs w:val="32"/>
        </w:rPr>
        <w:t>住房保障支出</w:t>
      </w:r>
      <w:r>
        <w:rPr>
          <w:rStyle w:val="15"/>
          <w:rFonts w:hint="eastAsia" w:ascii="仿宋" w:hAnsi="仿宋" w:eastAsia="仿宋"/>
          <w:bCs/>
          <w:sz w:val="32"/>
          <w:szCs w:val="32"/>
        </w:rPr>
        <w:t>（类）住房改革支出（款）住房公积金（项）</w:t>
      </w:r>
      <w:r>
        <w:rPr>
          <w:rStyle w:val="15"/>
          <w:rFonts w:ascii="仿宋" w:hAnsi="仿宋" w:eastAsia="仿宋"/>
          <w:bCs/>
          <w:sz w:val="32"/>
          <w:szCs w:val="32"/>
        </w:rPr>
        <w:t>:</w:t>
      </w:r>
      <w:r>
        <w:rPr>
          <w:rStyle w:val="15"/>
          <w:rFonts w:hint="eastAsia" w:ascii="仿宋" w:hAnsi="仿宋" w:eastAsia="仿宋"/>
          <w:b w:val="0"/>
          <w:bCs/>
          <w:sz w:val="32"/>
          <w:szCs w:val="32"/>
        </w:rPr>
        <w:t>支出决算为51.83万元，完成预算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0"/>
        <w:rPr>
          <w:rFonts w:hint="default" w:ascii="仿宋" w:hAnsi="仿宋" w:eastAsia="仿宋"/>
          <w:b/>
          <w:sz w:val="32"/>
          <w:szCs w:val="32"/>
          <w:lang w:val="en-US" w:eastAsia="zh-CN"/>
        </w:rPr>
      </w:pPr>
      <w:r>
        <w:rPr>
          <w:rFonts w:hint="eastAsia" w:ascii="仿宋" w:hAnsi="仿宋" w:eastAsia="仿宋"/>
          <w:b/>
          <w:sz w:val="32"/>
          <w:szCs w:val="32"/>
          <w:lang w:val="en-US" w:eastAsia="zh-CN"/>
        </w:rPr>
        <w:t>6.</w:t>
      </w:r>
      <w:r>
        <w:rPr>
          <w:rFonts w:hint="eastAsia" w:ascii="仿宋" w:hAnsi="仿宋" w:eastAsia="仿宋"/>
          <w:b/>
          <w:bCs/>
          <w:sz w:val="32"/>
          <w:szCs w:val="32"/>
        </w:rPr>
        <w:t>灾害防治及应急管理支出</w:t>
      </w:r>
      <w:r>
        <w:rPr>
          <w:rStyle w:val="15"/>
          <w:rFonts w:hint="eastAsia" w:ascii="仿宋" w:hAnsi="仿宋" w:eastAsia="仿宋"/>
          <w:bCs/>
          <w:sz w:val="32"/>
          <w:szCs w:val="32"/>
        </w:rPr>
        <w:t>（类）应急管理事务（款）行政运行（项）</w:t>
      </w:r>
      <w:r>
        <w:rPr>
          <w:rStyle w:val="15"/>
          <w:rFonts w:ascii="仿宋" w:hAnsi="仿宋" w:eastAsia="仿宋"/>
          <w:bCs/>
          <w:sz w:val="32"/>
          <w:szCs w:val="32"/>
        </w:rPr>
        <w:t>:</w:t>
      </w:r>
      <w:r>
        <w:rPr>
          <w:rStyle w:val="15"/>
          <w:rFonts w:hint="eastAsia" w:ascii="仿宋" w:hAnsi="仿宋" w:eastAsia="仿宋"/>
          <w:b w:val="0"/>
          <w:bCs/>
          <w:sz w:val="32"/>
          <w:szCs w:val="32"/>
        </w:rPr>
        <w:t>支出决算为1.38万元，完成预算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tabs>
          <w:tab w:val="right" w:pos="8306"/>
        </w:tabs>
        <w:spacing w:line="600" w:lineRule="exact"/>
        <w:ind w:firstLine="640"/>
        <w:outlineLvl w:val="1"/>
        <w:rPr>
          <w:rStyle w:val="26"/>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4"/>
      <w:bookmarkEnd w:id="35"/>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22年一般公共预算财政拨款基本支出786.07万元，其中：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人员经费699.43万元，主要包括：基本工资、津贴补贴、奖金、机关事业单位基本养老保险缴费</w:t>
      </w:r>
      <w:r>
        <w:rPr>
          <w:rFonts w:hint="eastAsia" w:ascii="仿宋" w:hAnsi="仿宋" w:eastAsia="仿宋"/>
          <w:sz w:val="32"/>
          <w:szCs w:val="32"/>
          <w:lang w:eastAsia="zh-CN"/>
        </w:rPr>
        <w:t>、</w:t>
      </w:r>
      <w:r>
        <w:rPr>
          <w:rFonts w:hint="eastAsia" w:ascii="仿宋" w:hAnsi="仿宋" w:eastAsia="仿宋"/>
          <w:sz w:val="32"/>
          <w:szCs w:val="32"/>
        </w:rPr>
        <w:t>职工基本医疗保险缴费</w:t>
      </w:r>
      <w:r>
        <w:rPr>
          <w:rFonts w:hint="eastAsia" w:ascii="仿宋" w:hAnsi="仿宋" w:eastAsia="仿宋"/>
          <w:sz w:val="32"/>
          <w:szCs w:val="32"/>
          <w:lang w:eastAsia="zh-CN"/>
        </w:rPr>
        <w:t>、公务员医疗补助缴费</w:t>
      </w:r>
      <w:r>
        <w:rPr>
          <w:rFonts w:hint="eastAsia" w:ascii="仿宋" w:hAnsi="仿宋" w:eastAsia="仿宋"/>
          <w:sz w:val="32"/>
          <w:szCs w:val="32"/>
        </w:rPr>
        <w:t>、住房公积金、其他工资福利支出、对个人和家庭的补助</w:t>
      </w:r>
      <w:r>
        <w:rPr>
          <w:rFonts w:hint="eastAsia" w:ascii="仿宋" w:hAnsi="仿宋" w:eastAsia="仿宋"/>
          <w:sz w:val="32"/>
          <w:szCs w:val="32"/>
          <w:lang w:eastAsia="zh-CN"/>
        </w:rPr>
        <w:t>、</w:t>
      </w:r>
      <w:r>
        <w:rPr>
          <w:rFonts w:hint="eastAsia" w:ascii="仿宋" w:hAnsi="仿宋" w:eastAsia="仿宋"/>
          <w:sz w:val="32"/>
          <w:szCs w:val="32"/>
        </w:rPr>
        <w:t>离休费、抚恤金、生活补助、医疗费补助。</w:t>
      </w:r>
      <w:r>
        <w:rPr>
          <w:rFonts w:ascii="仿宋" w:hAnsi="仿宋" w:eastAsia="仿宋"/>
          <w:sz w:val="32"/>
          <w:szCs w:val="32"/>
        </w:rPr>
        <w:br w:type="textWrapping"/>
      </w:r>
      <w:r>
        <w:rPr>
          <w:rFonts w:hint="eastAsia" w:ascii="仿宋" w:hAnsi="仿宋" w:eastAsia="仿宋"/>
          <w:sz w:val="32"/>
          <w:szCs w:val="32"/>
        </w:rPr>
        <w:t>　　公用经费86.64万元，主要包括：办公费、水费、电费、邮电费、物业管理费、差旅费、会议费、培训费、公务接待费、劳务费、工会经费、福利费、公务用车运行维护费、其他交通费、其他商品和服务支出。</w:t>
      </w:r>
    </w:p>
    <w:p>
      <w:pPr>
        <w:spacing w:line="600" w:lineRule="exact"/>
        <w:ind w:firstLine="640"/>
        <w:outlineLvl w:val="1"/>
        <w:rPr>
          <w:rStyle w:val="26"/>
          <w:rFonts w:ascii="黑体" w:hAnsi="黑体" w:eastAsia="黑体"/>
          <w:b w:val="0"/>
        </w:rPr>
      </w:pPr>
      <w:bookmarkStart w:id="36" w:name="_Toc15377215"/>
      <w:bookmarkStart w:id="37" w:name="_Toc15396609"/>
      <w:r>
        <w:rPr>
          <w:rFonts w:hint="eastAsia" w:ascii="黑体" w:eastAsia="黑体"/>
          <w:sz w:val="32"/>
          <w:szCs w:val="32"/>
        </w:rPr>
        <w:t>七、</w:t>
      </w:r>
      <w:r>
        <w:rPr>
          <w:rStyle w:val="26"/>
          <w:rFonts w:hint="eastAsia" w:ascii="黑体" w:hAnsi="黑体" w:eastAsia="黑体"/>
          <w:b w:val="0"/>
        </w:rPr>
        <w:t>财政拨款</w:t>
      </w:r>
      <w:r>
        <w:rPr>
          <w:rStyle w:val="26"/>
          <w:rFonts w:hint="eastAsia" w:ascii="黑体" w:hAnsi="黑体" w:eastAsia="黑体"/>
        </w:rPr>
        <w:t>“</w:t>
      </w:r>
      <w:r>
        <w:rPr>
          <w:rStyle w:val="26"/>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22年“三公”经费财政拨款支出决算为3.93万元，完成预算</w:t>
      </w:r>
      <w:r>
        <w:rPr>
          <w:rFonts w:hint="eastAsia" w:ascii="仿宋" w:hAnsi="仿宋" w:eastAsia="仿宋"/>
          <w:sz w:val="32"/>
          <w:szCs w:val="32"/>
          <w:lang w:val="en-US" w:eastAsia="zh-CN"/>
        </w:rPr>
        <w:t>73.6</w:t>
      </w:r>
      <w:r>
        <w:rPr>
          <w:rFonts w:ascii="仿宋" w:hAnsi="仿宋" w:eastAsia="仿宋"/>
          <w:sz w:val="32"/>
          <w:szCs w:val="32"/>
        </w:rPr>
        <w:t>%</w:t>
      </w:r>
      <w:r>
        <w:rPr>
          <w:rFonts w:hint="eastAsia" w:ascii="仿宋" w:hAnsi="仿宋" w:eastAsia="仿宋"/>
          <w:sz w:val="32"/>
          <w:szCs w:val="32"/>
        </w:rPr>
        <w:t>，较上年2.32增加</w:t>
      </w:r>
      <w:r>
        <w:rPr>
          <w:rFonts w:hint="eastAsia" w:ascii="仿宋" w:hAnsi="仿宋" w:eastAsia="仿宋"/>
          <w:sz w:val="32"/>
          <w:szCs w:val="32"/>
          <w:lang w:val="en-US" w:eastAsia="zh-CN"/>
        </w:rPr>
        <w:t>1.61</w:t>
      </w:r>
      <w:r>
        <w:rPr>
          <w:rFonts w:hint="eastAsia" w:ascii="仿宋" w:hAnsi="仿宋" w:eastAsia="仿宋"/>
          <w:sz w:val="32"/>
          <w:szCs w:val="32"/>
        </w:rPr>
        <w:t>万元，增长</w:t>
      </w:r>
      <w:r>
        <w:rPr>
          <w:rFonts w:hint="eastAsia" w:ascii="仿宋" w:hAnsi="仿宋" w:eastAsia="仿宋"/>
          <w:sz w:val="32"/>
          <w:szCs w:val="32"/>
          <w:lang w:val="en-US" w:eastAsia="zh-CN"/>
        </w:rPr>
        <w:t>69.4</w:t>
      </w:r>
      <w:r>
        <w:rPr>
          <w:rFonts w:hint="eastAsia" w:ascii="仿宋" w:hAnsi="仿宋" w:eastAsia="仿宋"/>
          <w:sz w:val="32"/>
          <w:szCs w:val="32"/>
        </w:rPr>
        <w:t>%。决算数小于预算数的主要原因是</w:t>
      </w:r>
      <w:r>
        <w:rPr>
          <w:rFonts w:hint="eastAsia" w:ascii="仿宋" w:hAnsi="仿宋" w:eastAsia="仿宋"/>
          <w:sz w:val="32"/>
          <w:szCs w:val="32"/>
          <w:lang w:eastAsia="zh-CN"/>
        </w:rPr>
        <w:t>严控“三公”经费支出</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3.51</w:t>
      </w:r>
      <w:r>
        <w:rPr>
          <w:rFonts w:hint="eastAsia" w:ascii="仿宋" w:hAnsi="仿宋" w:eastAsia="仿宋"/>
          <w:sz w:val="32"/>
          <w:szCs w:val="32"/>
        </w:rPr>
        <w:t>万元，占</w:t>
      </w:r>
      <w:r>
        <w:rPr>
          <w:rFonts w:hint="eastAsia" w:ascii="仿宋" w:hAnsi="仿宋" w:eastAsia="仿宋"/>
          <w:sz w:val="32"/>
          <w:szCs w:val="32"/>
          <w:lang w:val="en-US" w:eastAsia="zh-CN"/>
        </w:rPr>
        <w:t>89.31</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0.41</w:t>
      </w:r>
      <w:r>
        <w:rPr>
          <w:rFonts w:hint="eastAsia" w:ascii="仿宋" w:hAnsi="仿宋" w:eastAsia="仿宋"/>
          <w:sz w:val="32"/>
          <w:szCs w:val="32"/>
        </w:rPr>
        <w:t>万元，占</w:t>
      </w:r>
      <w:r>
        <w:rPr>
          <w:rFonts w:hint="eastAsia" w:ascii="仿宋" w:hAnsi="仿宋" w:eastAsia="仿宋"/>
          <w:sz w:val="32"/>
          <w:szCs w:val="32"/>
          <w:lang w:val="en-US" w:eastAsia="zh-CN"/>
        </w:rPr>
        <w:t>10.69</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hint="eastAsia" w:ascii="仿宋" w:hAnsi="仿宋" w:eastAsia="仿宋"/>
          <w:sz w:val="32"/>
          <w:szCs w:val="32"/>
        </w:rPr>
      </w:pPr>
      <w:r>
        <w:rPr>
          <w:rFonts w:hint="eastAsia" w:ascii="仿宋" w:hAnsi="仿宋" w:eastAsia="仿宋"/>
          <w:sz w:val="32"/>
          <w:szCs w:val="32"/>
        </w:rPr>
        <w:t>（图7：“三公”经费财政拨款支出结构）（饼状图）</w:t>
      </w:r>
    </w:p>
    <w:p>
      <w:pPr>
        <w:pStyle w:val="2"/>
        <w:rPr>
          <w:rFonts w:hint="eastAsia" w:ascii="仿宋" w:hAnsi="仿宋" w:eastAsia="仿宋"/>
          <w:sz w:val="32"/>
          <w:szCs w:val="32"/>
        </w:rPr>
      </w:pPr>
      <w:r>
        <w:rPr>
          <w:rFonts w:hint="eastAsia" w:ascii="仿宋" w:hAnsi="仿宋" w:eastAsia="仿宋"/>
          <w:sz w:val="32"/>
          <w:szCs w:val="32"/>
          <w:lang w:eastAsia="zh-CN"/>
        </w:rPr>
        <w:drawing>
          <wp:anchor distT="0" distB="0" distL="114300" distR="114300" simplePos="0" relativeHeight="251664384" behindDoc="0" locked="0" layoutInCell="1" allowOverlap="1">
            <wp:simplePos x="0" y="0"/>
            <wp:positionH relativeFrom="column">
              <wp:posOffset>476250</wp:posOffset>
            </wp:positionH>
            <wp:positionV relativeFrom="paragraph">
              <wp:posOffset>95885</wp:posOffset>
            </wp:positionV>
            <wp:extent cx="3956050" cy="2548255"/>
            <wp:effectExtent l="0" t="0" r="6350" b="4445"/>
            <wp:wrapSquare wrapText="bothSides"/>
            <wp:docPr id="7" name="图片 7" descr="图片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图片7"/>
                    <pic:cNvPicPr>
                      <a:picLocks noChangeAspect="true"/>
                    </pic:cNvPicPr>
                  </pic:nvPicPr>
                  <pic:blipFill>
                    <a:blip r:embed="rId16"/>
                    <a:stretch>
                      <a:fillRect/>
                    </a:stretch>
                  </pic:blipFill>
                  <pic:spPr>
                    <a:xfrm>
                      <a:off x="0" y="0"/>
                      <a:ext cx="3956050" cy="2548255"/>
                    </a:xfrm>
                    <a:prstGeom prst="rect">
                      <a:avLst/>
                    </a:prstGeom>
                  </pic:spPr>
                </pic:pic>
              </a:graphicData>
            </a:graphic>
          </wp:anchor>
        </w:drawing>
      </w: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lang w:eastAsia="zh-CN"/>
        </w:rPr>
      </w:pPr>
    </w:p>
    <w:p>
      <w:pPr>
        <w:pStyle w:val="2"/>
        <w:rPr>
          <w:rFonts w:hint="eastAsia" w:ascii="仿宋" w:hAnsi="仿宋" w:eastAsia="仿宋"/>
          <w:sz w:val="32"/>
          <w:szCs w:val="32"/>
          <w:lang w:eastAsia="zh-CN"/>
        </w:rPr>
      </w:pPr>
    </w:p>
    <w:p>
      <w:pPr>
        <w:pStyle w:val="2"/>
        <w:rPr>
          <w:rFonts w:hint="eastAsia" w:ascii="仿宋" w:hAnsi="仿宋" w:eastAsia="仿宋"/>
          <w:sz w:val="32"/>
          <w:szCs w:val="32"/>
          <w:lang w:eastAsia="zh-CN"/>
        </w:rPr>
      </w:pP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w:t>
      </w:r>
      <w:r>
        <w:rPr>
          <w:rFonts w:hint="eastAsia" w:ascii="仿宋_GB2312" w:eastAsia="仿宋_GB2312"/>
          <w:sz w:val="32"/>
          <w:szCs w:val="32"/>
          <w:lang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持平</w:t>
      </w:r>
      <w:r>
        <w:rPr>
          <w:rFonts w:hint="eastAsia" w:ascii="仿宋_GB2312" w:eastAsia="仿宋_GB2312"/>
          <w:sz w:val="32"/>
          <w:szCs w:val="32"/>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ind w:firstLine="642" w:firstLineChars="200"/>
        <w:rPr>
          <w:rStyle w:val="15"/>
          <w:rFonts w:hint="eastAsia" w:ascii="仿宋" w:hAnsi="仿宋" w:eastAsia="仿宋" w:cstheme="minorBidi"/>
          <w:b w:val="0"/>
          <w:bCs/>
          <w:sz w:val="32"/>
          <w:szCs w:val="32"/>
          <w:lang w:eastAsia="zh-CN"/>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3.51</w:t>
      </w:r>
      <w:r>
        <w:rPr>
          <w:rFonts w:hint="eastAsia" w:ascii="仿宋_GB2312" w:eastAsia="仿宋_GB2312"/>
          <w:sz w:val="32"/>
          <w:szCs w:val="32"/>
        </w:rPr>
        <w:t>万元,</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86.67</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2.79</w:t>
      </w:r>
      <w:r>
        <w:rPr>
          <w:rFonts w:hint="eastAsia" w:ascii="仿宋_GB2312" w:eastAsia="仿宋_GB2312"/>
          <w:sz w:val="32"/>
          <w:szCs w:val="32"/>
        </w:rPr>
        <w:t>万元，增长</w:t>
      </w:r>
      <w:r>
        <w:rPr>
          <w:rFonts w:hint="eastAsia" w:ascii="仿宋_GB2312" w:eastAsia="仿宋_GB2312"/>
          <w:sz w:val="32"/>
          <w:szCs w:val="32"/>
          <w:lang w:val="en-US" w:eastAsia="zh-CN"/>
        </w:rPr>
        <w:t>387.5</w:t>
      </w:r>
      <w:r>
        <w:rPr>
          <w:rFonts w:ascii="仿宋_GB2312" w:eastAsia="仿宋_GB2312"/>
          <w:sz w:val="32"/>
          <w:szCs w:val="32"/>
        </w:rPr>
        <w:t>%</w:t>
      </w:r>
      <w:r>
        <w:rPr>
          <w:rFonts w:hint="eastAsia" w:ascii="仿宋_GB2312" w:eastAsia="仿宋_GB2312"/>
          <w:sz w:val="32"/>
          <w:szCs w:val="32"/>
        </w:rPr>
        <w:t>。主要原因</w:t>
      </w:r>
      <w:r>
        <w:rPr>
          <w:rStyle w:val="15"/>
          <w:rFonts w:hint="eastAsia" w:ascii="仿宋" w:hAnsi="仿宋" w:eastAsia="仿宋" w:cstheme="minorBidi"/>
          <w:b w:val="0"/>
          <w:bCs/>
          <w:sz w:val="32"/>
          <w:szCs w:val="32"/>
          <w:lang w:eastAsia="zh-CN"/>
        </w:rPr>
        <w:t>：</w:t>
      </w:r>
      <w:r>
        <w:rPr>
          <w:rStyle w:val="15"/>
          <w:rFonts w:hint="eastAsia" w:ascii="仿宋" w:hAnsi="仿宋" w:eastAsia="仿宋" w:cstheme="minorBidi"/>
          <w:b w:val="0"/>
          <w:bCs/>
          <w:sz w:val="32"/>
          <w:szCs w:val="32"/>
        </w:rPr>
        <w:t>一是车辆老化严重，</w:t>
      </w:r>
      <w:r>
        <w:rPr>
          <w:rStyle w:val="15"/>
          <w:rFonts w:hint="eastAsia" w:ascii="仿宋" w:hAnsi="仿宋" w:eastAsia="仿宋" w:cstheme="minorBidi"/>
          <w:b w:val="0"/>
          <w:bCs/>
          <w:sz w:val="32"/>
          <w:szCs w:val="32"/>
          <w:lang w:eastAsia="zh-CN"/>
        </w:rPr>
        <w:t>修理费提高</w:t>
      </w:r>
      <w:r>
        <w:rPr>
          <w:rStyle w:val="15"/>
          <w:rFonts w:hint="eastAsia" w:ascii="仿宋" w:hAnsi="仿宋" w:eastAsia="仿宋" w:cstheme="minorBidi"/>
          <w:b w:val="0"/>
          <w:bCs/>
          <w:sz w:val="32"/>
          <w:szCs w:val="32"/>
        </w:rPr>
        <w:t>；二是油价上涨大，车辆</w:t>
      </w:r>
      <w:r>
        <w:rPr>
          <w:rStyle w:val="15"/>
          <w:rFonts w:hint="eastAsia" w:ascii="仿宋" w:hAnsi="仿宋" w:eastAsia="仿宋" w:cstheme="minorBidi"/>
          <w:b w:val="0"/>
          <w:bCs/>
          <w:sz w:val="32"/>
          <w:szCs w:val="32"/>
          <w:lang w:eastAsia="zh-CN"/>
        </w:rPr>
        <w:t>用</w:t>
      </w:r>
      <w:r>
        <w:rPr>
          <w:rStyle w:val="15"/>
          <w:rFonts w:hint="eastAsia" w:ascii="仿宋" w:hAnsi="仿宋" w:eastAsia="仿宋" w:cstheme="minorBidi"/>
          <w:b w:val="0"/>
          <w:bCs/>
          <w:sz w:val="32"/>
          <w:szCs w:val="32"/>
        </w:rPr>
        <w:t>油费</w:t>
      </w:r>
      <w:r>
        <w:rPr>
          <w:rStyle w:val="15"/>
          <w:rFonts w:hint="eastAsia" w:ascii="仿宋" w:hAnsi="仿宋" w:eastAsia="仿宋" w:cstheme="minorBidi"/>
          <w:b w:val="0"/>
          <w:bCs/>
          <w:sz w:val="32"/>
          <w:szCs w:val="32"/>
          <w:lang w:eastAsia="zh-CN"/>
        </w:rPr>
        <w:t>用提高</w:t>
      </w:r>
      <w:r>
        <w:rPr>
          <w:rStyle w:val="15"/>
          <w:rFonts w:hint="eastAsia" w:ascii="仿宋" w:hAnsi="仿宋" w:eastAsia="仿宋" w:cstheme="minorBidi"/>
          <w:b w:val="0"/>
          <w:bCs/>
          <w:sz w:val="32"/>
          <w:szCs w:val="32"/>
        </w:rPr>
        <w:t>；三是</w:t>
      </w:r>
      <w:r>
        <w:rPr>
          <w:rStyle w:val="15"/>
          <w:rFonts w:hint="eastAsia" w:ascii="仿宋" w:hAnsi="仿宋" w:eastAsia="仿宋" w:cstheme="minorBidi"/>
          <w:b w:val="0"/>
          <w:bCs/>
          <w:sz w:val="32"/>
          <w:szCs w:val="32"/>
          <w:lang w:eastAsia="zh-CN"/>
        </w:rPr>
        <w:t>为了更好地完成省级下达的</w:t>
      </w:r>
      <w:r>
        <w:rPr>
          <w:rStyle w:val="15"/>
          <w:rFonts w:hint="eastAsia" w:ascii="仿宋" w:hAnsi="仿宋" w:eastAsia="仿宋" w:cstheme="minorBidi"/>
          <w:b w:val="0"/>
          <w:bCs/>
          <w:sz w:val="32"/>
          <w:szCs w:val="32"/>
        </w:rPr>
        <w:t>重要经济指标</w:t>
      </w:r>
      <w:r>
        <w:rPr>
          <w:rStyle w:val="15"/>
          <w:rFonts w:hint="eastAsia" w:ascii="仿宋" w:hAnsi="仿宋" w:eastAsia="仿宋" w:cstheme="minorBidi"/>
          <w:b w:val="0"/>
          <w:bCs/>
          <w:sz w:val="32"/>
          <w:szCs w:val="32"/>
          <w:lang w:eastAsia="zh-CN"/>
        </w:rPr>
        <w:t>，须经常去</w:t>
      </w:r>
      <w:r>
        <w:rPr>
          <w:rStyle w:val="15"/>
          <w:rFonts w:hint="eastAsia" w:ascii="仿宋" w:hAnsi="仿宋" w:eastAsia="仿宋" w:cstheme="minorBidi"/>
          <w:b w:val="0"/>
          <w:bCs/>
          <w:sz w:val="32"/>
          <w:szCs w:val="32"/>
        </w:rPr>
        <w:t>企业</w:t>
      </w:r>
      <w:r>
        <w:rPr>
          <w:rStyle w:val="15"/>
          <w:rFonts w:hint="eastAsia" w:ascii="仿宋" w:hAnsi="仿宋" w:eastAsia="仿宋" w:cstheme="minorBidi"/>
          <w:b w:val="0"/>
          <w:bCs/>
          <w:sz w:val="32"/>
          <w:szCs w:val="32"/>
          <w:lang w:eastAsia="zh-CN"/>
        </w:rPr>
        <w:t>或</w:t>
      </w:r>
      <w:r>
        <w:rPr>
          <w:rStyle w:val="15"/>
          <w:rFonts w:hint="eastAsia" w:ascii="仿宋" w:hAnsi="仿宋" w:eastAsia="仿宋" w:cstheme="minorBidi"/>
          <w:b w:val="0"/>
          <w:bCs/>
          <w:sz w:val="32"/>
          <w:szCs w:val="32"/>
        </w:rPr>
        <w:t>基层督</w:t>
      </w:r>
      <w:r>
        <w:rPr>
          <w:rStyle w:val="15"/>
          <w:rFonts w:hint="eastAsia" w:ascii="仿宋" w:hAnsi="仿宋" w:eastAsia="仿宋" w:cstheme="minorBidi"/>
          <w:b w:val="0"/>
          <w:bCs/>
          <w:sz w:val="32"/>
          <w:szCs w:val="32"/>
          <w:lang w:eastAsia="zh-CN"/>
        </w:rPr>
        <w:t>办、</w:t>
      </w:r>
      <w:r>
        <w:rPr>
          <w:rStyle w:val="15"/>
          <w:rFonts w:hint="eastAsia" w:ascii="仿宋" w:hAnsi="仿宋" w:eastAsia="仿宋" w:cstheme="minorBidi"/>
          <w:b w:val="0"/>
          <w:bCs/>
          <w:sz w:val="32"/>
          <w:szCs w:val="32"/>
        </w:rPr>
        <w:t>协调</w:t>
      </w:r>
      <w:r>
        <w:rPr>
          <w:rStyle w:val="15"/>
          <w:rFonts w:hint="eastAsia" w:ascii="仿宋" w:hAnsi="仿宋" w:eastAsia="仿宋" w:cstheme="minorBidi"/>
          <w:b w:val="0"/>
          <w:bCs/>
          <w:sz w:val="32"/>
          <w:szCs w:val="32"/>
          <w:lang w:eastAsia="zh-CN"/>
        </w:rPr>
        <w:t>并指导</w:t>
      </w:r>
      <w:r>
        <w:rPr>
          <w:rStyle w:val="15"/>
          <w:rFonts w:hint="eastAsia" w:ascii="仿宋" w:hAnsi="仿宋" w:eastAsia="仿宋" w:cstheme="minorBidi"/>
          <w:b w:val="0"/>
          <w:bCs/>
          <w:sz w:val="32"/>
          <w:szCs w:val="32"/>
        </w:rPr>
        <w:t>工作</w:t>
      </w:r>
      <w:r>
        <w:rPr>
          <w:rStyle w:val="15"/>
          <w:rFonts w:hint="eastAsia" w:ascii="仿宋" w:hAnsi="仿宋" w:eastAsia="仿宋" w:cstheme="minorBidi"/>
          <w:b w:val="0"/>
          <w:bCs/>
          <w:sz w:val="32"/>
          <w:szCs w:val="32"/>
          <w:lang w:eastAsia="zh-CN"/>
        </w:rPr>
        <w:t>，因此油耗也随之增加。</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1</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1</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hint="eastAsia" w:ascii="仿宋_GB2312" w:eastAsia="仿宋_GB2312"/>
          <w:sz w:val="32"/>
          <w:szCs w:val="32"/>
          <w:lang w:eastAsia="zh-CN"/>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3.51万元。主</w:t>
      </w:r>
      <w:r>
        <w:rPr>
          <w:rFonts w:hint="eastAsia" w:ascii="仿宋_GB2312" w:eastAsia="仿宋_GB2312"/>
          <w:sz w:val="32"/>
          <w:szCs w:val="32"/>
          <w:lang w:eastAsia="zh-CN"/>
        </w:rPr>
        <w:t>要用于项目调研、乡村振兴、执行公务、开展业务活动开支的公务用车燃料费、维修费、过路过桥费、保险费等支出。</w:t>
      </w:r>
    </w:p>
    <w:p>
      <w:pPr>
        <w:spacing w:line="600" w:lineRule="exact"/>
        <w:ind w:firstLine="640"/>
        <w:rPr>
          <w:rFonts w:hint="eastAsia" w:ascii="仿宋_GB2312" w:eastAsia="仿宋_GB2312"/>
          <w:sz w:val="32"/>
          <w:szCs w:val="32"/>
          <w:lang w:eastAsia="zh-CN"/>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0.41</w:t>
      </w:r>
      <w:r>
        <w:rPr>
          <w:rFonts w:hint="eastAsia" w:ascii="仿宋_GB2312" w:eastAsia="仿宋_GB2312"/>
          <w:sz w:val="32"/>
          <w:szCs w:val="32"/>
          <w:lang w:eastAsia="zh-CN"/>
        </w:rPr>
        <w:t>万元，完成预算</w:t>
      </w:r>
      <w:r>
        <w:rPr>
          <w:rFonts w:hint="eastAsia" w:ascii="仿宋_GB2312" w:eastAsia="仿宋_GB2312"/>
          <w:sz w:val="32"/>
          <w:szCs w:val="32"/>
          <w:lang w:val="en-US" w:eastAsia="zh-CN"/>
        </w:rPr>
        <w:t>31.78</w:t>
      </w:r>
      <w:r>
        <w:rPr>
          <w:rFonts w:hint="eastAsia" w:ascii="仿宋_GB2312" w:eastAsia="仿宋_GB2312"/>
          <w:sz w:val="32"/>
          <w:szCs w:val="32"/>
          <w:lang w:eastAsia="zh-CN"/>
        </w:rPr>
        <w:t>%。公务接待费支出决算比2021年</w:t>
      </w:r>
      <w:r>
        <w:rPr>
          <w:rFonts w:hint="eastAsia" w:ascii="仿宋_GB2312" w:eastAsia="仿宋_GB2312"/>
          <w:sz w:val="32"/>
          <w:szCs w:val="32"/>
          <w:lang w:val="en-US" w:eastAsia="zh-CN"/>
        </w:rPr>
        <w:t>1.6</w:t>
      </w:r>
      <w:r>
        <w:rPr>
          <w:rFonts w:hint="eastAsia" w:ascii="仿宋_GB2312" w:eastAsia="仿宋_GB2312"/>
          <w:sz w:val="32"/>
          <w:szCs w:val="32"/>
          <w:lang w:eastAsia="zh-CN"/>
        </w:rPr>
        <w:t>减少</w:t>
      </w:r>
      <w:r>
        <w:rPr>
          <w:rFonts w:hint="eastAsia" w:ascii="仿宋_GB2312" w:eastAsia="仿宋_GB2312"/>
          <w:sz w:val="32"/>
          <w:szCs w:val="32"/>
          <w:lang w:val="en-US" w:eastAsia="zh-CN"/>
        </w:rPr>
        <w:t>1.19</w:t>
      </w:r>
      <w:r>
        <w:rPr>
          <w:rFonts w:hint="eastAsia" w:ascii="仿宋_GB2312" w:eastAsia="仿宋_GB2312"/>
          <w:sz w:val="32"/>
          <w:szCs w:val="32"/>
          <w:lang w:eastAsia="zh-CN"/>
        </w:rPr>
        <w:t>万元，下降</w:t>
      </w:r>
      <w:r>
        <w:rPr>
          <w:rFonts w:hint="eastAsia" w:ascii="仿宋_GB2312" w:eastAsia="仿宋_GB2312"/>
          <w:sz w:val="32"/>
          <w:szCs w:val="32"/>
          <w:lang w:val="en-US" w:eastAsia="zh-CN"/>
        </w:rPr>
        <w:t>74.38</w:t>
      </w:r>
      <w:r>
        <w:rPr>
          <w:rFonts w:hint="eastAsia" w:ascii="仿宋_GB2312" w:eastAsia="仿宋_GB2312"/>
          <w:sz w:val="32"/>
          <w:szCs w:val="32"/>
          <w:lang w:eastAsia="zh-CN"/>
        </w:rPr>
        <w:t>%。主要原因是接待任务减少。其中：</w:t>
      </w:r>
    </w:p>
    <w:p>
      <w:pPr>
        <w:spacing w:line="600" w:lineRule="exact"/>
        <w:ind w:firstLine="640"/>
        <w:rPr>
          <w:rFonts w:hint="default" w:ascii="仿宋_GB2312" w:eastAsia="仿宋_GB2312"/>
          <w:sz w:val="32"/>
          <w:szCs w:val="32"/>
          <w:lang w:val="en-US" w:eastAsia="zh-CN"/>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0.41</w:t>
      </w:r>
      <w:r>
        <w:rPr>
          <w:rFonts w:hint="eastAsia" w:ascii="仿宋_GB2312" w:eastAsia="仿宋_GB2312"/>
          <w:sz w:val="32"/>
          <w:szCs w:val="32"/>
        </w:rPr>
        <w:t>万元，主要用于省厅领导来攀调研指导等活动开支的用餐费。国内公务接待</w:t>
      </w:r>
      <w:r>
        <w:rPr>
          <w:rFonts w:hint="eastAsia" w:ascii="仿宋_GB2312" w:eastAsia="仿宋_GB2312"/>
          <w:sz w:val="32"/>
          <w:szCs w:val="32"/>
          <w:lang w:val="en-US" w:eastAsia="zh-CN"/>
        </w:rPr>
        <w:t>4</w:t>
      </w:r>
      <w:r>
        <w:rPr>
          <w:rFonts w:hint="eastAsia" w:ascii="仿宋_GB2312" w:eastAsia="仿宋_GB2312"/>
          <w:sz w:val="32"/>
          <w:szCs w:val="32"/>
        </w:rPr>
        <w:t>批次，</w:t>
      </w:r>
      <w:r>
        <w:rPr>
          <w:rFonts w:hint="eastAsia" w:ascii="仿宋_GB2312" w:eastAsia="仿宋_GB2312"/>
          <w:sz w:val="32"/>
          <w:szCs w:val="32"/>
          <w:lang w:val="en-US" w:eastAsia="zh-CN"/>
        </w:rPr>
        <w:t>19</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0.41</w:t>
      </w:r>
      <w:r>
        <w:rPr>
          <w:rFonts w:hint="eastAsia" w:ascii="仿宋_GB2312" w:eastAsia="仿宋_GB2312"/>
          <w:sz w:val="32"/>
          <w:szCs w:val="32"/>
        </w:rPr>
        <w:t>万元，具体内容包括：1.</w:t>
      </w:r>
      <w:r>
        <w:rPr>
          <w:rFonts w:hint="eastAsia" w:ascii="仿宋_GB2312" w:eastAsia="仿宋_GB2312"/>
          <w:sz w:val="32"/>
          <w:szCs w:val="32"/>
          <w:lang w:eastAsia="zh-CN"/>
        </w:rPr>
        <w:t>省厅吴群刚书记到攀调研</w:t>
      </w:r>
      <w:r>
        <w:rPr>
          <w:rFonts w:hint="eastAsia" w:ascii="仿宋_GB2312" w:eastAsia="仿宋_GB2312"/>
          <w:sz w:val="32"/>
          <w:szCs w:val="32"/>
        </w:rPr>
        <w:t>接待费</w:t>
      </w:r>
      <w:r>
        <w:rPr>
          <w:rFonts w:hint="eastAsia" w:ascii="仿宋_GB2312" w:eastAsia="仿宋_GB2312"/>
          <w:sz w:val="32"/>
          <w:szCs w:val="32"/>
          <w:lang w:val="en-US" w:eastAsia="zh-CN"/>
        </w:rPr>
        <w:t>1830</w:t>
      </w:r>
      <w:r>
        <w:rPr>
          <w:rFonts w:hint="eastAsia" w:ascii="仿宋_GB2312" w:eastAsia="仿宋_GB2312"/>
          <w:sz w:val="32"/>
          <w:szCs w:val="32"/>
        </w:rPr>
        <w:t>元</w:t>
      </w:r>
      <w:r>
        <w:rPr>
          <w:rFonts w:hint="eastAsia" w:ascii="仿宋_GB2312" w:eastAsia="仿宋_GB2312"/>
          <w:sz w:val="32"/>
          <w:szCs w:val="32"/>
          <w:lang w:eastAsia="zh-CN"/>
        </w:rPr>
        <w:t>；</w:t>
      </w:r>
      <w:r>
        <w:rPr>
          <w:rFonts w:hint="eastAsia" w:ascii="仿宋_GB2312" w:eastAsia="仿宋_GB2312"/>
          <w:sz w:val="32"/>
          <w:szCs w:val="32"/>
          <w:lang w:val="en-US" w:eastAsia="zh-CN"/>
        </w:rPr>
        <w:t>2.科技交流合作接待费447元；3.省厅赴攀调研国家级高新区接待费972元；4.全省农业科技园区调研接待费900元。</w:t>
      </w:r>
    </w:p>
    <w:p>
      <w:pPr>
        <w:spacing w:line="600" w:lineRule="exact"/>
        <w:ind w:firstLine="642"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1"/>
        <w:rPr>
          <w:rStyle w:val="26"/>
          <w:rFonts w:ascii="黑体" w:hAnsi="黑体" w:eastAsia="黑体"/>
        </w:rPr>
      </w:pPr>
      <w:bookmarkStart w:id="40" w:name="_Toc15396610"/>
      <w:bookmarkStart w:id="41" w:name="_Toc15377218"/>
      <w:r>
        <w:rPr>
          <w:rFonts w:hint="eastAsia" w:ascii="黑体" w:eastAsia="黑体"/>
          <w:sz w:val="32"/>
          <w:szCs w:val="32"/>
        </w:rPr>
        <w:t>八、</w:t>
      </w:r>
      <w:r>
        <w:rPr>
          <w:rStyle w:val="26"/>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元。</w:t>
      </w:r>
    </w:p>
    <w:p>
      <w:pPr>
        <w:numPr>
          <w:ilvl w:val="0"/>
          <w:numId w:val="2"/>
        </w:numPr>
        <w:spacing w:line="600" w:lineRule="exact"/>
        <w:ind w:firstLine="640"/>
        <w:outlineLvl w:val="1"/>
        <w:rPr>
          <w:rStyle w:val="26"/>
          <w:rFonts w:ascii="黑体" w:hAnsi="黑体" w:eastAsia="黑体"/>
          <w:b w:val="0"/>
        </w:rPr>
      </w:pPr>
      <w:bookmarkStart w:id="42" w:name="_Toc15396611"/>
      <w:bookmarkStart w:id="43" w:name="_Toc15377219"/>
      <w:r>
        <w:rPr>
          <w:rStyle w:val="26"/>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2"/>
        </w:numPr>
        <w:spacing w:line="600" w:lineRule="exact"/>
        <w:ind w:firstLine="640"/>
        <w:outlineLvl w:val="1"/>
        <w:rPr>
          <w:rStyle w:val="26"/>
          <w:rFonts w:ascii="黑体" w:hAnsi="黑体" w:eastAsia="黑体"/>
          <w:b w:val="0"/>
        </w:rPr>
      </w:pPr>
      <w:bookmarkStart w:id="44" w:name="_Toc15396612"/>
      <w:bookmarkStart w:id="45" w:name="_Toc15377221"/>
      <w:r>
        <w:rPr>
          <w:rStyle w:val="26"/>
          <w:rFonts w:hint="eastAsia" w:ascii="黑体" w:hAnsi="黑体" w:eastAsia="黑体"/>
          <w:b w:val="0"/>
        </w:rPr>
        <w:t>其他重要事项的情况说明</w:t>
      </w:r>
      <w:bookmarkEnd w:id="44"/>
      <w:bookmarkEnd w:id="45"/>
    </w:p>
    <w:p>
      <w:pPr>
        <w:spacing w:line="600" w:lineRule="exact"/>
        <w:ind w:firstLine="642"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市科技局</w:t>
      </w:r>
      <w:r>
        <w:rPr>
          <w:rFonts w:hint="eastAsia" w:ascii="仿宋_GB2312" w:eastAsia="仿宋_GB2312"/>
          <w:sz w:val="32"/>
          <w:szCs w:val="32"/>
        </w:rPr>
        <w:t>机关运行经费支出86.64万元，比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9.3</w:t>
      </w:r>
      <w:r>
        <w:rPr>
          <w:rFonts w:hint="eastAsia" w:ascii="仿宋_GB2312" w:eastAsia="仿宋_GB2312"/>
          <w:sz w:val="32"/>
          <w:szCs w:val="32"/>
        </w:rPr>
        <w:t>万元，下降</w:t>
      </w:r>
      <w:r>
        <w:rPr>
          <w:rFonts w:hint="eastAsia" w:ascii="仿宋_GB2312" w:eastAsia="仿宋_GB2312"/>
          <w:sz w:val="32"/>
          <w:szCs w:val="32"/>
          <w:lang w:val="en-US" w:eastAsia="zh-CN"/>
        </w:rPr>
        <w:t>9.69</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有人员退休，公用经费支出减少。</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市科技局</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市科技局</w:t>
      </w:r>
      <w:r>
        <w:rPr>
          <w:rFonts w:hint="eastAsia" w:ascii="仿宋_GB2312" w:eastAsia="仿宋_GB2312"/>
          <w:sz w:val="32"/>
          <w:szCs w:val="32"/>
        </w:rPr>
        <w:t>共有车辆</w:t>
      </w:r>
      <w:r>
        <w:rPr>
          <w:rFonts w:hint="eastAsia" w:ascii="仿宋_GB2312" w:eastAsia="仿宋_GB2312"/>
          <w:sz w:val="32"/>
          <w:szCs w:val="32"/>
          <w:lang w:val="en-US" w:eastAsia="zh-CN"/>
        </w:rPr>
        <w:t>1</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1</w:t>
      </w:r>
      <w:r>
        <w:rPr>
          <w:rFonts w:hint="eastAsia" w:ascii="仿宋_GB2312" w:eastAsia="仿宋_GB2312"/>
          <w:sz w:val="32"/>
          <w:szCs w:val="32"/>
        </w:rPr>
        <w:t>辆，其他用车主要是用于</w:t>
      </w:r>
      <w:r>
        <w:rPr>
          <w:rFonts w:eastAsia="仿宋"/>
          <w:color w:val="000000"/>
          <w:sz w:val="32"/>
          <w:szCs w:val="32"/>
        </w:rPr>
        <w:t>项目调研、</w:t>
      </w:r>
      <w:r>
        <w:rPr>
          <w:rFonts w:hint="eastAsia" w:eastAsia="仿宋"/>
          <w:color w:val="000000"/>
          <w:sz w:val="32"/>
          <w:szCs w:val="32"/>
        </w:rPr>
        <w:t>乡村振兴</w:t>
      </w:r>
      <w:r>
        <w:rPr>
          <w:rFonts w:hint="eastAsia" w:eastAsia="仿宋"/>
          <w:color w:val="000000"/>
          <w:sz w:val="32"/>
          <w:szCs w:val="32"/>
          <w:lang w:eastAsia="zh-CN"/>
        </w:rPr>
        <w:t>等工作</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highlight w:val="yellow"/>
        </w:rPr>
      </w:pPr>
      <w:r>
        <w:rPr>
          <w:rFonts w:hint="eastAsia" w:hAnsi="仿宋_GB2312" w:cs="仿宋_GB2312"/>
          <w:sz w:val="32"/>
          <w:szCs w:val="32"/>
        </w:rPr>
        <w:t>根据预算绩效管理要求，本单位在2022年度预算编制阶段，组织对</w:t>
      </w:r>
      <w:r>
        <w:rPr>
          <w:rFonts w:hint="eastAsia" w:hAnsi="仿宋_GB2312" w:cs="仿宋_GB2312"/>
          <w:sz w:val="32"/>
          <w:szCs w:val="32"/>
          <w:lang w:val="en-US" w:eastAsia="zh-CN"/>
        </w:rPr>
        <w:t>带薪年休假经费（行政）</w:t>
      </w:r>
      <w:r>
        <w:rPr>
          <w:rFonts w:hint="eastAsia" w:hAnsi="仿宋_GB2312" w:cs="仿宋_GB2312"/>
          <w:sz w:val="32"/>
          <w:szCs w:val="32"/>
        </w:rPr>
        <w:t>项目等</w:t>
      </w:r>
      <w:r>
        <w:rPr>
          <w:rFonts w:hint="eastAsia" w:hAnsi="仿宋_GB2312" w:cs="仿宋_GB2312"/>
          <w:sz w:val="32"/>
          <w:szCs w:val="32"/>
          <w:lang w:val="en-US" w:eastAsia="zh-CN"/>
        </w:rPr>
        <w:t>26</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26</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26</w:t>
      </w:r>
      <w:r>
        <w:rPr>
          <w:rFonts w:hint="eastAsia" w:hAnsi="仿宋_GB2312" w:cs="仿宋_GB2312"/>
          <w:sz w:val="32"/>
          <w:szCs w:val="32"/>
        </w:rPr>
        <w:t>个项目开展绩效监控，组织对</w:t>
      </w:r>
      <w:r>
        <w:rPr>
          <w:rFonts w:hint="eastAsia" w:hAnsi="仿宋_GB2312" w:cs="仿宋_GB2312"/>
          <w:sz w:val="32"/>
          <w:szCs w:val="32"/>
          <w:lang w:val="en-US" w:eastAsia="zh-CN"/>
        </w:rPr>
        <w:t>26</w:t>
      </w:r>
      <w:r>
        <w:rPr>
          <w:rFonts w:hint="eastAsia" w:hAnsi="仿宋_GB2312" w:cs="仿宋_GB2312"/>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5"/>
          <w:rFonts w:ascii="黑体" w:hAnsi="黑体" w:eastAsia="黑体"/>
          <w:b w:val="0"/>
        </w:rPr>
      </w:pPr>
      <w:bookmarkStart w:id="49" w:name="_Toc15377225"/>
      <w:bookmarkStart w:id="50" w:name="_Toc15396613"/>
      <w:r>
        <w:rPr>
          <w:rFonts w:hint="eastAsia" w:ascii="黑体" w:hAnsi="黑体" w:eastAsia="黑体"/>
          <w:sz w:val="44"/>
          <w:szCs w:val="44"/>
        </w:rPr>
        <w:t>名</w:t>
      </w:r>
      <w:r>
        <w:rPr>
          <w:rStyle w:val="25"/>
          <w:rFonts w:hint="eastAsia" w:ascii="黑体" w:hAnsi="黑体" w:eastAsia="黑体"/>
          <w:b w:val="0"/>
        </w:rPr>
        <w:t>词解释</w:t>
      </w:r>
      <w:bookmarkEnd w:id="49"/>
      <w:bookmarkEnd w:id="50"/>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.年末结转和结余：指单位按有关规定结转到下年或以后年度继续使用的资金。</w:t>
      </w:r>
    </w:p>
    <w:p>
      <w:pPr>
        <w:spacing w:line="60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4.一般公共服务（类）组织事务（款）其他组织事务支出（项）:指用于援藏、驻村干部补助支出。</w:t>
      </w:r>
    </w:p>
    <w:p>
      <w:pPr>
        <w:spacing w:line="60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5.科学技术（类）科学技术管理事务（款）行政运行（项）:</w:t>
      </w:r>
      <w:r>
        <w:rPr>
          <w:rFonts w:hint="eastAsia" w:eastAsia="仿宋_GB2312"/>
          <w:color w:val="000000"/>
          <w:kern w:val="0"/>
          <w:sz w:val="32"/>
          <w:szCs w:val="32"/>
        </w:rPr>
        <w:t>指</w:t>
      </w:r>
      <w:r>
        <w:rPr>
          <w:rFonts w:hint="eastAsia" w:eastAsia="仿宋_GB2312"/>
          <w:color w:val="000000"/>
          <w:kern w:val="0"/>
          <w:sz w:val="32"/>
          <w:szCs w:val="32"/>
          <w:lang w:val="en-US" w:eastAsia="zh-CN"/>
        </w:rPr>
        <w:t>用于保障机关正常运行、开展日常工作</w:t>
      </w:r>
      <w:r>
        <w:rPr>
          <w:rFonts w:hint="eastAsia" w:eastAsia="仿宋_GB2312"/>
          <w:color w:val="000000"/>
          <w:kern w:val="0"/>
          <w:sz w:val="32"/>
          <w:szCs w:val="32"/>
          <w:lang w:eastAsia="zh-CN"/>
        </w:rPr>
        <w:t>等</w:t>
      </w:r>
      <w:r>
        <w:rPr>
          <w:rFonts w:hint="eastAsia" w:eastAsia="仿宋_GB2312"/>
          <w:color w:val="000000"/>
          <w:kern w:val="0"/>
          <w:sz w:val="32"/>
          <w:szCs w:val="32"/>
        </w:rPr>
        <w:t>基本支出</w:t>
      </w:r>
      <w:r>
        <w:rPr>
          <w:rFonts w:hint="eastAsia" w:ascii="仿宋_GB2312" w:hAnsi="Calibri" w:eastAsia="仿宋_GB2312" w:cs="仿宋"/>
          <w:color w:val="auto"/>
          <w:kern w:val="0"/>
          <w:sz w:val="32"/>
          <w:szCs w:val="32"/>
          <w:lang w:val="en-US" w:eastAsia="zh-CN" w:bidi="ar-SA"/>
        </w:rPr>
        <w:t>。</w:t>
      </w:r>
    </w:p>
    <w:p>
      <w:pPr>
        <w:spacing w:line="60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6.科学技术（类）科学技术管理事务（款）其他科学技术管理事务支出（项）：</w:t>
      </w:r>
      <w:r>
        <w:rPr>
          <w:rFonts w:hint="eastAsia" w:ascii="仿宋" w:hAnsi="Calibri" w:eastAsia="仿宋_GB2312"/>
          <w:color w:val="000000"/>
          <w:kern w:val="0"/>
          <w:sz w:val="32"/>
          <w:szCs w:val="32"/>
        </w:rPr>
        <w:t>指反映其他用于科学技术管理事务方面的支出</w:t>
      </w:r>
      <w:r>
        <w:rPr>
          <w:rFonts w:hint="eastAsia" w:ascii="仿宋_GB2312" w:hAnsi="Calibri" w:eastAsia="仿宋_GB2312" w:cs="仿宋"/>
          <w:color w:val="auto"/>
          <w:kern w:val="0"/>
          <w:sz w:val="32"/>
          <w:szCs w:val="32"/>
          <w:lang w:val="en-US" w:eastAsia="zh-CN" w:bidi="ar-SA"/>
        </w:rPr>
        <w:t>。</w:t>
      </w:r>
    </w:p>
    <w:p>
      <w:pPr>
        <w:spacing w:line="60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7.社会保障和就业（类）人力资源和社会保障管理事务（款）其他人力资源和社会保障管理事务支出（项）:指其他用于人力资源和社会保障管理事务的支出。</w:t>
      </w:r>
    </w:p>
    <w:p>
      <w:pPr>
        <w:spacing w:line="60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 xml:space="preserve">8.社会保障和就业（类）行政事业单位养老支出（款）行政单位离退休（项）: </w:t>
      </w:r>
      <w:r>
        <w:rPr>
          <w:rFonts w:hint="eastAsia" w:eastAsia="仿宋_GB2312"/>
          <w:color w:val="000000"/>
          <w:kern w:val="0"/>
          <w:sz w:val="32"/>
          <w:szCs w:val="32"/>
        </w:rPr>
        <w:t>指</w:t>
      </w:r>
      <w:r>
        <w:rPr>
          <w:rFonts w:hint="eastAsia" w:eastAsia="仿宋_GB2312"/>
          <w:color w:val="000000"/>
          <w:kern w:val="0"/>
          <w:sz w:val="32"/>
          <w:szCs w:val="32"/>
          <w:lang w:val="en-US" w:eastAsia="zh-CN"/>
        </w:rPr>
        <w:t>财政统一供养的行政单位离退休人员的支出</w:t>
      </w:r>
      <w:r>
        <w:rPr>
          <w:rFonts w:hint="eastAsia" w:ascii="仿宋_GB2312" w:hAnsi="Calibri" w:eastAsia="仿宋_GB2312" w:cs="仿宋"/>
          <w:color w:val="auto"/>
          <w:kern w:val="0"/>
          <w:sz w:val="32"/>
          <w:szCs w:val="32"/>
          <w:lang w:val="en-US" w:eastAsia="zh-CN" w:bidi="ar-SA"/>
        </w:rPr>
        <w:t>。</w:t>
      </w:r>
    </w:p>
    <w:p>
      <w:pPr>
        <w:spacing w:line="60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9.社会保障和就业（类）行政事业单位养老支出（款）机关事业单位基本养老保险缴费支出（项）:指机关事业单位实施养老保险制度由单位缴纳的基本养老保险费支出。</w:t>
      </w:r>
    </w:p>
    <w:p>
      <w:pPr>
        <w:spacing w:line="60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10.社会保障和就业（类）抚恤（款）死亡抚恤（项目）：指按规定用于机关病故人员家属定期抚恤金支出。</w:t>
      </w:r>
    </w:p>
    <w:p>
      <w:pPr>
        <w:spacing w:line="60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11.社会保障和就业（类）社会福利（款）儿童福利（项目）：指对儿童提供福利服务方面的支出。</w:t>
      </w:r>
    </w:p>
    <w:p>
      <w:pPr>
        <w:spacing w:line="60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12.卫生健康（类）其他卫生健康支出（款）其他卫生健康支出（项）:指离退休干部异地体检费支出。</w:t>
      </w:r>
    </w:p>
    <w:p>
      <w:pPr>
        <w:spacing w:line="60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13.住房保障支出（类）住房改革支出（款）住房公积金（项）:</w:t>
      </w:r>
      <w:r>
        <w:rPr>
          <w:rFonts w:ascii="Times New Roman" w:hAnsi="Times New Roman" w:eastAsia="仿宋_GB2312" w:cs="Times New Roman"/>
          <w:sz w:val="32"/>
          <w:szCs w:val="32"/>
        </w:rPr>
        <w:t>指反映行政事业单位按</w:t>
      </w:r>
      <w:r>
        <w:rPr>
          <w:rFonts w:hint="eastAsia" w:ascii="Times New Roman" w:hAnsi="Times New Roman" w:eastAsia="仿宋_GB2312" w:cs="Times New Roman"/>
          <w:sz w:val="32"/>
          <w:szCs w:val="32"/>
        </w:rPr>
        <w:t>人力资源和社会保障部</w:t>
      </w:r>
      <w:r>
        <w:rPr>
          <w:rFonts w:ascii="Times New Roman" w:hAnsi="Times New Roman" w:eastAsia="仿宋_GB2312" w:cs="Times New Roman"/>
          <w:sz w:val="32"/>
          <w:szCs w:val="32"/>
        </w:rPr>
        <w:t>、财政部门规定的基本工资和津贴补贴以及规定比例为职工缴纳的住房公积金。</w:t>
      </w:r>
    </w:p>
    <w:p>
      <w:pPr>
        <w:spacing w:line="60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14.灾害防治及应急管理支出（类）应急管理事务（款）行政运行（项）：指行政单位的基本支出。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15</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16</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sz w:val="32"/>
          <w:szCs w:val="32"/>
          <w:lang w:val="en-US" w:eastAsia="zh-CN"/>
        </w:rPr>
        <w:t>17</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18</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25"/>
          <w:rFonts w:hint="eastAsia" w:ascii="黑体" w:hAnsi="黑体" w:eastAsia="黑体"/>
          <w:b w:val="0"/>
        </w:rPr>
        <w:t>四部分 附件</w:t>
      </w:r>
      <w:bookmarkEnd w:id="52"/>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hint="eastAsia" w:ascii="宋体" w:hAnsi="宋体" w:eastAsia="宋体" w:cs="宋体"/>
          <w:kern w:val="0"/>
          <w:sz w:val="32"/>
          <w:szCs w:val="32"/>
          <w:lang w:eastAsia="zh-CN"/>
        </w:rPr>
      </w:pPr>
      <w:bookmarkStart w:id="53" w:name="_Toc15396618"/>
      <w:r>
        <w:rPr>
          <w:rFonts w:hint="eastAsia" w:ascii="宋体" w:hAnsi="宋体" w:cs="宋体"/>
          <w:kern w:val="0"/>
          <w:sz w:val="32"/>
          <w:szCs w:val="32"/>
        </w:rPr>
        <w:t>部门预算项目支出绩效自评表（2022年度）见附件</w:t>
      </w:r>
      <w:r>
        <w:rPr>
          <w:rFonts w:hint="eastAsia" w:ascii="宋体" w:hAnsi="宋体" w:cs="宋体"/>
          <w:kern w:val="0"/>
          <w:sz w:val="32"/>
          <w:szCs w:val="32"/>
          <w:lang w:val="en-US" w:eastAsia="zh-CN"/>
        </w:rPr>
        <w:t>1</w:t>
      </w:r>
    </w:p>
    <w:p>
      <w:pPr>
        <w:spacing w:line="600" w:lineRule="exact"/>
        <w:jc w:val="left"/>
        <w:outlineLvl w:val="0"/>
        <w:rPr>
          <w:rFonts w:ascii="仿宋_GB2312" w:hAnsi="Calibri" w:eastAsia="仿宋_GB2312" w:cs="仿宋"/>
          <w:kern w:val="0"/>
          <w:sz w:val="32"/>
          <w:szCs w:val="32"/>
        </w:rPr>
      </w:pPr>
    </w:p>
    <w:p>
      <w:pPr>
        <w:spacing w:line="600" w:lineRule="exact"/>
        <w:ind w:firstLine="640" w:firstLineChars="200"/>
        <w:jc w:val="left"/>
        <w:outlineLvl w:val="0"/>
        <w:rPr>
          <w:rFonts w:ascii="仿宋_GB2312" w:hAnsi="Calibri" w:eastAsia="仿宋_GB2312" w:cs="仿宋"/>
          <w:kern w:val="0"/>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3"/>
        <w:rPr>
          <w:rFonts w:hAnsi="Calibri" w:cs="仿宋"/>
          <w:sz w:val="32"/>
          <w:szCs w:val="32"/>
        </w:rPr>
      </w:pPr>
    </w:p>
    <w:p>
      <w:pPr>
        <w:pStyle w:val="3"/>
        <w:rPr>
          <w:rFonts w:hAnsi="Calibri" w:cs="仿宋"/>
          <w:sz w:val="32"/>
          <w:szCs w:val="32"/>
        </w:rPr>
      </w:pPr>
    </w:p>
    <w:p>
      <w:pPr>
        <w:pStyle w:val="3"/>
        <w:rPr>
          <w:rFonts w:hAnsi="Calibri" w:cs="仿宋"/>
          <w:sz w:val="32"/>
          <w:szCs w:val="32"/>
        </w:rPr>
      </w:pPr>
    </w:p>
    <w:p>
      <w:pPr>
        <w:pStyle w:val="2"/>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5"/>
          <w:rFonts w:hint="eastAsia" w:ascii="黑体" w:hAnsi="黑体" w:eastAsia="黑体"/>
          <w:b w:val="0"/>
        </w:rPr>
        <w:t>五部分 附表</w:t>
      </w:r>
      <w:bookmarkEnd w:id="51"/>
      <w:bookmarkEnd w:id="53"/>
      <w:bookmarkStart w:id="54" w:name="_Toc15396619"/>
    </w:p>
    <w:p>
      <w:pPr>
        <w:pStyle w:val="5"/>
        <w:rPr>
          <w:rFonts w:ascii="仿宋" w:hAnsi="仿宋" w:eastAsia="仿宋"/>
        </w:rPr>
      </w:pPr>
      <w:r>
        <w:rPr>
          <w:rFonts w:hint="eastAsia" w:ascii="仿宋" w:hAnsi="仿宋" w:eastAsia="仿宋"/>
          <w:b w:val="0"/>
        </w:rPr>
        <w:t>一、收</w:t>
      </w:r>
      <w:r>
        <w:rPr>
          <w:rStyle w:val="26"/>
          <w:rFonts w:hint="eastAsia" w:ascii="仿宋" w:hAnsi="仿宋" w:eastAsia="仿宋"/>
          <w:b w:val="0"/>
          <w:bCs w:val="0"/>
        </w:rPr>
        <w:t>入支出决算总表</w:t>
      </w:r>
      <w:bookmarkEnd w:id="54"/>
    </w:p>
    <w:p>
      <w:pPr>
        <w:pStyle w:val="5"/>
        <w:rPr>
          <w:rFonts w:ascii="仿宋" w:hAnsi="仿宋" w:eastAsia="仿宋"/>
        </w:rPr>
      </w:pPr>
      <w:bookmarkStart w:id="55" w:name="_Toc15396620"/>
      <w:r>
        <w:rPr>
          <w:rFonts w:hint="eastAsia" w:ascii="仿宋" w:hAnsi="仿宋" w:eastAsia="仿宋"/>
          <w:b w:val="0"/>
        </w:rPr>
        <w:t>二、收</w:t>
      </w:r>
      <w:r>
        <w:rPr>
          <w:rStyle w:val="26"/>
          <w:rFonts w:hint="eastAsia" w:ascii="仿宋" w:hAnsi="仿宋" w:eastAsia="仿宋"/>
          <w:b w:val="0"/>
          <w:bCs w:val="0"/>
        </w:rPr>
        <w:t>入决算表</w:t>
      </w:r>
      <w:bookmarkEnd w:id="55"/>
    </w:p>
    <w:p>
      <w:pPr>
        <w:pStyle w:val="5"/>
        <w:rPr>
          <w:rFonts w:ascii="仿宋" w:hAnsi="仿宋" w:eastAsia="仿宋"/>
        </w:rPr>
      </w:pPr>
      <w:bookmarkStart w:id="56"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56"/>
    </w:p>
    <w:p>
      <w:pPr>
        <w:pStyle w:val="5"/>
        <w:rPr>
          <w:rFonts w:ascii="仿宋" w:hAnsi="仿宋" w:eastAsia="仿宋"/>
          <w:b w:val="0"/>
        </w:rPr>
      </w:pPr>
      <w:bookmarkStart w:id="57"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57"/>
    </w:p>
    <w:p>
      <w:pPr>
        <w:pStyle w:val="5"/>
        <w:rPr>
          <w:rStyle w:val="26"/>
          <w:rFonts w:ascii="仿宋" w:hAnsi="仿宋" w:eastAsia="仿宋"/>
          <w:b w:val="0"/>
          <w:bCs w:val="0"/>
        </w:rPr>
      </w:pPr>
      <w:bookmarkStart w:id="58"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58"/>
      <w:bookmarkStart w:id="59" w:name="_Toc15396624"/>
    </w:p>
    <w:p>
      <w:pPr>
        <w:pStyle w:val="5"/>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59"/>
    </w:p>
    <w:p>
      <w:pPr>
        <w:pStyle w:val="5"/>
        <w:rPr>
          <w:rFonts w:ascii="仿宋" w:hAnsi="仿宋" w:eastAsia="仿宋"/>
        </w:rPr>
      </w:pPr>
      <w:bookmarkStart w:id="60"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0"/>
    </w:p>
    <w:p>
      <w:pPr>
        <w:pStyle w:val="5"/>
        <w:rPr>
          <w:rFonts w:ascii="仿宋" w:hAnsi="仿宋" w:eastAsia="仿宋"/>
        </w:rPr>
      </w:pPr>
      <w:bookmarkStart w:id="61"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1"/>
    </w:p>
    <w:p>
      <w:pPr>
        <w:pStyle w:val="5"/>
        <w:rPr>
          <w:rFonts w:ascii="仿宋" w:hAnsi="仿宋" w:eastAsia="仿宋"/>
        </w:rPr>
      </w:pPr>
      <w:bookmarkStart w:id="62"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2"/>
    </w:p>
    <w:p>
      <w:pPr>
        <w:pStyle w:val="5"/>
        <w:rPr>
          <w:rFonts w:ascii="仿宋" w:hAnsi="仿宋" w:eastAsia="仿宋"/>
        </w:rPr>
      </w:pPr>
      <w:bookmarkStart w:id="63" w:name="_Toc15396628"/>
      <w:r>
        <w:rPr>
          <w:rStyle w:val="26"/>
          <w:rFonts w:hint="eastAsia" w:ascii="仿宋" w:hAnsi="仿宋" w:eastAsia="仿宋"/>
          <w:b w:val="0"/>
          <w:bCs w:val="0"/>
        </w:rPr>
        <w:t>十、</w:t>
      </w:r>
      <w:bookmarkEnd w:id="63"/>
      <w:r>
        <w:rPr>
          <w:rFonts w:hint="eastAsia" w:ascii="仿宋" w:hAnsi="仿宋" w:eastAsia="仿宋"/>
          <w:b w:val="0"/>
        </w:rPr>
        <w:t>政</w:t>
      </w:r>
      <w:r>
        <w:rPr>
          <w:rStyle w:val="26"/>
          <w:rFonts w:hint="eastAsia" w:ascii="仿宋" w:hAnsi="仿宋" w:eastAsia="仿宋"/>
          <w:b w:val="0"/>
          <w:bCs w:val="0"/>
        </w:rPr>
        <w:t>府性基金预算财政拨款收入支出决算表</w:t>
      </w:r>
    </w:p>
    <w:p>
      <w:pPr>
        <w:pStyle w:val="5"/>
        <w:rPr>
          <w:rFonts w:ascii="仿宋" w:hAnsi="仿宋" w:eastAsia="仿宋"/>
        </w:rPr>
      </w:pPr>
      <w:bookmarkStart w:id="64" w:name="_Toc15396629"/>
      <w:r>
        <w:rPr>
          <w:rStyle w:val="26"/>
          <w:rFonts w:hint="eastAsia" w:ascii="仿宋" w:hAnsi="仿宋" w:eastAsia="仿宋"/>
          <w:b w:val="0"/>
          <w:bCs w:val="0"/>
        </w:rPr>
        <w:t>十一、</w:t>
      </w:r>
      <w:bookmarkEnd w:id="64"/>
      <w:r>
        <w:rPr>
          <w:rFonts w:hint="eastAsia" w:ascii="仿宋" w:hAnsi="仿宋" w:eastAsia="仿宋"/>
          <w:b w:val="0"/>
        </w:rPr>
        <w:t>国</w:t>
      </w:r>
      <w:r>
        <w:rPr>
          <w:rStyle w:val="26"/>
          <w:rFonts w:hint="eastAsia" w:ascii="仿宋" w:hAnsi="仿宋" w:eastAsia="仿宋"/>
          <w:b w:val="0"/>
          <w:bCs w:val="0"/>
        </w:rPr>
        <w:t>有资本经营预算财政拨款收入支出决算表</w:t>
      </w:r>
    </w:p>
    <w:p>
      <w:pPr>
        <w:pStyle w:val="5"/>
        <w:rPr>
          <w:rFonts w:ascii="仿宋" w:hAnsi="仿宋" w:eastAsia="仿宋"/>
        </w:rPr>
      </w:pPr>
      <w:bookmarkStart w:id="65" w:name="_Toc15396630"/>
      <w:r>
        <w:rPr>
          <w:rStyle w:val="26"/>
          <w:rFonts w:hint="eastAsia" w:ascii="仿宋" w:hAnsi="仿宋" w:eastAsia="仿宋"/>
          <w:b w:val="0"/>
          <w:bCs w:val="0"/>
        </w:rPr>
        <w:t>十二、</w:t>
      </w:r>
      <w:bookmarkEnd w:id="65"/>
      <w:r>
        <w:rPr>
          <w:rStyle w:val="26"/>
          <w:rFonts w:hint="eastAsia" w:ascii="仿宋" w:hAnsi="仿宋" w:eastAsia="仿宋"/>
          <w:b w:val="0"/>
          <w:bCs w:val="0"/>
        </w:rPr>
        <w:t>国有资本经营预算财政拨款支出决算表</w:t>
      </w:r>
    </w:p>
    <w:p>
      <w:pPr>
        <w:pStyle w:val="5"/>
        <w:rPr>
          <w:rFonts w:eastAsia="仿宋"/>
        </w:rPr>
      </w:pPr>
      <w:bookmarkStart w:id="66" w:name="_Toc15396631"/>
      <w:r>
        <w:rPr>
          <w:rStyle w:val="26"/>
          <w:rFonts w:hint="eastAsia" w:ascii="仿宋" w:hAnsi="仿宋" w:eastAsia="仿宋"/>
          <w:b w:val="0"/>
          <w:bCs w:val="0"/>
        </w:rPr>
        <w:t>十三、</w:t>
      </w:r>
      <w:bookmarkEnd w:id="66"/>
      <w:r>
        <w:rPr>
          <w:rStyle w:val="26"/>
          <w:rFonts w:hint="eastAsia" w:ascii="仿宋" w:hAnsi="仿宋" w:eastAsia="仿宋"/>
          <w:b w:val="0"/>
          <w:bCs w:val="0"/>
        </w:rPr>
        <w:t>财政拨款“三公”经费支出决算表</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15</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3818A09A"/>
    <w:multiLevelType w:val="singleLevel"/>
    <w:tmpl w:val="3818A09A"/>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A2032A3"/>
    <w:rsid w:val="0B8A37D8"/>
    <w:rsid w:val="0FFCB903"/>
    <w:rsid w:val="10C055FF"/>
    <w:rsid w:val="118107EC"/>
    <w:rsid w:val="11DD6519"/>
    <w:rsid w:val="16BB723D"/>
    <w:rsid w:val="18015F3F"/>
    <w:rsid w:val="1BE8440E"/>
    <w:rsid w:val="1D155CEE"/>
    <w:rsid w:val="1F3703C5"/>
    <w:rsid w:val="20F57F95"/>
    <w:rsid w:val="23BD5BE2"/>
    <w:rsid w:val="240371BF"/>
    <w:rsid w:val="25711CC6"/>
    <w:rsid w:val="25C741E6"/>
    <w:rsid w:val="26CA6818"/>
    <w:rsid w:val="271A4C52"/>
    <w:rsid w:val="2746C755"/>
    <w:rsid w:val="27842671"/>
    <w:rsid w:val="29FD04D3"/>
    <w:rsid w:val="2ABE7A3E"/>
    <w:rsid w:val="2CA234A8"/>
    <w:rsid w:val="2EFA178C"/>
    <w:rsid w:val="30B46D73"/>
    <w:rsid w:val="319F7F4E"/>
    <w:rsid w:val="37FF4397"/>
    <w:rsid w:val="383D272C"/>
    <w:rsid w:val="399B52D5"/>
    <w:rsid w:val="39AE70AB"/>
    <w:rsid w:val="39FEFE20"/>
    <w:rsid w:val="3BFDEE2A"/>
    <w:rsid w:val="3C0C0783"/>
    <w:rsid w:val="3DF549CE"/>
    <w:rsid w:val="3DFFB01D"/>
    <w:rsid w:val="3F977AEE"/>
    <w:rsid w:val="3F9F3A96"/>
    <w:rsid w:val="3FFF91CC"/>
    <w:rsid w:val="48BF60AB"/>
    <w:rsid w:val="493C27E9"/>
    <w:rsid w:val="496F39ED"/>
    <w:rsid w:val="49FF41D3"/>
    <w:rsid w:val="4BE068DB"/>
    <w:rsid w:val="4BF6002B"/>
    <w:rsid w:val="4ECE2238"/>
    <w:rsid w:val="4FF95144"/>
    <w:rsid w:val="51DB4B86"/>
    <w:rsid w:val="51DC6ED5"/>
    <w:rsid w:val="55333C3E"/>
    <w:rsid w:val="57DF54D6"/>
    <w:rsid w:val="5CFF8160"/>
    <w:rsid w:val="5F9BEA97"/>
    <w:rsid w:val="63B7C820"/>
    <w:rsid w:val="64CA39A1"/>
    <w:rsid w:val="678FC324"/>
    <w:rsid w:val="69630ADE"/>
    <w:rsid w:val="6BBB0675"/>
    <w:rsid w:val="6BEF2C22"/>
    <w:rsid w:val="6BFFC3B2"/>
    <w:rsid w:val="6C3B54DC"/>
    <w:rsid w:val="6C4A05C8"/>
    <w:rsid w:val="6D3B1A89"/>
    <w:rsid w:val="6FCD9F52"/>
    <w:rsid w:val="717FD019"/>
    <w:rsid w:val="71BF4EC2"/>
    <w:rsid w:val="72734D90"/>
    <w:rsid w:val="7412278C"/>
    <w:rsid w:val="76BFF1F9"/>
    <w:rsid w:val="76DDC17F"/>
    <w:rsid w:val="77AE4A69"/>
    <w:rsid w:val="77FF2A7D"/>
    <w:rsid w:val="78B3D4C7"/>
    <w:rsid w:val="79E7B28D"/>
    <w:rsid w:val="79EFD0D9"/>
    <w:rsid w:val="7BBE86AE"/>
    <w:rsid w:val="7C5FE662"/>
    <w:rsid w:val="7D3F410A"/>
    <w:rsid w:val="7DFAB33D"/>
    <w:rsid w:val="7E2BE50C"/>
    <w:rsid w:val="7E7F23F1"/>
    <w:rsid w:val="7EE7414F"/>
    <w:rsid w:val="7EFB083F"/>
    <w:rsid w:val="7F7DFC9F"/>
    <w:rsid w:val="7F9F20EE"/>
    <w:rsid w:val="89C76322"/>
    <w:rsid w:val="8F7E9FEE"/>
    <w:rsid w:val="99F770E8"/>
    <w:rsid w:val="9E3A10E2"/>
    <w:rsid w:val="ADFDC2F2"/>
    <w:rsid w:val="ADFF51F1"/>
    <w:rsid w:val="B3FA75A5"/>
    <w:rsid w:val="BB5DE84A"/>
    <w:rsid w:val="BBE1FBF4"/>
    <w:rsid w:val="BBFD5204"/>
    <w:rsid w:val="BCFD465A"/>
    <w:rsid w:val="BDACEE16"/>
    <w:rsid w:val="BDCD95BA"/>
    <w:rsid w:val="BEB4B91F"/>
    <w:rsid w:val="BF7EF0C2"/>
    <w:rsid w:val="BFDEA61B"/>
    <w:rsid w:val="C7E926B8"/>
    <w:rsid w:val="CB6986B6"/>
    <w:rsid w:val="CBFB5A67"/>
    <w:rsid w:val="D6BC88D5"/>
    <w:rsid w:val="D7DF9501"/>
    <w:rsid w:val="D7FE778D"/>
    <w:rsid w:val="DAFFC876"/>
    <w:rsid w:val="DDBF8A1E"/>
    <w:rsid w:val="DF7C0E0D"/>
    <w:rsid w:val="DFE60306"/>
    <w:rsid w:val="DFFE783D"/>
    <w:rsid w:val="EADD72EF"/>
    <w:rsid w:val="ECFF2284"/>
    <w:rsid w:val="EF9EB4DD"/>
    <w:rsid w:val="EFFF5C1C"/>
    <w:rsid w:val="EFFFD08B"/>
    <w:rsid w:val="F2E1F9D4"/>
    <w:rsid w:val="F6FFBE22"/>
    <w:rsid w:val="F7880819"/>
    <w:rsid w:val="F7FBB681"/>
    <w:rsid w:val="F7FF91AC"/>
    <w:rsid w:val="F8C7EB0A"/>
    <w:rsid w:val="F99F03AA"/>
    <w:rsid w:val="FB283D5D"/>
    <w:rsid w:val="FBDAE9C5"/>
    <w:rsid w:val="FBF78DDC"/>
    <w:rsid w:val="FBFD6927"/>
    <w:rsid w:val="FDCDCA9C"/>
    <w:rsid w:val="FDFB96B3"/>
    <w:rsid w:val="FEF6A04B"/>
    <w:rsid w:val="FF5710A9"/>
    <w:rsid w:val="FF7A2F70"/>
    <w:rsid w:val="FFF70073"/>
    <w:rsid w:val="FFFF67C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2"/>
    <w:qFormat/>
    <w:uiPriority w:val="99"/>
    <w:pPr>
      <w:spacing w:beforeLines="30"/>
    </w:pPr>
    <w:rPr>
      <w:rFonts w:ascii="仿宋_GB2312" w:eastAsia="仿宋_GB2312"/>
      <w:kern w:val="0"/>
      <w:sz w:val="30"/>
    </w:rPr>
  </w:style>
  <w:style w:type="paragraph" w:styleId="3">
    <w:name w:val="Normal Indent"/>
    <w:basedOn w:val="1"/>
    <w:qFormat/>
    <w:uiPriority w:val="0"/>
    <w:pPr>
      <w:suppressAutoHyphens/>
    </w:pPr>
    <w:rPr>
      <w:rFonts w:ascii="Calibri" w:hAnsi="Calibri"/>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4"/>
    <w:qFormat/>
    <w:uiPriority w:val="9"/>
    <w:rPr>
      <w:rFonts w:ascii="Times New Roman" w:hAnsi="Times New Roman"/>
      <w:b/>
      <w:bCs/>
      <w:kern w:val="44"/>
      <w:sz w:val="44"/>
      <w:szCs w:val="44"/>
    </w:rPr>
  </w:style>
  <w:style w:type="character" w:customStyle="1" w:styleId="26">
    <w:name w:val="标题 2 字符"/>
    <w:basedOn w:val="14"/>
    <w:link w:val="5"/>
    <w:qFormat/>
    <w:uiPriority w:val="9"/>
    <w:rPr>
      <w:rFonts w:asciiTheme="majorHAnsi" w:hAnsiTheme="majorHAnsi" w:eastAsiaTheme="majorEastAsia" w:cstheme="majorBidi"/>
      <w:b/>
      <w:bCs/>
      <w:kern w:val="2"/>
      <w:sz w:val="32"/>
      <w:szCs w:val="32"/>
    </w:rPr>
  </w:style>
  <w:style w:type="paragraph" w:customStyle="1" w:styleId="27">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8"/>
    <w:semiHidden/>
    <w:qFormat/>
    <w:uiPriority w:val="99"/>
    <w:rPr>
      <w:rFonts w:ascii="Times New Roman" w:hAnsi="Times New Roman"/>
      <w:kern w:val="2"/>
      <w:sz w:val="18"/>
      <w:szCs w:val="18"/>
    </w:rPr>
  </w:style>
  <w:style w:type="character" w:customStyle="1" w:styleId="29">
    <w:name w:val="标题 3 字符"/>
    <w:basedOn w:val="14"/>
    <w:link w:val="6"/>
    <w:qFormat/>
    <w:uiPriority w:val="9"/>
    <w:rPr>
      <w:rFonts w:ascii="Times New Roman" w:hAnsi="Times New Roman"/>
      <w:b/>
      <w:bCs/>
      <w:kern w:val="2"/>
      <w:sz w:val="32"/>
      <w:szCs w:val="32"/>
    </w:rPr>
  </w:style>
  <w:style w:type="paragraph" w:customStyle="1" w:styleId="30">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882</Words>
  <Characters>5030</Characters>
  <Lines>41</Lines>
  <Paragraphs>11</Paragraphs>
  <TotalTime>8</TotalTime>
  <ScaleCrop>false</ScaleCrop>
  <LinksUpToDate>false</LinksUpToDate>
  <CharactersWithSpaces>5901</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2020-08-06T17:49:00Z</dcterms:created>
  <dc:creator>曹颖</dc:creator>
  <cp:lastModifiedBy>user</cp:lastModifiedBy>
  <cp:lastPrinted>2023-08-01T18:35:00Z</cp:lastPrinted>
  <dcterms:modified xsi:type="dcterms:W3CDTF">2023-09-13T08:50:16Z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