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475"/>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96598"/>
      <w:bookmarkStart w:id="9" w:name="_Toc15377426"/>
      <w:bookmarkStart w:id="10" w:name="_Toc15306268"/>
      <w:bookmarkStart w:id="11" w:name="_Toc15378442"/>
      <w:r>
        <w:rPr>
          <w:rFonts w:hint="eastAsia" w:ascii="方正小标宋简体" w:hAnsi="方正小标宋简体" w:eastAsia="方正小标宋简体" w:cs="方正小标宋简体"/>
          <w:sz w:val="72"/>
          <w:szCs w:val="72"/>
          <w:lang w:eastAsia="zh-CN"/>
        </w:rPr>
        <w:t>攀枝花市科学技术局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公开时间：2023年9月</w:t>
      </w:r>
      <w:r>
        <w:rPr>
          <w:rFonts w:hint="default"/>
          <w:lang w:val="en"/>
        </w:rPr>
        <w:t>14</w:t>
      </w:r>
      <w:bookmarkStart w:id="78" w:name="_GoBack"/>
      <w:bookmarkEnd w:id="78"/>
      <w:r>
        <w:rPr>
          <w:rFonts w:hint="eastAsia"/>
        </w:rPr>
        <w:t>日</w:t>
      </w:r>
    </w:p>
    <w:p/>
    <w:p>
      <w:pPr>
        <w:pStyle w:val="14"/>
        <w:adjustRightInd w:val="0"/>
        <w:snapToGrid w:val="0"/>
        <w:spacing w:before="0" w:line="440" w:lineRule="exact"/>
        <w:jc w:val="left"/>
        <w:rPr>
          <w:rFonts w:hint="default" w:cstheme="minorBidi"/>
          <w:sz w:val="24"/>
          <w:szCs w:val="24"/>
          <w:lang w:val="en"/>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default" w:cstheme="minorBidi"/>
          <w:sz w:val="24"/>
          <w:szCs w:val="24"/>
          <w:lang w:val="en"/>
        </w:rPr>
        <w:t>4</w:t>
      </w:r>
    </w:p>
    <w:p>
      <w:pPr>
        <w:pStyle w:val="15"/>
        <w:adjustRightInd w:val="0"/>
        <w:snapToGrid w:val="0"/>
        <w:spacing w:line="440" w:lineRule="exact"/>
        <w:jc w:val="left"/>
        <w:rPr>
          <w:rFonts w:hint="default" w:ascii="仿宋" w:hAnsi="仿宋" w:eastAsia="仿宋"/>
          <w:sz w:val="24"/>
          <w:lang w:val="en"/>
        </w:rPr>
      </w:pPr>
      <w:r>
        <w:rPr>
          <w:rFonts w:hint="eastAsia"/>
          <w:sz w:val="24"/>
        </w:rPr>
        <w:t>一、部门职责</w:t>
      </w:r>
      <w:r>
        <w:rPr>
          <w:rFonts w:cstheme="minorBidi"/>
          <w:sz w:val="24"/>
        </w:rPr>
        <w:tab/>
      </w:r>
      <w:r>
        <w:rPr>
          <w:rFonts w:hint="default" w:cstheme="minorBidi"/>
          <w:sz w:val="24"/>
          <w:lang w:val="en"/>
        </w:rPr>
        <w:t>4</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二、机构设置</w:t>
      </w:r>
      <w:r>
        <w:rPr>
          <w:rFonts w:cstheme="minorBidi"/>
          <w:sz w:val="24"/>
        </w:rPr>
        <w:tab/>
      </w:r>
      <w:r>
        <w:rPr>
          <w:rFonts w:hint="default" w:cstheme="minorBidi"/>
          <w:sz w:val="24"/>
          <w:lang w:val="en"/>
        </w:rPr>
        <w:t>6</w:t>
      </w:r>
    </w:p>
    <w:p>
      <w:pPr>
        <w:pStyle w:val="15"/>
        <w:adjustRightInd w:val="0"/>
        <w:snapToGrid w:val="0"/>
        <w:spacing w:line="440" w:lineRule="exact"/>
        <w:jc w:val="left"/>
        <w:rPr>
          <w:rFonts w:hint="default"/>
          <w:sz w:val="24"/>
          <w:szCs w:val="24"/>
          <w:lang w:val="en"/>
        </w:rPr>
      </w:pPr>
      <w:r>
        <w:rPr>
          <w:rFonts w:hint="eastAsia"/>
          <w:sz w:val="24"/>
        </w:rPr>
        <w:t>第二部分 2022年度部门决算情况说明</w:t>
      </w:r>
      <w:r>
        <w:rPr>
          <w:rFonts w:cstheme="minorBidi"/>
          <w:sz w:val="24"/>
        </w:rPr>
        <w:tab/>
      </w:r>
      <w:r>
        <w:rPr>
          <w:rFonts w:hint="default" w:cstheme="minorBidi"/>
          <w:sz w:val="24"/>
          <w:lang w:val="en"/>
        </w:rPr>
        <w:t>8</w:t>
      </w:r>
    </w:p>
    <w:p>
      <w:pPr>
        <w:pStyle w:val="15"/>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default" w:cstheme="minorBidi"/>
          <w:sz w:val="24"/>
          <w:lang w:val="en"/>
        </w:rPr>
        <w:t>8</w:t>
      </w:r>
    </w:p>
    <w:p>
      <w:pPr>
        <w:pStyle w:val="15"/>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default" w:cstheme="minorBidi"/>
          <w:sz w:val="24"/>
          <w:lang w:val="en"/>
        </w:rPr>
        <w:t>8</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三、支出决算情况说明</w:t>
      </w:r>
      <w:r>
        <w:rPr>
          <w:rFonts w:cstheme="minorBidi"/>
          <w:sz w:val="24"/>
        </w:rPr>
        <w:tab/>
      </w:r>
      <w:r>
        <w:rPr>
          <w:rFonts w:hint="default" w:cstheme="minorBidi"/>
          <w:sz w:val="24"/>
          <w:lang w:val="en"/>
        </w:rPr>
        <w:t>9</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四、财政拨款收入支出决算总体情况说明</w:t>
      </w:r>
      <w:r>
        <w:rPr>
          <w:rFonts w:cstheme="minorBidi"/>
          <w:sz w:val="24"/>
        </w:rPr>
        <w:tab/>
      </w:r>
      <w:r>
        <w:rPr>
          <w:rFonts w:hint="default" w:cstheme="minorBidi"/>
          <w:sz w:val="24"/>
          <w:lang w:val="en"/>
        </w:rPr>
        <w:t>10</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五、一般公共预算财政拨款支出决算情况说明</w:t>
      </w:r>
      <w:r>
        <w:rPr>
          <w:rFonts w:cstheme="minorBidi"/>
          <w:sz w:val="24"/>
        </w:rPr>
        <w:tab/>
      </w:r>
      <w:r>
        <w:rPr>
          <w:rFonts w:hint="default" w:cstheme="minorBidi"/>
          <w:sz w:val="24"/>
          <w:lang w:val="en"/>
        </w:rPr>
        <w:t>10</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六、一般公共预算财政拨款基本支出决算情况说明</w:t>
      </w:r>
      <w:r>
        <w:rPr>
          <w:rFonts w:cstheme="minorBidi"/>
          <w:sz w:val="24"/>
        </w:rPr>
        <w:tab/>
      </w:r>
      <w:r>
        <w:rPr>
          <w:rFonts w:hint="default" w:cstheme="minorBidi"/>
          <w:sz w:val="24"/>
          <w:lang w:val="en"/>
        </w:rPr>
        <w:t>13</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七、财政拨款“三公”经费支出决算情况说明</w:t>
      </w:r>
      <w:r>
        <w:rPr>
          <w:rFonts w:cstheme="minorBidi"/>
          <w:sz w:val="24"/>
        </w:rPr>
        <w:tab/>
      </w:r>
      <w:r>
        <w:rPr>
          <w:rFonts w:hint="default" w:cstheme="minorBidi"/>
          <w:sz w:val="24"/>
          <w:lang w:val="en"/>
        </w:rPr>
        <w:t>14</w:t>
      </w:r>
    </w:p>
    <w:p>
      <w:pPr>
        <w:pStyle w:val="15"/>
        <w:adjustRightInd w:val="0"/>
        <w:snapToGrid w:val="0"/>
        <w:spacing w:line="440" w:lineRule="exact"/>
        <w:jc w:val="left"/>
        <w:rPr>
          <w:rFonts w:hint="default" w:ascii="仿宋" w:hAnsi="仿宋" w:eastAsia="仿宋" w:cstheme="minorBidi"/>
          <w:sz w:val="24"/>
          <w:lang w:val="en"/>
        </w:rPr>
      </w:pPr>
      <w:r>
        <w:rPr>
          <w:rFonts w:hint="eastAsia"/>
          <w:sz w:val="24"/>
        </w:rPr>
        <w:t>八、政府性基金预算支出决算情况说明</w:t>
      </w:r>
      <w:r>
        <w:rPr>
          <w:rFonts w:cstheme="minorBidi"/>
          <w:sz w:val="24"/>
        </w:rPr>
        <w:tab/>
      </w:r>
      <w:r>
        <w:rPr>
          <w:rFonts w:hint="default" w:cstheme="minorBidi"/>
          <w:sz w:val="24"/>
          <w:lang w:val="en"/>
        </w:rPr>
        <w:t>16</w:t>
      </w:r>
    </w:p>
    <w:p>
      <w:pPr>
        <w:pStyle w:val="15"/>
        <w:adjustRightInd w:val="0"/>
        <w:snapToGrid w:val="0"/>
        <w:spacing w:line="440" w:lineRule="exact"/>
        <w:ind w:leftChars="0"/>
        <w:jc w:val="left"/>
        <w:rPr>
          <w:rFonts w:hint="default" w:asciiTheme="minorEastAsia" w:hAnsiTheme="minorEastAsia" w:eastAsiaTheme="minorEastAsia" w:cstheme="minorEastAsia"/>
          <w:sz w:val="24"/>
          <w:lang w:val="e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default" w:cstheme="minorBidi"/>
          <w:sz w:val="24"/>
          <w:lang w:val="en"/>
        </w:rPr>
        <w:t>16</w:t>
      </w:r>
    </w:p>
    <w:p>
      <w:pPr>
        <w:pStyle w:val="14"/>
        <w:adjustRightInd w:val="0"/>
        <w:snapToGrid w:val="0"/>
        <w:spacing w:before="0" w:line="440" w:lineRule="exact"/>
        <w:ind w:left="0" w:leftChars="0" w:firstLine="420" w:firstLineChars="175"/>
        <w:jc w:val="left"/>
        <w:rPr>
          <w:rFonts w:hint="default" w:cstheme="minorBidi"/>
          <w:sz w:val="24"/>
          <w:szCs w:val="24"/>
          <w:lang w:val="en"/>
        </w:rPr>
      </w:pPr>
      <w:r>
        <w:rPr>
          <w:rStyle w:val="23"/>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szCs w:val="24"/>
        </w:rPr>
        <w:tab/>
      </w:r>
      <w:r>
        <w:rPr>
          <w:rFonts w:hint="default" w:cstheme="minorBidi"/>
          <w:sz w:val="24"/>
          <w:szCs w:val="24"/>
          <w:lang w:val="en"/>
        </w:rPr>
        <w:t>16</w:t>
      </w:r>
    </w:p>
    <w:p>
      <w:pPr>
        <w:pStyle w:val="14"/>
        <w:adjustRightInd w:val="0"/>
        <w:snapToGrid w:val="0"/>
        <w:spacing w:before="0" w:line="440" w:lineRule="exact"/>
        <w:jc w:val="left"/>
        <w:rPr>
          <w:rFonts w:hint="default" w:cstheme="minorBidi"/>
          <w:sz w:val="24"/>
          <w:szCs w:val="24"/>
          <w:lang w:val="e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default" w:cstheme="minorBidi"/>
          <w:sz w:val="24"/>
          <w:szCs w:val="24"/>
          <w:lang w:val="en"/>
        </w:rPr>
        <w:t>19</w:t>
      </w:r>
    </w:p>
    <w:p>
      <w:pPr>
        <w:pStyle w:val="14"/>
        <w:adjustRightInd w:val="0"/>
        <w:snapToGrid w:val="0"/>
        <w:spacing w:before="0" w:line="440" w:lineRule="exact"/>
        <w:jc w:val="left"/>
        <w:rPr>
          <w:rFonts w:hint="default" w:cstheme="minorBidi"/>
          <w:sz w:val="24"/>
          <w:szCs w:val="24"/>
          <w:lang w:val="e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default" w:cstheme="minorBidi"/>
          <w:sz w:val="24"/>
          <w:szCs w:val="24"/>
          <w:lang w:val="en"/>
        </w:rPr>
        <w:t>22</w:t>
      </w:r>
    </w:p>
    <w:p>
      <w:pPr>
        <w:pStyle w:val="14"/>
        <w:adjustRightInd w:val="0"/>
        <w:snapToGrid w:val="0"/>
        <w:spacing w:before="0" w:line="440" w:lineRule="exact"/>
        <w:jc w:val="left"/>
        <w:rPr>
          <w:rFonts w:hint="default" w:cstheme="minorBidi"/>
          <w:sz w:val="24"/>
          <w:szCs w:val="24"/>
          <w:lang w:val="e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一、收入支出决算总表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二、收入决算表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三、支出决算表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四、财政拨款收入支出决算总表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五、财政拨款支出决算明细表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六、一般公共预算财政拨款支出决算表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七、一般公共预算财政拨款支出决算明细表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八、一般公共预算财政拨款基本支出决算明细表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九、一般公共预算财政拨款项目支出决算表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十、政府性基金预算财政拨款收入支出决算表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十一、国有资本经营预算财政拨款收入支出决算表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sz w:val="24"/>
        </w:rPr>
      </w:pPr>
      <w:r>
        <w:rPr>
          <w:rFonts w:hint="eastAsia"/>
          <w:sz w:val="24"/>
        </w:rPr>
        <w:t>十二、国有资本经营预算财政拨款支出决算表</w:t>
      </w:r>
      <w:r>
        <w:rPr>
          <w:rFonts w:cstheme="minorBidi"/>
          <w:sz w:val="24"/>
          <w:szCs w:val="24"/>
        </w:rPr>
        <w:tab/>
      </w:r>
      <w:r>
        <w:rPr>
          <w:rFonts w:hint="default" w:cstheme="minorBidi"/>
          <w:sz w:val="24"/>
          <w:szCs w:val="24"/>
          <w:lang w:val="en"/>
        </w:rPr>
        <w:t>73</w:t>
      </w:r>
    </w:p>
    <w:p>
      <w:pPr>
        <w:pStyle w:val="15"/>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szCs w:val="24"/>
        </w:rPr>
        <w:tab/>
      </w:r>
      <w:r>
        <w:rPr>
          <w:rFonts w:hint="default" w:cstheme="minorBidi"/>
          <w:sz w:val="24"/>
          <w:szCs w:val="24"/>
          <w:lang w:val="en"/>
        </w:rPr>
        <w:t>73</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4"/>
        <w:jc w:val="center"/>
        <w:rPr>
          <w:rStyle w:val="32"/>
          <w:rFonts w:ascii="黑体" w:hAnsi="黑体" w:eastAsia="黑体"/>
          <w:b/>
          <w:bCs w:val="0"/>
        </w:rPr>
      </w:pPr>
      <w:r>
        <w:rPr>
          <w:rFonts w:hint="eastAsia" w:ascii="黑体" w:hAnsi="黑体" w:eastAsia="黑体"/>
          <w:b w:val="0"/>
        </w:rPr>
        <w:t xml:space="preserve">第一部分 </w:t>
      </w:r>
      <w:r>
        <w:rPr>
          <w:rStyle w:val="32"/>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numPr>
          <w:ilvl w:val="0"/>
          <w:numId w:val="1"/>
        </w:numPr>
        <w:rPr>
          <w:rFonts w:ascii="黑体" w:hAnsi="黑体" w:eastAsia="黑体"/>
          <w:b w:val="0"/>
        </w:rPr>
      </w:pPr>
      <w:r>
        <w:rPr>
          <w:rFonts w:hint="eastAsia" w:ascii="黑体" w:hAnsi="黑体" w:eastAsia="黑体"/>
          <w:b w:val="0"/>
        </w:rPr>
        <w:t>部门职责</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1.拟订全市创新驱动发展战略以及科技发展、引进国外智力规划和政策措施并组织实施。起草有关科技发展的政策措施并组织实施。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2.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4.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5.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6.组织拟订高新技术发展及产业化的规划和政策措施并组织实施。指导高新技术企业、创新型企业申报和创新平台建设，负责市级创新平台认定管理工作。组织开展科技型中小企业评价的初审工作。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7.组织拟订科技促进农业农村和社会发展的规划、政策和措施，指导现代农业示范基地建设，推进科技服务民生工作。拟订科学普及和科学传播规划，政策措施并组织实施。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8.牵头全市技术转移体系建设，拟订科技成果转移转化和促进产学研结合的相关政策措施并组织实施。指导科技服务业、技术市场和科技中介组织发展。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9.统筹区域科技创新体系建设，指导区域创新发展、科技资源合理布局和协同创新能力建设，推动高新技术园区建设。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10.会同有关部门拟订科技人才队伍建设规划和政策，建立健全科技人才评价和激励机制，组织实施科技人才计划，推动高端科技创新人才队伍建设。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11.负责科技监督评价体系建设和相关科技评估管理，指导科技评价机制改革，统筹科研诚信建设。组织实施全市创新调查和科技报告制度，指导全市科技保密相关工作。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12.拟订科技对外交流与创新能力开放合作的规划和政策措施，组织开展对外科技合作与科技人才交流。指导县（区）和相关部门对外科技合作与科技人才交流工作。负责有关科技博览展会参展推广的组织协调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13.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14.负责职责范围内的安全生产和职业健康、生态环境保护、审批服务便民化等工作。 </w:t>
      </w:r>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15.完成市委、市政府交办的其他任务。</w:t>
      </w:r>
    </w:p>
    <w:p>
      <w:pPr>
        <w:pStyle w:val="5"/>
        <w:rPr>
          <w:rStyle w:val="33"/>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lang w:eastAsia="zh-CN"/>
        </w:rPr>
        <w:t>攀枝花市科学技术局</w:t>
      </w:r>
      <w:r>
        <w:rPr>
          <w:rFonts w:hint="eastAsia" w:ascii="仿宋" w:hAnsi="仿宋" w:eastAsia="仿宋"/>
          <w:sz w:val="32"/>
          <w:szCs w:val="32"/>
        </w:rPr>
        <w:t>下属二级预算单位</w:t>
      </w:r>
      <w:r>
        <w:rPr>
          <w:rFonts w:hint="eastAsia" w:ascii="仿宋" w:hAnsi="仿宋" w:eastAsia="仿宋"/>
          <w:sz w:val="32"/>
          <w:szCs w:val="32"/>
          <w:lang w:val="en-US" w:eastAsia="zh-CN"/>
        </w:rPr>
        <w:t>3</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3</w:t>
      </w:r>
      <w:r>
        <w:rPr>
          <w:rFonts w:hint="eastAsia" w:ascii="仿宋" w:hAnsi="仿宋" w:eastAsia="仿宋"/>
          <w:sz w:val="32"/>
          <w:szCs w:val="32"/>
        </w:rPr>
        <w:t>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攀枝花市科学技术局</w:t>
      </w:r>
      <w:r>
        <w:rPr>
          <w:rFonts w:hint="eastAsia" w:ascii="仿宋" w:hAnsi="仿宋" w:eastAsia="仿宋"/>
          <w:sz w:val="32"/>
          <w:szCs w:val="32"/>
        </w:rPr>
        <w:t>2022年度部门决算编制范围的二级预算单位包括：</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lang w:val="en-US" w:eastAsia="zh-CN"/>
        </w:rPr>
        <w:t>1</w:t>
      </w:r>
      <w:r>
        <w:rPr>
          <w:rFonts w:hint="eastAsia" w:ascii="仿宋" w:hAnsi="仿宋" w:eastAsia="仿宋"/>
          <w:kern w:val="2"/>
          <w:sz w:val="32"/>
          <w:szCs w:val="32"/>
        </w:rPr>
        <w:t>.攀枝花市生产力促进中心</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2.攀枝花市科技发展战略研究所</w:t>
      </w:r>
    </w:p>
    <w:p>
      <w:pPr>
        <w:pStyle w:val="2"/>
        <w:adjustRightInd w:val="0"/>
        <w:snapToGrid w:val="0"/>
        <w:spacing w:beforeLines="0"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3.攀枝花市科技基础条件平台服务中心</w:t>
      </w:r>
    </w:p>
    <w:p>
      <w:pPr>
        <w:pStyle w:val="2"/>
        <w:adjustRightInd w:val="0"/>
        <w:snapToGrid w:val="0"/>
        <w:spacing w:beforeLines="0" w:line="600" w:lineRule="exact"/>
        <w:ind w:firstLine="640" w:firstLineChars="200"/>
        <w:outlineLvl w:val="2"/>
        <w:rPr>
          <w:rFonts w:hint="eastAsia" w:ascii="仿宋" w:hAnsi="仿宋" w:eastAsia="仿宋"/>
          <w:kern w:val="2"/>
          <w:sz w:val="32"/>
          <w:szCs w:val="32"/>
          <w:lang w:val="en-US" w:eastAsia="zh-CN"/>
        </w:rPr>
      </w:pPr>
      <w:bookmarkStart w:id="16" w:name="_Toc15306276"/>
      <w:bookmarkStart w:id="17" w:name="_Toc15378449"/>
      <w:bookmarkStart w:id="18" w:name="_Toc15377433"/>
      <w:bookmarkStart w:id="19" w:name="_Toc15377202"/>
      <w:r>
        <w:rPr>
          <w:rFonts w:hint="eastAsia" w:ascii="仿宋" w:hAnsi="仿宋" w:eastAsia="仿宋"/>
          <w:kern w:val="2"/>
          <w:sz w:val="32"/>
          <w:szCs w:val="32"/>
          <w:lang w:val="en-US" w:eastAsia="zh-CN"/>
        </w:rPr>
        <w:t>4</w:t>
      </w:r>
      <w:r>
        <w:rPr>
          <w:rFonts w:hint="eastAsia" w:ascii="仿宋" w:hAnsi="仿宋" w:eastAsia="仿宋"/>
          <w:kern w:val="2"/>
          <w:sz w:val="32"/>
          <w:szCs w:val="32"/>
        </w:rPr>
        <w:t>.攀枝花市决策咨询服务中心</w:t>
      </w:r>
      <w:bookmarkEnd w:id="16"/>
      <w:bookmarkEnd w:id="17"/>
      <w:bookmarkEnd w:id="18"/>
      <w:bookmarkEnd w:id="19"/>
      <w:r>
        <w:rPr>
          <w:rFonts w:hint="eastAsia" w:ascii="仿宋" w:hAnsi="仿宋" w:eastAsia="仿宋"/>
          <w:kern w:val="2"/>
          <w:sz w:val="32"/>
          <w:szCs w:val="32"/>
          <w:lang w:eastAsia="zh-CN"/>
        </w:rPr>
        <w:t>（</w:t>
      </w:r>
      <w:r>
        <w:rPr>
          <w:rFonts w:hint="eastAsia" w:ascii="仿宋" w:hAnsi="仿宋" w:eastAsia="仿宋" w:cs="Times New Roman"/>
          <w:kern w:val="2"/>
          <w:sz w:val="32"/>
          <w:szCs w:val="32"/>
          <w:lang w:val="en-US" w:eastAsia="zh-CN" w:bidi="ar-SA"/>
        </w:rPr>
        <w:t>隶属关系已调整为市政府办公室管理</w:t>
      </w:r>
      <w:r>
        <w:rPr>
          <w:rFonts w:hint="eastAsia" w:ascii="仿宋" w:hAnsi="仿宋" w:eastAsia="仿宋"/>
          <w:kern w:val="2"/>
          <w:sz w:val="32"/>
          <w:szCs w:val="32"/>
          <w:lang w:eastAsia="zh-CN"/>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rStyle w:val="32"/>
          <w:rFonts w:ascii="黑体" w:hAnsi="黑体" w:eastAsia="黑体"/>
          <w:b w:val="0"/>
          <w:bCs/>
        </w:rPr>
      </w:pPr>
      <w:bookmarkStart w:id="20" w:name="_Toc15377204"/>
      <w:bookmarkStart w:id="21" w:name="_Toc15396602"/>
      <w:r>
        <w:rPr>
          <w:rFonts w:hint="eastAsia" w:ascii="黑体" w:hAnsi="黑体" w:eastAsia="黑体"/>
          <w:b w:val="0"/>
        </w:rPr>
        <w:t>第二部分 2022年度</w:t>
      </w:r>
      <w:r>
        <w:rPr>
          <w:rStyle w:val="32"/>
          <w:rFonts w:hint="eastAsia" w:ascii="黑体" w:hAnsi="黑体" w:eastAsia="黑体"/>
          <w:b w:val="0"/>
          <w:bCs/>
        </w:rPr>
        <w:t>部门决算情况说明</w:t>
      </w:r>
      <w:bookmarkEnd w:id="20"/>
      <w:bookmarkEnd w:id="21"/>
    </w:p>
    <w:p/>
    <w:p>
      <w:pPr>
        <w:pStyle w:val="31"/>
        <w:numPr>
          <w:ilvl w:val="0"/>
          <w:numId w:val="0"/>
        </w:numPr>
        <w:spacing w:line="600" w:lineRule="exact"/>
        <w:ind w:left="640" w:leftChars="0"/>
        <w:outlineLvl w:val="1"/>
        <w:rPr>
          <w:rStyle w:val="33"/>
          <w:rFonts w:ascii="黑体" w:hAnsi="黑体" w:eastAsia="黑体"/>
          <w:b w:val="0"/>
        </w:rPr>
      </w:pPr>
      <w:bookmarkStart w:id="22" w:name="_Toc15396603"/>
      <w:bookmarkStart w:id="23" w:name="_Toc15377205"/>
      <w:r>
        <w:rPr>
          <w:rFonts w:hint="eastAsia" w:ascii="黑体" w:hAnsi="黑体" w:eastAsia="黑体"/>
          <w:sz w:val="32"/>
          <w:szCs w:val="32"/>
          <w:lang w:eastAsia="zh-CN"/>
        </w:rPr>
        <w:t>一、</w:t>
      </w:r>
      <w:r>
        <w:rPr>
          <w:rFonts w:hint="eastAsia" w:ascii="黑体" w:hAnsi="黑体" w:eastAsia="黑体"/>
          <w:sz w:val="32"/>
          <w:szCs w:val="32"/>
        </w:rPr>
        <w:t>收</w:t>
      </w:r>
      <w:r>
        <w:rPr>
          <w:rStyle w:val="33"/>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2022年度收、支总计1911.53万元。与2021年相比，收、支总计各减少</w:t>
      </w:r>
      <w:r>
        <w:rPr>
          <w:rFonts w:hint="eastAsia" w:ascii="仿宋" w:hAnsi="仿宋" w:eastAsia="仿宋"/>
          <w:sz w:val="32"/>
          <w:szCs w:val="32"/>
          <w:lang w:val="en-US" w:eastAsia="zh-CN"/>
        </w:rPr>
        <w:t>156.01</w:t>
      </w:r>
      <w:r>
        <w:rPr>
          <w:rFonts w:hint="eastAsia" w:ascii="仿宋" w:hAnsi="仿宋" w:eastAsia="仿宋"/>
          <w:sz w:val="32"/>
          <w:szCs w:val="32"/>
        </w:rPr>
        <w:t>万元，下降</w:t>
      </w:r>
      <w:r>
        <w:rPr>
          <w:rFonts w:hint="eastAsia" w:ascii="仿宋" w:hAnsi="仿宋" w:eastAsia="仿宋"/>
          <w:sz w:val="32"/>
          <w:szCs w:val="32"/>
          <w:lang w:val="en-US" w:eastAsia="zh-CN"/>
        </w:rPr>
        <w:t>7.55</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w:t>
      </w:r>
      <w:r>
        <w:rPr>
          <w:rFonts w:hint="eastAsia" w:ascii="仿宋" w:hAnsi="仿宋" w:eastAsia="仿宋"/>
          <w:sz w:val="32"/>
          <w:szCs w:val="32"/>
        </w:rPr>
        <w:t>是</w:t>
      </w:r>
      <w:r>
        <w:rPr>
          <w:rFonts w:hint="eastAsia" w:ascii="仿宋" w:hAnsi="仿宋" w:eastAsia="仿宋"/>
          <w:sz w:val="32"/>
          <w:szCs w:val="32"/>
          <w:lang w:eastAsia="zh-CN"/>
        </w:rPr>
        <w:t>项目经费支出减少；二是市决咨中心隶属关系变更，经费全部转至市政府办</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Style w:val="33"/>
          <w:rFonts w:ascii="黑体" w:hAnsi="黑体" w:eastAsia="黑体"/>
          <w:b w:val="0"/>
        </w:rPr>
      </w:pPr>
      <w:r>
        <w:rPr>
          <w:rFonts w:hint="eastAsia" w:ascii="仿宋_GB2312" w:eastAsia="仿宋_GB2312"/>
          <w:sz w:val="32"/>
          <w:szCs w:val="32"/>
          <w:lang w:eastAsia="zh-CN"/>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156210</wp:posOffset>
            </wp:positionV>
            <wp:extent cx="5272405" cy="3002280"/>
            <wp:effectExtent l="0" t="0" r="4445" b="7620"/>
            <wp:wrapSquare wrapText="bothSides"/>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5272405" cy="3002280"/>
                    </a:xfrm>
                    <a:prstGeom prst="rect">
                      <a:avLst/>
                    </a:prstGeom>
                  </pic:spPr>
                </pic:pic>
              </a:graphicData>
            </a:graphic>
          </wp:anchor>
        </w:drawing>
      </w:r>
      <w:bookmarkStart w:id="24" w:name="_Toc15377206"/>
      <w:bookmarkStart w:id="25"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33"/>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22年本年收入合计1853.47万元，其中：一般公共预算财政拨款收入1853.47万元，占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100965</wp:posOffset>
            </wp:positionV>
            <wp:extent cx="4584065" cy="2755265"/>
            <wp:effectExtent l="0" t="0" r="6985" b="6985"/>
            <wp:wrapSquare wrapText="bothSides"/>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7"/>
                    <a:stretch>
                      <a:fillRect/>
                    </a:stretch>
                  </pic:blipFill>
                  <pic:spPr>
                    <a:xfrm>
                      <a:off x="0" y="0"/>
                      <a:ext cx="4584065" cy="2755265"/>
                    </a:xfrm>
                    <a:prstGeom prst="rect">
                      <a:avLst/>
                    </a:prstGeom>
                  </pic:spPr>
                </pic:pic>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hint="eastAsia" w:ascii="仿宋_GB2312" w:eastAsia="仿宋_GB2312"/>
          <w:sz w:val="32"/>
          <w:szCs w:val="32"/>
          <w:lang w:eastAsia="zh-CN"/>
        </w:rPr>
      </w:pPr>
    </w:p>
    <w:p>
      <w:pPr>
        <w:pStyle w:val="31"/>
        <w:numPr>
          <w:ilvl w:val="0"/>
          <w:numId w:val="0"/>
        </w:numPr>
        <w:spacing w:line="600" w:lineRule="exact"/>
        <w:ind w:left="640" w:leftChars="0"/>
        <w:outlineLvl w:val="1"/>
        <w:rPr>
          <w:rFonts w:hint="eastAsia" w:ascii="黑体" w:hAnsi="黑体" w:eastAsia="黑体"/>
          <w:sz w:val="32"/>
          <w:szCs w:val="32"/>
          <w:lang w:eastAsia="zh-CN"/>
        </w:rPr>
      </w:pPr>
      <w:bookmarkStart w:id="26" w:name="_Toc15377207"/>
      <w:bookmarkStart w:id="27" w:name="_Toc15396605"/>
    </w:p>
    <w:p>
      <w:pPr>
        <w:pStyle w:val="31"/>
        <w:numPr>
          <w:ilvl w:val="0"/>
          <w:numId w:val="0"/>
        </w:numPr>
        <w:spacing w:line="600" w:lineRule="exact"/>
        <w:ind w:left="640" w:leftChars="0"/>
        <w:outlineLvl w:val="1"/>
        <w:rPr>
          <w:rFonts w:hint="eastAsia" w:ascii="黑体" w:hAnsi="黑体" w:eastAsia="黑体"/>
          <w:sz w:val="32"/>
          <w:szCs w:val="32"/>
          <w:lang w:eastAsia="zh-CN"/>
        </w:rPr>
      </w:pPr>
    </w:p>
    <w:p>
      <w:pPr>
        <w:pStyle w:val="31"/>
        <w:numPr>
          <w:ilvl w:val="0"/>
          <w:numId w:val="0"/>
        </w:numPr>
        <w:spacing w:line="600" w:lineRule="exact"/>
        <w:ind w:left="640" w:leftChars="0"/>
        <w:outlineLvl w:val="1"/>
        <w:rPr>
          <w:rFonts w:hint="eastAsia" w:ascii="黑体" w:hAnsi="黑体" w:eastAsia="黑体"/>
          <w:sz w:val="32"/>
          <w:szCs w:val="32"/>
          <w:lang w:eastAsia="zh-CN"/>
        </w:rPr>
      </w:pPr>
    </w:p>
    <w:p>
      <w:pPr>
        <w:pStyle w:val="31"/>
        <w:numPr>
          <w:ilvl w:val="0"/>
          <w:numId w:val="0"/>
        </w:numPr>
        <w:spacing w:line="600" w:lineRule="exact"/>
        <w:ind w:left="640" w:leftChars="0"/>
        <w:outlineLvl w:val="1"/>
        <w:rPr>
          <w:rStyle w:val="33"/>
          <w:rFonts w:ascii="黑体" w:hAnsi="黑体" w:eastAsia="黑体"/>
          <w:b w:val="0"/>
        </w:rPr>
      </w:pPr>
      <w:r>
        <w:rPr>
          <w:rFonts w:hint="eastAsia" w:ascii="黑体" w:hAnsi="黑体" w:eastAsia="黑体"/>
          <w:sz w:val="32"/>
          <w:szCs w:val="32"/>
          <w:lang w:eastAsia="zh-CN"/>
        </w:rPr>
        <w:t>三、</w:t>
      </w:r>
      <w:r>
        <w:rPr>
          <w:rFonts w:hint="eastAsia" w:ascii="黑体" w:hAnsi="黑体" w:eastAsia="黑体"/>
          <w:sz w:val="32"/>
          <w:szCs w:val="32"/>
        </w:rPr>
        <w:t>支</w:t>
      </w:r>
      <w:r>
        <w:rPr>
          <w:rStyle w:val="33"/>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22年本年支出合计1892.07万元，其中：基本支出1746.06万元，占</w:t>
      </w:r>
      <w:r>
        <w:rPr>
          <w:rFonts w:hint="eastAsia" w:ascii="仿宋" w:hAnsi="仿宋" w:eastAsia="仿宋"/>
          <w:sz w:val="32"/>
          <w:szCs w:val="32"/>
          <w:lang w:val="en-US" w:eastAsia="zh-CN"/>
        </w:rPr>
        <w:t>92.28</w:t>
      </w:r>
      <w:r>
        <w:rPr>
          <w:rFonts w:ascii="仿宋" w:hAnsi="仿宋" w:eastAsia="仿宋"/>
          <w:sz w:val="32"/>
          <w:szCs w:val="32"/>
        </w:rPr>
        <w:t>%</w:t>
      </w:r>
      <w:r>
        <w:rPr>
          <w:rFonts w:hint="eastAsia" w:ascii="仿宋" w:hAnsi="仿宋" w:eastAsia="仿宋"/>
          <w:sz w:val="32"/>
          <w:szCs w:val="32"/>
        </w:rPr>
        <w:t>；项目支出146.01万元，占</w:t>
      </w:r>
      <w:r>
        <w:rPr>
          <w:rFonts w:hint="eastAsia" w:ascii="仿宋" w:hAnsi="仿宋" w:eastAsia="仿宋"/>
          <w:sz w:val="32"/>
          <w:szCs w:val="32"/>
          <w:lang w:val="en-US" w:eastAsia="zh-CN"/>
        </w:rPr>
        <w:t>7.72</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466725</wp:posOffset>
            </wp:positionH>
            <wp:positionV relativeFrom="paragraph">
              <wp:posOffset>188595</wp:posOffset>
            </wp:positionV>
            <wp:extent cx="3956050" cy="2548255"/>
            <wp:effectExtent l="0" t="0" r="6350" b="4445"/>
            <wp:wrapSquare wrapText="bothSides"/>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8"/>
                    <a:stretch>
                      <a:fillRect/>
                    </a:stretch>
                  </pic:blipFill>
                  <pic:spPr>
                    <a:xfrm>
                      <a:off x="0" y="0"/>
                      <a:ext cx="3956050" cy="2548255"/>
                    </a:xfrm>
                    <a:prstGeom prst="rect">
                      <a:avLst/>
                    </a:prstGeom>
                  </pic:spPr>
                </pic:pic>
              </a:graphicData>
            </a:graphic>
          </wp:anchor>
        </w:drawing>
      </w:r>
    </w:p>
    <w:p>
      <w:pPr>
        <w:pStyle w:val="2"/>
        <w:rPr>
          <w:rFonts w:ascii="仿宋_GB2312" w:eastAsia="仿宋_GB2312"/>
          <w:sz w:val="32"/>
          <w:szCs w:val="32"/>
        </w:rPr>
      </w:pPr>
    </w:p>
    <w:p>
      <w:pPr>
        <w:pStyle w:val="2"/>
        <w:rPr>
          <w:rFonts w:ascii="仿宋_GB2312" w:eastAsia="仿宋_GB2312"/>
          <w:sz w:val="32"/>
          <w:szCs w:val="32"/>
        </w:rPr>
      </w:pPr>
    </w:p>
    <w:p>
      <w:pPr>
        <w:pStyle w:val="2"/>
        <w:rPr>
          <w:rFonts w:hint="eastAsia" w:ascii="仿宋_GB2312" w:eastAsia="仿宋_GB2312"/>
          <w:sz w:val="32"/>
          <w:szCs w:val="32"/>
          <w:lang w:eastAsia="zh-CN"/>
        </w:rPr>
      </w:pPr>
    </w:p>
    <w:p>
      <w:pPr>
        <w:spacing w:line="600" w:lineRule="exact"/>
        <w:ind w:firstLine="640" w:firstLineChars="200"/>
        <w:outlineLvl w:val="1"/>
        <w:rPr>
          <w:rFonts w:hint="eastAsia" w:ascii="黑体" w:hAnsi="黑体" w:eastAsia="黑体"/>
          <w:sz w:val="32"/>
          <w:szCs w:val="32"/>
        </w:rPr>
      </w:pPr>
      <w:bookmarkStart w:id="28" w:name="_Toc15396606"/>
      <w:bookmarkStart w:id="29" w:name="_Toc15377208"/>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Style w:val="33"/>
          <w:rFonts w:ascii="黑体" w:hAnsi="黑体" w:eastAsia="黑体"/>
          <w:b w:val="0"/>
        </w:rPr>
      </w:pPr>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22年财政拨款收、支总计1905.49万元。与</w:t>
      </w:r>
      <w:r>
        <w:rPr>
          <w:rFonts w:ascii="仿宋" w:hAnsi="仿宋" w:eastAsia="仿宋"/>
          <w:sz w:val="32"/>
          <w:szCs w:val="32"/>
        </w:rPr>
        <w:t>20</w:t>
      </w:r>
      <w:r>
        <w:rPr>
          <w:rFonts w:hint="eastAsia" w:ascii="仿宋" w:hAnsi="仿宋" w:eastAsia="仿宋"/>
          <w:sz w:val="32"/>
          <w:szCs w:val="32"/>
        </w:rPr>
        <w:t>21年相比2003.94，财政拨款收、支总计各减少</w:t>
      </w:r>
      <w:r>
        <w:rPr>
          <w:rFonts w:hint="eastAsia" w:ascii="仿宋" w:hAnsi="仿宋" w:eastAsia="仿宋"/>
          <w:sz w:val="32"/>
          <w:szCs w:val="32"/>
          <w:lang w:val="en-US" w:eastAsia="zh-CN"/>
        </w:rPr>
        <w:t>98.45</w:t>
      </w:r>
      <w:r>
        <w:rPr>
          <w:rFonts w:hint="eastAsia" w:ascii="仿宋" w:hAnsi="仿宋" w:eastAsia="仿宋"/>
          <w:sz w:val="32"/>
          <w:szCs w:val="32"/>
        </w:rPr>
        <w:t>万元，下降</w:t>
      </w:r>
      <w:r>
        <w:rPr>
          <w:rFonts w:hint="eastAsia" w:ascii="仿宋" w:hAnsi="仿宋" w:eastAsia="仿宋"/>
          <w:sz w:val="32"/>
          <w:szCs w:val="32"/>
          <w:lang w:val="en-US" w:eastAsia="zh-CN"/>
        </w:rPr>
        <w:t>4.91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w:t>
      </w:r>
      <w:r>
        <w:rPr>
          <w:rFonts w:hint="eastAsia" w:ascii="仿宋" w:hAnsi="仿宋" w:eastAsia="仿宋"/>
          <w:sz w:val="32"/>
          <w:szCs w:val="32"/>
        </w:rPr>
        <w:t>是</w:t>
      </w:r>
      <w:r>
        <w:rPr>
          <w:rFonts w:hint="eastAsia" w:ascii="仿宋" w:hAnsi="仿宋" w:eastAsia="仿宋"/>
          <w:sz w:val="32"/>
          <w:szCs w:val="32"/>
          <w:lang w:eastAsia="zh-CN"/>
        </w:rPr>
        <w:t>项目经费支出减少；二是市决咨中心隶属关系变更，经费全部转至市政府办</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Style w:val="33"/>
          <w:rFonts w:ascii="黑体" w:hAnsi="黑体" w:eastAsia="黑体"/>
          <w:b w:val="0"/>
        </w:rPr>
      </w:pPr>
      <w:r>
        <w:rPr>
          <w:rFonts w:hint="eastAsia" w:ascii="仿宋" w:hAnsi="仿宋" w:eastAsia="仿宋"/>
          <w:b/>
          <w:sz w:val="32"/>
          <w:szCs w:val="32"/>
          <w:lang w:eastAsia="zh-CN"/>
        </w:rPr>
        <w:drawing>
          <wp:anchor distT="0" distB="0" distL="114300" distR="114300" simplePos="0" relativeHeight="251661312" behindDoc="0" locked="0" layoutInCell="1" allowOverlap="1">
            <wp:simplePos x="0" y="0"/>
            <wp:positionH relativeFrom="column">
              <wp:posOffset>28575</wp:posOffset>
            </wp:positionH>
            <wp:positionV relativeFrom="paragraph">
              <wp:posOffset>196215</wp:posOffset>
            </wp:positionV>
            <wp:extent cx="5269230" cy="2660015"/>
            <wp:effectExtent l="0" t="0" r="7620" b="6985"/>
            <wp:wrapSquare wrapText="bothSides"/>
            <wp:docPr id="4" name="图片 4"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true"/>
                    </pic:cNvPicPr>
                  </pic:nvPicPr>
                  <pic:blipFill>
                    <a:blip r:embed="rId9"/>
                    <a:stretch>
                      <a:fillRect/>
                    </a:stretch>
                  </pic:blipFill>
                  <pic:spPr>
                    <a:xfrm>
                      <a:off x="0" y="0"/>
                      <a:ext cx="5269230" cy="2660015"/>
                    </a:xfrm>
                    <a:prstGeom prst="rect">
                      <a:avLst/>
                    </a:prstGeom>
                  </pic:spPr>
                </pic:pic>
              </a:graphicData>
            </a:graphic>
          </wp:anchor>
        </w:drawing>
      </w: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22年一般公共预算财政拨款支出1890.5万元，占本年支出合计的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101.66</w:t>
      </w:r>
      <w:r>
        <w:rPr>
          <w:rFonts w:hint="eastAsia" w:ascii="仿宋" w:hAnsi="仿宋" w:eastAsia="仿宋"/>
          <w:sz w:val="32"/>
          <w:szCs w:val="32"/>
        </w:rPr>
        <w:t>万元，下降</w:t>
      </w:r>
      <w:r>
        <w:rPr>
          <w:rFonts w:hint="eastAsia" w:ascii="仿宋" w:hAnsi="仿宋" w:eastAsia="仿宋"/>
          <w:sz w:val="32"/>
          <w:szCs w:val="32"/>
          <w:lang w:val="en-US" w:eastAsia="zh-CN"/>
        </w:rPr>
        <w:t>5.1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一</w:t>
      </w:r>
      <w:r>
        <w:rPr>
          <w:rFonts w:hint="eastAsia" w:ascii="仿宋" w:hAnsi="仿宋" w:eastAsia="仿宋"/>
          <w:sz w:val="32"/>
          <w:szCs w:val="32"/>
        </w:rPr>
        <w:t>是</w:t>
      </w:r>
      <w:r>
        <w:rPr>
          <w:rFonts w:hint="eastAsia" w:ascii="仿宋" w:hAnsi="仿宋" w:eastAsia="仿宋"/>
          <w:sz w:val="32"/>
          <w:szCs w:val="32"/>
          <w:lang w:eastAsia="zh-CN"/>
        </w:rPr>
        <w:t>项目经费支出减少；二是市决咨中心隶属关系变更，经费全部转至市政府办</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314325</wp:posOffset>
            </wp:positionH>
            <wp:positionV relativeFrom="paragraph">
              <wp:posOffset>125095</wp:posOffset>
            </wp:positionV>
            <wp:extent cx="4584065" cy="2785745"/>
            <wp:effectExtent l="0" t="0" r="6985" b="14605"/>
            <wp:wrapSquare wrapText="bothSides"/>
            <wp:docPr id="5" name="图片 5"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true"/>
                    </pic:cNvPicPr>
                  </pic:nvPicPr>
                  <pic:blipFill>
                    <a:blip r:embed="rId10"/>
                    <a:stretch>
                      <a:fillRect/>
                    </a:stretch>
                  </pic:blipFill>
                  <pic:spPr>
                    <a:xfrm>
                      <a:off x="0" y="0"/>
                      <a:ext cx="4584065" cy="2785745"/>
                    </a:xfrm>
                    <a:prstGeom prst="rect">
                      <a:avLst/>
                    </a:prstGeom>
                  </pic:spPr>
                </pic:pic>
              </a:graphicData>
            </a:graphic>
          </wp:anchor>
        </w:drawing>
      </w:r>
    </w:p>
    <w:p>
      <w:pPr>
        <w:pStyle w:val="2"/>
        <w:rPr>
          <w:rFonts w:ascii="仿宋" w:hAnsi="仿宋" w:eastAsia="仿宋"/>
          <w:sz w:val="32"/>
          <w:szCs w:val="32"/>
        </w:rPr>
      </w:pPr>
    </w:p>
    <w:p>
      <w:pPr>
        <w:pStyle w:val="2"/>
        <w:rPr>
          <w:rFonts w:hint="eastAsia" w:ascii="仿宋" w:hAnsi="仿宋" w:eastAsia="仿宋"/>
          <w:sz w:val="32"/>
          <w:szCs w:val="32"/>
          <w:lang w:eastAsia="zh-CN"/>
        </w:rPr>
      </w:pPr>
    </w:p>
    <w:p>
      <w:pPr>
        <w:spacing w:line="600" w:lineRule="exact"/>
        <w:ind w:firstLine="642" w:firstLineChars="200"/>
        <w:outlineLvl w:val="2"/>
        <w:rPr>
          <w:rFonts w:hint="eastAsia" w:ascii="仿宋" w:hAnsi="仿宋" w:eastAsia="仿宋"/>
          <w:b/>
          <w:sz w:val="32"/>
          <w:szCs w:val="32"/>
        </w:rPr>
      </w:pPr>
      <w:bookmarkStart w:id="33" w:name="_Toc15377211"/>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hint="eastAsia" w:ascii="仿宋" w:hAnsi="仿宋" w:eastAsia="仿宋"/>
          <w:b/>
          <w:sz w:val="32"/>
          <w:szCs w:val="32"/>
        </w:rPr>
      </w:pP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22年一般公共预算财政拨款支出1890.5万元，主要用于以下方面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7.62万元，占</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1384.03万元，占</w:t>
      </w:r>
      <w:r>
        <w:rPr>
          <w:rFonts w:hint="eastAsia" w:ascii="仿宋" w:hAnsi="仿宋" w:eastAsia="仿宋"/>
          <w:sz w:val="32"/>
          <w:szCs w:val="32"/>
          <w:lang w:val="en-US" w:eastAsia="zh-CN"/>
        </w:rPr>
        <w:t>73.21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380万元，占</w:t>
      </w:r>
      <w:r>
        <w:rPr>
          <w:rFonts w:hint="eastAsia" w:ascii="仿宋" w:hAnsi="仿宋" w:eastAsia="仿宋"/>
          <w:sz w:val="32"/>
          <w:szCs w:val="32"/>
          <w:lang w:val="en-US" w:eastAsia="zh-CN"/>
        </w:rPr>
        <w:t>20.1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0.36</w:t>
      </w:r>
      <w:r>
        <w:rPr>
          <w:rFonts w:hint="eastAsia" w:ascii="仿宋" w:hAnsi="仿宋" w:eastAsia="仿宋"/>
          <w:sz w:val="32"/>
          <w:szCs w:val="32"/>
        </w:rPr>
        <w:t>万元，占</w:t>
      </w:r>
      <w:r>
        <w:rPr>
          <w:rFonts w:hint="eastAsia" w:ascii="仿宋" w:hAnsi="仿宋" w:eastAsia="仿宋"/>
          <w:sz w:val="32"/>
          <w:szCs w:val="32"/>
          <w:lang w:val="en-US" w:eastAsia="zh-CN"/>
        </w:rPr>
        <w:t>0.02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117.12万元，占</w:t>
      </w:r>
      <w:r>
        <w:rPr>
          <w:rFonts w:hint="eastAsia" w:ascii="仿宋" w:hAnsi="仿宋" w:eastAsia="仿宋"/>
          <w:sz w:val="32"/>
          <w:szCs w:val="32"/>
          <w:lang w:val="en-US" w:eastAsia="zh-CN"/>
        </w:rPr>
        <w:t>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灾害防治及应急管理支出</w:t>
      </w:r>
      <w:r>
        <w:rPr>
          <w:rFonts w:hint="eastAsia" w:ascii="仿宋" w:hAnsi="仿宋" w:eastAsia="仿宋"/>
          <w:sz w:val="32"/>
          <w:szCs w:val="32"/>
        </w:rPr>
        <w:t>1.38</w:t>
      </w:r>
      <w:r>
        <w:rPr>
          <w:rFonts w:hint="eastAsia" w:ascii="仿宋" w:hAnsi="仿宋" w:eastAsia="仿宋"/>
          <w:sz w:val="32"/>
          <w:szCs w:val="32"/>
          <w:lang w:eastAsia="zh-CN"/>
        </w:rPr>
        <w:t>万元，占</w:t>
      </w:r>
      <w:r>
        <w:rPr>
          <w:rFonts w:hint="eastAsia" w:ascii="仿宋" w:hAnsi="仿宋" w:eastAsia="仿宋"/>
          <w:sz w:val="32"/>
          <w:szCs w:val="32"/>
          <w:lang w:val="en-US" w:eastAsia="zh-CN"/>
        </w:rPr>
        <w:t>0.07%</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8480" behindDoc="0" locked="0" layoutInCell="1" allowOverlap="1">
            <wp:simplePos x="0" y="0"/>
            <wp:positionH relativeFrom="column">
              <wp:posOffset>714375</wp:posOffset>
            </wp:positionH>
            <wp:positionV relativeFrom="paragraph">
              <wp:posOffset>158750</wp:posOffset>
            </wp:positionV>
            <wp:extent cx="3956050" cy="2548255"/>
            <wp:effectExtent l="0" t="0" r="6350" b="4445"/>
            <wp:wrapSquare wrapText="bothSides"/>
            <wp:docPr id="6" name="图片 6"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true"/>
                    </pic:cNvPicPr>
                  </pic:nvPicPr>
                  <pic:blipFill>
                    <a:blip r:embed="rId11"/>
                    <a:stretch>
                      <a:fillRect/>
                    </a:stretch>
                  </pic:blipFill>
                  <pic:spPr>
                    <a:xfrm>
                      <a:off x="0" y="0"/>
                      <a:ext cx="3956050" cy="2548255"/>
                    </a:xfrm>
                    <a:prstGeom prst="rect">
                      <a:avLst/>
                    </a:prstGeom>
                  </pic:spPr>
                </pic:pic>
              </a:graphicData>
            </a:graphic>
          </wp:anchor>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hint="eastAsia" w:ascii="仿宋" w:hAnsi="仿宋" w:eastAsia="仿宋"/>
          <w:sz w:val="32"/>
          <w:szCs w:val="32"/>
          <w:lang w:eastAsia="zh-CN"/>
        </w:rPr>
      </w:pPr>
    </w:p>
    <w:p>
      <w:pPr>
        <w:spacing w:line="600" w:lineRule="exact"/>
        <w:ind w:firstLine="642"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2" w:firstLineChars="200"/>
        <w:outlineLvl w:val="2"/>
        <w:rPr>
          <w:rFonts w:ascii="仿宋" w:hAnsi="仿宋" w:eastAsia="仿宋"/>
          <w:sz w:val="32"/>
          <w:szCs w:val="32"/>
        </w:rPr>
      </w:pPr>
      <w:bookmarkStart w:id="35" w:name="_Toc15378460"/>
      <w:bookmarkStart w:id="36" w:name="_Toc15377213"/>
      <w:bookmarkStart w:id="37" w:name="_Toc15377444"/>
      <w:r>
        <w:rPr>
          <w:rFonts w:hint="eastAsia" w:ascii="仿宋" w:hAnsi="仿宋" w:eastAsia="仿宋"/>
          <w:b/>
          <w:sz w:val="32"/>
          <w:szCs w:val="32"/>
        </w:rPr>
        <w:t>2022年一般公共预算支出决算数为</w:t>
      </w:r>
      <w:r>
        <w:rPr>
          <w:rFonts w:hint="eastAsia" w:ascii="仿宋" w:hAnsi="仿宋" w:eastAsia="仿宋"/>
          <w:sz w:val="32"/>
          <w:szCs w:val="32"/>
        </w:rPr>
        <w:t>1890.5，</w:t>
      </w:r>
      <w:r>
        <w:rPr>
          <w:rStyle w:val="21"/>
          <w:rFonts w:hint="eastAsia" w:ascii="仿宋" w:hAnsi="仿宋" w:eastAsia="仿宋"/>
          <w:bCs/>
          <w:sz w:val="32"/>
          <w:szCs w:val="32"/>
        </w:rPr>
        <w:t>完成预算</w:t>
      </w:r>
      <w:r>
        <w:rPr>
          <w:rStyle w:val="21"/>
          <w:rFonts w:hint="eastAsia" w:ascii="仿宋" w:hAnsi="仿宋" w:eastAsia="仿宋"/>
          <w:bCs/>
          <w:sz w:val="32"/>
          <w:szCs w:val="32"/>
          <w:lang w:val="en-US" w:eastAsia="zh-CN"/>
        </w:rPr>
        <w:t>100</w:t>
      </w:r>
      <w:r>
        <w:rPr>
          <w:rStyle w:val="21"/>
          <w:rFonts w:ascii="仿宋" w:hAnsi="仿宋" w:eastAsia="仿宋"/>
          <w:bCs/>
          <w:sz w:val="32"/>
          <w:szCs w:val="32"/>
        </w:rPr>
        <w:t>%</w:t>
      </w:r>
      <w:r>
        <w:rPr>
          <w:rStyle w:val="21"/>
          <w:rFonts w:hint="eastAsia" w:ascii="仿宋" w:hAnsi="仿宋" w:eastAsia="仿宋"/>
          <w:bCs/>
          <w:sz w:val="32"/>
          <w:szCs w:val="32"/>
        </w:rPr>
        <w:t>。其中：</w:t>
      </w:r>
      <w:bookmarkEnd w:id="35"/>
      <w:bookmarkEnd w:id="36"/>
      <w:bookmarkEnd w:id="37"/>
    </w:p>
    <w:p>
      <w:pPr>
        <w:spacing w:line="600" w:lineRule="exact"/>
        <w:ind w:firstLine="642" w:firstLineChars="200"/>
        <w:rPr>
          <w:rFonts w:ascii="仿宋" w:hAnsi="仿宋" w:eastAsia="仿宋"/>
          <w:b/>
          <w:sz w:val="32"/>
          <w:szCs w:val="32"/>
        </w:rPr>
      </w:pPr>
      <w:bookmarkStart w:id="38" w:name="_Toc15396608"/>
      <w:bookmarkStart w:id="39" w:name="_Toc15377214"/>
      <w:r>
        <w:rPr>
          <w:rStyle w:val="21"/>
          <w:rFonts w:ascii="仿宋" w:hAnsi="仿宋" w:eastAsia="仿宋"/>
          <w:bCs/>
          <w:sz w:val="32"/>
          <w:szCs w:val="32"/>
        </w:rPr>
        <w:t>1.</w:t>
      </w:r>
      <w:r>
        <w:rPr>
          <w:rStyle w:val="21"/>
          <w:rFonts w:hint="eastAsia" w:ascii="仿宋" w:hAnsi="仿宋" w:eastAsia="仿宋"/>
          <w:bCs/>
          <w:sz w:val="32"/>
          <w:szCs w:val="32"/>
        </w:rPr>
        <w:t>一般公共服务（类）组织事务（款）其他组织事务支出（项）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支出决算为7.62万元，完成预算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p>
    <w:p>
      <w:pPr>
        <w:spacing w:line="600" w:lineRule="exact"/>
        <w:ind w:firstLine="642" w:firstLineChars="200"/>
        <w:rPr>
          <w:rFonts w:hint="eastAsia" w:ascii="仿宋" w:hAnsi="仿宋" w:eastAsia="仿宋"/>
          <w:b/>
          <w:sz w:val="32"/>
          <w:szCs w:val="32"/>
          <w:lang w:eastAsia="zh-CN"/>
        </w:rPr>
      </w:pPr>
      <w:r>
        <w:rPr>
          <w:rStyle w:val="21"/>
          <w:rFonts w:ascii="仿宋" w:hAnsi="仿宋" w:eastAsia="仿宋"/>
          <w:bCs/>
          <w:sz w:val="32"/>
          <w:szCs w:val="32"/>
        </w:rPr>
        <w:t>2.</w:t>
      </w:r>
      <w:r>
        <w:rPr>
          <w:rStyle w:val="21"/>
          <w:rFonts w:hint="eastAsia" w:ascii="仿宋" w:hAnsi="仿宋" w:eastAsia="仿宋"/>
          <w:bCs/>
          <w:sz w:val="32"/>
          <w:szCs w:val="32"/>
        </w:rPr>
        <w:t>科学技术（类）科学技术管理事务（款）行政运行（项）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支出决算为546.92万元，完成预算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Cs/>
          <w:sz w:val="32"/>
          <w:szCs w:val="32"/>
        </w:rPr>
        <w:t>科学技术管理事务（款）</w:t>
      </w:r>
      <w:r>
        <w:rPr>
          <w:rStyle w:val="21"/>
          <w:rFonts w:hint="eastAsia" w:ascii="仿宋" w:hAnsi="仿宋" w:eastAsia="仿宋"/>
          <w:b/>
          <w:bCs w:val="0"/>
          <w:sz w:val="32"/>
          <w:szCs w:val="32"/>
          <w:lang w:eastAsia="zh-CN"/>
        </w:rPr>
        <w:t>其他科学技术管理事务支出</w:t>
      </w:r>
      <w:r>
        <w:rPr>
          <w:rStyle w:val="21"/>
          <w:rFonts w:hint="eastAsia" w:ascii="仿宋" w:hAnsi="仿宋" w:eastAsia="仿宋"/>
          <w:b/>
          <w:bCs w:val="0"/>
          <w:sz w:val="32"/>
          <w:szCs w:val="32"/>
        </w:rPr>
        <w:t>（项</w:t>
      </w:r>
      <w:r>
        <w:rPr>
          <w:rStyle w:val="21"/>
          <w:rFonts w:hint="eastAsia" w:ascii="仿宋" w:hAnsi="仿宋" w:eastAsia="仿宋"/>
          <w:bCs/>
          <w:sz w:val="32"/>
          <w:szCs w:val="32"/>
        </w:rPr>
        <w:t>）</w:t>
      </w:r>
      <w:r>
        <w:rPr>
          <w:rStyle w:val="21"/>
          <w:rFonts w:hint="eastAsia" w:ascii="仿宋" w:hAnsi="仿宋" w:eastAsia="仿宋"/>
          <w:bCs/>
          <w:sz w:val="32"/>
          <w:szCs w:val="32"/>
          <w:lang w:eastAsia="zh-CN"/>
        </w:rPr>
        <w:t>：</w:t>
      </w:r>
      <w:r>
        <w:rPr>
          <w:rStyle w:val="21"/>
          <w:rFonts w:hint="eastAsia" w:ascii="仿宋" w:hAnsi="仿宋" w:eastAsia="仿宋"/>
          <w:b w:val="0"/>
          <w:bCs/>
          <w:sz w:val="32"/>
          <w:szCs w:val="32"/>
        </w:rPr>
        <w:t>支出决算为2.87万元，完成预算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rPr>
        <w:t>技术研究与开发</w:t>
      </w:r>
      <w:r>
        <w:rPr>
          <w:rStyle w:val="21"/>
          <w:rFonts w:hint="eastAsia" w:ascii="仿宋" w:hAnsi="仿宋" w:eastAsia="仿宋"/>
          <w:b/>
          <w:bCs w:val="0"/>
          <w:sz w:val="32"/>
          <w:szCs w:val="32"/>
          <w:lang w:eastAsia="zh-CN"/>
        </w:rPr>
        <w:t>（款）科技成果转化与扩散（项）：</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19.42</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rPr>
        <w:t>科技条件与服务</w:t>
      </w:r>
      <w:r>
        <w:rPr>
          <w:rStyle w:val="21"/>
          <w:rFonts w:hint="eastAsia" w:ascii="仿宋" w:hAnsi="仿宋" w:eastAsia="仿宋"/>
          <w:b/>
          <w:bCs w:val="0"/>
          <w:sz w:val="32"/>
          <w:szCs w:val="32"/>
          <w:lang w:eastAsia="zh-CN"/>
        </w:rPr>
        <w:t>（款）机构运行（项）：</w:t>
      </w:r>
      <w:r>
        <w:rPr>
          <w:rStyle w:val="21"/>
          <w:rFonts w:hint="eastAsia" w:ascii="仿宋" w:hAnsi="仿宋" w:eastAsia="仿宋"/>
          <w:b w:val="0"/>
          <w:bCs/>
          <w:sz w:val="32"/>
          <w:szCs w:val="32"/>
        </w:rPr>
        <w:t>支出决算为686.64万元，完成预算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rPr>
        <w:t>其他科学技术支出</w:t>
      </w:r>
      <w:r>
        <w:rPr>
          <w:rStyle w:val="21"/>
          <w:rFonts w:hint="eastAsia" w:ascii="仿宋" w:hAnsi="仿宋" w:eastAsia="仿宋"/>
          <w:b/>
          <w:bCs w:val="0"/>
          <w:sz w:val="32"/>
          <w:szCs w:val="32"/>
          <w:lang w:eastAsia="zh-CN"/>
        </w:rPr>
        <w:t>（款）其他科学技术支出（项）：</w:t>
      </w:r>
      <w:r>
        <w:rPr>
          <w:rStyle w:val="21"/>
          <w:rFonts w:hint="eastAsia" w:ascii="仿宋" w:hAnsi="仿宋" w:eastAsia="仿宋"/>
          <w:b w:val="0"/>
          <w:bCs/>
          <w:sz w:val="32"/>
          <w:szCs w:val="32"/>
        </w:rPr>
        <w:t>支出决算为128.18万元，完成预算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p>
    <w:p>
      <w:pPr>
        <w:spacing w:line="600" w:lineRule="exact"/>
        <w:ind w:firstLine="642" w:firstLineChars="200"/>
        <w:rPr>
          <w:rFonts w:hint="eastAsia" w:ascii="仿宋" w:hAnsi="仿宋" w:eastAsia="仿宋"/>
          <w:b/>
          <w:sz w:val="32"/>
          <w:szCs w:val="32"/>
          <w:lang w:eastAsia="zh-CN"/>
        </w:rPr>
      </w:pPr>
      <w:r>
        <w:rPr>
          <w:rStyle w:val="21"/>
          <w:rFonts w:hint="eastAsia" w:ascii="仿宋" w:hAnsi="仿宋" w:eastAsia="仿宋"/>
          <w:bCs/>
          <w:sz w:val="32"/>
          <w:szCs w:val="32"/>
          <w:lang w:val="en-US" w:eastAsia="zh-CN"/>
        </w:rPr>
        <w:t>3</w:t>
      </w:r>
      <w:r>
        <w:rPr>
          <w:rStyle w:val="21"/>
          <w:rFonts w:ascii="仿宋" w:hAnsi="仿宋" w:eastAsia="仿宋"/>
          <w:bCs/>
          <w:sz w:val="32"/>
          <w:szCs w:val="32"/>
        </w:rPr>
        <w:t>.</w:t>
      </w:r>
      <w:r>
        <w:rPr>
          <w:rStyle w:val="21"/>
          <w:rFonts w:hint="eastAsia" w:ascii="仿宋" w:hAnsi="仿宋" w:eastAsia="仿宋"/>
          <w:bCs/>
          <w:sz w:val="32"/>
          <w:szCs w:val="32"/>
        </w:rPr>
        <w:t>社会保障和就业（类）人力资源和社会保障管理事务（款）其他人力资源和社会保障管理事务支出（项）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0.23</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lang w:eastAsia="zh-CN"/>
        </w:rPr>
        <w:t>行政事业单位养老支出</w:t>
      </w:r>
      <w:r>
        <w:rPr>
          <w:rStyle w:val="21"/>
          <w:rFonts w:hint="eastAsia" w:ascii="仿宋" w:hAnsi="仿宋" w:eastAsia="仿宋"/>
          <w:bCs/>
          <w:sz w:val="32"/>
          <w:szCs w:val="32"/>
        </w:rPr>
        <w:t>（款）行政单位离退休（项）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143.62</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lang w:eastAsia="zh-CN"/>
        </w:rPr>
        <w:t>行政事业单位养老支出</w:t>
      </w:r>
      <w:r>
        <w:rPr>
          <w:rStyle w:val="21"/>
          <w:rFonts w:hint="eastAsia" w:ascii="仿宋" w:hAnsi="仿宋" w:eastAsia="仿宋"/>
          <w:bCs/>
          <w:sz w:val="32"/>
          <w:szCs w:val="32"/>
        </w:rPr>
        <w:t>（款）事业单位离退休（项）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132.59</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lang w:eastAsia="zh-CN"/>
        </w:rPr>
        <w:t>行政事业单位养老支出</w:t>
      </w:r>
      <w:r>
        <w:rPr>
          <w:rStyle w:val="21"/>
          <w:rFonts w:hint="eastAsia" w:ascii="仿宋" w:hAnsi="仿宋" w:eastAsia="仿宋"/>
          <w:bCs/>
          <w:sz w:val="32"/>
          <w:szCs w:val="32"/>
        </w:rPr>
        <w:t>（款）机关事业单位基本养老保险缴费支出（项）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99.77</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lang w:eastAsia="zh-CN"/>
        </w:rPr>
        <w:t>抚恤</w:t>
      </w:r>
      <w:r>
        <w:rPr>
          <w:rStyle w:val="21"/>
          <w:rFonts w:hint="eastAsia" w:ascii="仿宋" w:hAnsi="仿宋" w:eastAsia="仿宋"/>
          <w:bCs/>
          <w:sz w:val="32"/>
          <w:szCs w:val="32"/>
        </w:rPr>
        <w:t>（款）死亡抚恤</w:t>
      </w:r>
      <w:r>
        <w:rPr>
          <w:rStyle w:val="21"/>
          <w:rFonts w:hint="eastAsia" w:ascii="仿宋" w:hAnsi="仿宋" w:eastAsia="仿宋"/>
          <w:bCs/>
          <w:sz w:val="32"/>
          <w:szCs w:val="32"/>
          <w:lang w:eastAsia="zh-CN"/>
        </w:rPr>
        <w:t>（项目）：</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2.72</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r>
        <w:rPr>
          <w:rStyle w:val="21"/>
          <w:rFonts w:hint="eastAsia" w:ascii="仿宋" w:hAnsi="仿宋" w:eastAsia="仿宋"/>
          <w:b/>
          <w:bCs w:val="0"/>
          <w:sz w:val="32"/>
          <w:szCs w:val="32"/>
          <w:lang w:eastAsia="zh-CN"/>
        </w:rPr>
        <w:t>社会福利</w:t>
      </w:r>
      <w:r>
        <w:rPr>
          <w:rStyle w:val="21"/>
          <w:rFonts w:hint="eastAsia" w:ascii="仿宋" w:hAnsi="仿宋" w:eastAsia="仿宋"/>
          <w:bCs/>
          <w:sz w:val="32"/>
          <w:szCs w:val="32"/>
        </w:rPr>
        <w:t>（款）儿童福利</w:t>
      </w:r>
      <w:r>
        <w:rPr>
          <w:rStyle w:val="21"/>
          <w:rFonts w:hint="eastAsia" w:ascii="仿宋" w:hAnsi="仿宋" w:eastAsia="仿宋"/>
          <w:bCs/>
          <w:sz w:val="32"/>
          <w:szCs w:val="32"/>
          <w:lang w:eastAsia="zh-CN"/>
        </w:rPr>
        <w:t>（项目）：</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1.07</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r>
        <w:rPr>
          <w:rStyle w:val="21"/>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21"/>
          <w:rFonts w:hint="eastAsia" w:ascii="仿宋" w:hAnsi="仿宋" w:eastAsia="仿宋"/>
          <w:bCs/>
          <w:sz w:val="32"/>
          <w:szCs w:val="32"/>
          <w:lang w:val="en-US" w:eastAsia="zh-CN"/>
        </w:rPr>
        <w:t>4</w:t>
      </w:r>
      <w:r>
        <w:rPr>
          <w:rStyle w:val="21"/>
          <w:rFonts w:ascii="仿宋" w:hAnsi="仿宋" w:eastAsia="仿宋"/>
          <w:bCs/>
          <w:sz w:val="32"/>
          <w:szCs w:val="32"/>
        </w:rPr>
        <w:t>.</w:t>
      </w:r>
      <w:r>
        <w:rPr>
          <w:rFonts w:hint="eastAsia" w:ascii="仿宋" w:hAnsi="仿宋" w:eastAsia="仿宋"/>
          <w:b/>
          <w:bCs/>
          <w:sz w:val="32"/>
          <w:szCs w:val="32"/>
        </w:rPr>
        <w:t>卫生健康</w:t>
      </w:r>
      <w:r>
        <w:rPr>
          <w:rStyle w:val="21"/>
          <w:rFonts w:hint="eastAsia" w:ascii="仿宋" w:hAnsi="仿宋" w:eastAsia="仿宋"/>
          <w:bCs/>
          <w:sz w:val="32"/>
          <w:szCs w:val="32"/>
        </w:rPr>
        <w:t>（类）其他卫生健康支出（款）其他卫生健康支出（项）</w:t>
      </w:r>
      <w:r>
        <w:rPr>
          <w:rStyle w:val="21"/>
          <w:rFonts w:ascii="仿宋" w:hAnsi="仿宋" w:eastAsia="仿宋"/>
          <w:bCs/>
          <w:sz w:val="32"/>
          <w:szCs w:val="32"/>
        </w:rPr>
        <w:t>:</w:t>
      </w:r>
      <w:r>
        <w:rPr>
          <w:rStyle w:val="21"/>
          <w:rFonts w:hint="eastAsia" w:ascii="仿宋" w:hAnsi="仿宋" w:eastAsia="仿宋"/>
          <w:b w:val="0"/>
          <w:bCs/>
          <w:sz w:val="32"/>
          <w:szCs w:val="32"/>
        </w:rPr>
        <w:t>支出决算为0.36万元，完成预算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21"/>
          <w:rFonts w:hint="eastAsia" w:ascii="仿宋" w:hAnsi="仿宋" w:eastAsia="仿宋"/>
          <w:bCs/>
          <w:sz w:val="32"/>
          <w:szCs w:val="32"/>
          <w:lang w:val="en-US" w:eastAsia="zh-CN"/>
        </w:rPr>
        <w:t>5</w:t>
      </w:r>
      <w:r>
        <w:rPr>
          <w:rStyle w:val="21"/>
          <w:rFonts w:ascii="仿宋" w:hAnsi="仿宋" w:eastAsia="仿宋"/>
          <w:bCs/>
          <w:sz w:val="32"/>
          <w:szCs w:val="32"/>
        </w:rPr>
        <w:t>.</w:t>
      </w:r>
      <w:r>
        <w:rPr>
          <w:rFonts w:hint="eastAsia" w:ascii="仿宋" w:hAnsi="仿宋" w:eastAsia="仿宋"/>
          <w:b/>
          <w:bCs/>
          <w:sz w:val="32"/>
          <w:szCs w:val="32"/>
        </w:rPr>
        <w:t>住房保障支出</w:t>
      </w:r>
      <w:r>
        <w:rPr>
          <w:rStyle w:val="21"/>
          <w:rFonts w:hint="eastAsia" w:ascii="仿宋" w:hAnsi="仿宋" w:eastAsia="仿宋"/>
          <w:bCs/>
          <w:sz w:val="32"/>
          <w:szCs w:val="32"/>
        </w:rPr>
        <w:t>（类）住房改革支出（款）住房公积金（项）</w:t>
      </w:r>
      <w:r>
        <w:rPr>
          <w:rStyle w:val="21"/>
          <w:rFonts w:ascii="仿宋" w:hAnsi="仿宋" w:eastAsia="仿宋"/>
          <w:bCs/>
          <w:sz w:val="32"/>
          <w:szCs w:val="32"/>
        </w:rPr>
        <w:t>:</w:t>
      </w:r>
      <w:r>
        <w:rPr>
          <w:rStyle w:val="21"/>
          <w:rFonts w:hint="eastAsia" w:ascii="仿宋" w:hAnsi="仿宋" w:eastAsia="仿宋"/>
          <w:b w:val="0"/>
          <w:bCs/>
          <w:sz w:val="32"/>
          <w:szCs w:val="32"/>
        </w:rPr>
        <w:t>支出决算为117.12万元，完成预算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p>
    <w:p>
      <w:pPr>
        <w:spacing w:line="600" w:lineRule="exact"/>
        <w:ind w:firstLine="640"/>
        <w:rPr>
          <w:rFonts w:hint="default" w:ascii="仿宋" w:hAnsi="仿宋" w:eastAsia="仿宋"/>
          <w:b/>
          <w:sz w:val="32"/>
          <w:szCs w:val="32"/>
          <w:lang w:val="en-US" w:eastAsia="zh-CN"/>
        </w:rPr>
      </w:pPr>
      <w:r>
        <w:rPr>
          <w:rFonts w:hint="eastAsia" w:ascii="仿宋" w:hAnsi="仿宋" w:eastAsia="仿宋"/>
          <w:b/>
          <w:sz w:val="32"/>
          <w:szCs w:val="32"/>
          <w:lang w:val="en-US" w:eastAsia="zh-CN"/>
        </w:rPr>
        <w:t>6.</w:t>
      </w:r>
      <w:r>
        <w:rPr>
          <w:rFonts w:hint="eastAsia" w:ascii="仿宋" w:hAnsi="仿宋" w:eastAsia="仿宋"/>
          <w:b/>
          <w:bCs/>
          <w:sz w:val="32"/>
          <w:szCs w:val="32"/>
        </w:rPr>
        <w:t>灾害防治及应急管理支出</w:t>
      </w:r>
      <w:r>
        <w:rPr>
          <w:rStyle w:val="21"/>
          <w:rFonts w:hint="eastAsia" w:ascii="仿宋" w:hAnsi="仿宋" w:eastAsia="仿宋"/>
          <w:bCs/>
          <w:sz w:val="32"/>
          <w:szCs w:val="32"/>
        </w:rPr>
        <w:t>（类）应急管理事务（款）行政运行（项）</w:t>
      </w:r>
      <w:r>
        <w:rPr>
          <w:rStyle w:val="21"/>
          <w:rFonts w:ascii="仿宋" w:hAnsi="仿宋" w:eastAsia="仿宋"/>
          <w:bCs/>
          <w:sz w:val="32"/>
          <w:szCs w:val="32"/>
        </w:rPr>
        <w:t>:</w:t>
      </w:r>
      <w:r>
        <w:rPr>
          <w:rStyle w:val="21"/>
          <w:rFonts w:hint="eastAsia" w:ascii="仿宋" w:hAnsi="仿宋" w:eastAsia="仿宋"/>
          <w:b w:val="0"/>
          <w:bCs/>
          <w:sz w:val="32"/>
          <w:szCs w:val="32"/>
        </w:rPr>
        <w:t>支出决算为1.38万元，完成预算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，决算数等于预算数。</w:t>
      </w:r>
    </w:p>
    <w:p>
      <w:pPr>
        <w:tabs>
          <w:tab w:val="right" w:pos="8306"/>
        </w:tabs>
        <w:spacing w:line="600" w:lineRule="exact"/>
        <w:ind w:firstLine="640"/>
        <w:outlineLvl w:val="1"/>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8"/>
      <w:bookmarkEnd w:id="39"/>
      <w:r>
        <w:rPr>
          <w:rStyle w:val="33"/>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22年一般公共预算财政拨款基本支出1746.06万元，其中：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人员经费1597.05万元，主要包括：基本工资、津贴补贴、奖金、绩效工资</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w:t>
      </w:r>
      <w:r>
        <w:rPr>
          <w:rFonts w:hint="eastAsia" w:ascii="仿宋" w:hAnsi="仿宋" w:eastAsia="仿宋"/>
          <w:sz w:val="32"/>
          <w:szCs w:val="32"/>
          <w:lang w:eastAsia="zh-CN"/>
        </w:rPr>
        <w:t>、</w:t>
      </w:r>
      <w:r>
        <w:rPr>
          <w:rFonts w:hint="eastAsia" w:ascii="仿宋" w:hAnsi="仿宋" w:eastAsia="仿宋"/>
          <w:sz w:val="32"/>
          <w:szCs w:val="32"/>
        </w:rPr>
        <w:t>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w:t>
      </w:r>
      <w:r>
        <w:rPr>
          <w:rFonts w:hint="eastAsia" w:ascii="仿宋" w:hAnsi="仿宋" w:eastAsia="仿宋"/>
          <w:sz w:val="32"/>
          <w:szCs w:val="32"/>
          <w:lang w:eastAsia="zh-CN"/>
        </w:rPr>
        <w:t>、</w:t>
      </w:r>
      <w:r>
        <w:rPr>
          <w:rFonts w:hint="eastAsia" w:ascii="仿宋" w:hAnsi="仿宋" w:eastAsia="仿宋"/>
          <w:sz w:val="32"/>
          <w:szCs w:val="32"/>
        </w:rPr>
        <w:t>住房公积金、其他工资福利支出、对个人和家庭的补助</w:t>
      </w:r>
      <w:r>
        <w:rPr>
          <w:rFonts w:hint="eastAsia" w:ascii="仿宋" w:hAnsi="仿宋" w:eastAsia="仿宋"/>
          <w:sz w:val="32"/>
          <w:szCs w:val="32"/>
          <w:lang w:eastAsia="zh-CN"/>
        </w:rPr>
        <w:t>、</w:t>
      </w:r>
      <w:r>
        <w:rPr>
          <w:rFonts w:hint="eastAsia" w:ascii="仿宋" w:hAnsi="仿宋" w:eastAsia="仿宋"/>
          <w:sz w:val="32"/>
          <w:szCs w:val="32"/>
        </w:rPr>
        <w:t>离休费、抚恤金、生活补助、医疗费补助。</w:t>
      </w:r>
    </w:p>
    <w:p>
      <w:pPr>
        <w:spacing w:line="600" w:lineRule="exact"/>
        <w:ind w:firstLine="645"/>
        <w:rPr>
          <w:rFonts w:ascii="仿宋" w:hAnsi="仿宋" w:eastAsia="仿宋"/>
          <w:sz w:val="32"/>
          <w:szCs w:val="32"/>
        </w:rPr>
      </w:pPr>
      <w:r>
        <w:rPr>
          <w:rFonts w:hint="eastAsia" w:ascii="仿宋" w:hAnsi="仿宋" w:eastAsia="仿宋"/>
          <w:sz w:val="32"/>
          <w:szCs w:val="32"/>
        </w:rPr>
        <w:t>公用经费149.01万元，主要包括：办公费</w:t>
      </w:r>
      <w:r>
        <w:rPr>
          <w:rFonts w:hint="eastAsia" w:ascii="仿宋" w:hAnsi="仿宋" w:eastAsia="仿宋"/>
          <w:sz w:val="32"/>
          <w:szCs w:val="32"/>
          <w:lang w:eastAsia="zh-CN"/>
        </w:rPr>
        <w:t>、</w:t>
      </w:r>
      <w:r>
        <w:rPr>
          <w:rFonts w:hint="eastAsia" w:ascii="仿宋" w:hAnsi="仿宋" w:eastAsia="仿宋"/>
          <w:sz w:val="32"/>
          <w:szCs w:val="32"/>
        </w:rPr>
        <w:t>印刷费</w:t>
      </w:r>
      <w:r>
        <w:rPr>
          <w:rFonts w:hint="eastAsia" w:ascii="仿宋" w:hAnsi="仿宋" w:eastAsia="仿宋"/>
          <w:sz w:val="32"/>
          <w:szCs w:val="32"/>
          <w:lang w:eastAsia="zh-CN"/>
        </w:rPr>
        <w:t>、咨询费、</w:t>
      </w:r>
      <w:r>
        <w:rPr>
          <w:rFonts w:hint="eastAsia" w:ascii="仿宋" w:hAnsi="仿宋" w:eastAsia="仿宋"/>
          <w:sz w:val="32"/>
          <w:szCs w:val="32"/>
        </w:rPr>
        <w:t>水费、电费、邮电费、物业管理费、差旅费、会议费、培训费、公务接待费、劳务费、工会经费、福利费、公务用车运行维护费、其他交通费、其他商品和服务支出。</w:t>
      </w:r>
    </w:p>
    <w:p>
      <w:pPr>
        <w:spacing w:line="600" w:lineRule="exact"/>
        <w:ind w:firstLine="640"/>
        <w:outlineLvl w:val="1"/>
        <w:rPr>
          <w:rStyle w:val="33"/>
          <w:rFonts w:ascii="黑体" w:hAnsi="黑体" w:eastAsia="黑体"/>
          <w:b w:val="0"/>
        </w:rPr>
      </w:pPr>
      <w:bookmarkStart w:id="40" w:name="_Toc15396609"/>
      <w:bookmarkStart w:id="41" w:name="_Toc15377215"/>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22年“三公”经费财政拨款支出决算为7.39万元，完成预算</w:t>
      </w:r>
      <w:r>
        <w:rPr>
          <w:rFonts w:hint="eastAsia" w:ascii="仿宋" w:hAnsi="仿宋" w:eastAsia="仿宋"/>
          <w:sz w:val="32"/>
          <w:szCs w:val="32"/>
          <w:lang w:val="en-US" w:eastAsia="zh-CN"/>
        </w:rPr>
        <w:t>66.1</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2.39</w:t>
      </w:r>
      <w:r>
        <w:rPr>
          <w:rFonts w:hint="eastAsia" w:ascii="仿宋" w:hAnsi="仿宋" w:eastAsia="仿宋"/>
          <w:sz w:val="32"/>
          <w:szCs w:val="32"/>
        </w:rPr>
        <w:t>万元，下降</w:t>
      </w:r>
      <w:r>
        <w:rPr>
          <w:rFonts w:hint="eastAsia" w:ascii="仿宋" w:hAnsi="仿宋" w:eastAsia="仿宋"/>
          <w:sz w:val="32"/>
          <w:szCs w:val="32"/>
          <w:lang w:val="en-US" w:eastAsia="zh-CN"/>
        </w:rPr>
        <w:t>24.44</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严控三公经费支出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；公务用车购置及运行维护费支出决算6.75万元，占</w:t>
      </w:r>
      <w:r>
        <w:rPr>
          <w:rFonts w:hint="eastAsia" w:ascii="仿宋" w:hAnsi="仿宋" w:eastAsia="仿宋"/>
          <w:sz w:val="32"/>
          <w:szCs w:val="32"/>
          <w:lang w:val="en-US" w:eastAsia="zh-CN"/>
        </w:rPr>
        <w:t>91.34</w:t>
      </w:r>
      <w:r>
        <w:rPr>
          <w:rFonts w:ascii="仿宋" w:hAnsi="仿宋" w:eastAsia="仿宋"/>
          <w:sz w:val="32"/>
          <w:szCs w:val="32"/>
        </w:rPr>
        <w:t>%</w:t>
      </w:r>
      <w:r>
        <w:rPr>
          <w:rFonts w:hint="eastAsia" w:ascii="仿宋" w:hAnsi="仿宋" w:eastAsia="仿宋"/>
          <w:sz w:val="32"/>
          <w:szCs w:val="32"/>
        </w:rPr>
        <w:t>；公务接待费支出决算0.64万元，占</w:t>
      </w:r>
      <w:r>
        <w:rPr>
          <w:rFonts w:hint="eastAsia" w:ascii="仿宋" w:hAnsi="仿宋" w:eastAsia="仿宋"/>
          <w:sz w:val="32"/>
          <w:szCs w:val="32"/>
          <w:lang w:val="en-US" w:eastAsia="zh-CN"/>
        </w:rPr>
        <w:t>8.66</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hint="eastAsia" w:eastAsia="仿宋_GB2312"/>
          <w:lang w:eastAsia="zh-CN"/>
        </w:rPr>
        <w:drawing>
          <wp:anchor distT="0" distB="0" distL="114300" distR="114300" simplePos="0" relativeHeight="251669504" behindDoc="0" locked="0" layoutInCell="1" allowOverlap="1">
            <wp:simplePos x="0" y="0"/>
            <wp:positionH relativeFrom="column">
              <wp:posOffset>657225</wp:posOffset>
            </wp:positionH>
            <wp:positionV relativeFrom="paragraph">
              <wp:posOffset>232410</wp:posOffset>
            </wp:positionV>
            <wp:extent cx="3956050" cy="2548255"/>
            <wp:effectExtent l="0" t="0" r="6350" b="4445"/>
            <wp:wrapSquare wrapText="bothSides"/>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2"/>
                    <a:stretch>
                      <a:fillRect/>
                    </a:stretch>
                  </pic:blipFill>
                  <pic:spPr>
                    <a:xfrm>
                      <a:off x="0" y="0"/>
                      <a:ext cx="3956050" cy="2548255"/>
                    </a:xfrm>
                    <a:prstGeom prst="rect">
                      <a:avLst/>
                    </a:prstGeom>
                  </pic:spPr>
                </pic:pic>
              </a:graphicData>
            </a:graphic>
          </wp:anchor>
        </w:drawing>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pStyle w:val="2"/>
        <w:rPr>
          <w:rFonts w:hint="eastAsia" w:eastAsia="仿宋_GB2312"/>
          <w:lang w:eastAsia="zh-CN"/>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6.75</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76.27</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0.92</w:t>
      </w:r>
      <w:r>
        <w:rPr>
          <w:rFonts w:hint="eastAsia" w:ascii="仿宋_GB2312" w:eastAsia="仿宋_GB2312"/>
          <w:sz w:val="32"/>
          <w:szCs w:val="32"/>
        </w:rPr>
        <w:t>万元，下降</w:t>
      </w:r>
      <w:r>
        <w:rPr>
          <w:rFonts w:hint="eastAsia" w:ascii="仿宋_GB2312" w:eastAsia="仿宋_GB2312"/>
          <w:sz w:val="32"/>
          <w:szCs w:val="32"/>
          <w:lang w:val="en-US" w:eastAsia="zh-CN"/>
        </w:rPr>
        <w:t>11.99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加强公车管理，严控公车经费支出</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4</w:t>
      </w:r>
      <w:r>
        <w:rPr>
          <w:rFonts w:hint="eastAsia" w:ascii="仿宋_GB2312" w:eastAsia="仿宋_GB2312"/>
          <w:sz w:val="32"/>
          <w:szCs w:val="32"/>
        </w:rPr>
        <w:t>辆，其中：轿车</w:t>
      </w:r>
      <w:r>
        <w:rPr>
          <w:rFonts w:hint="eastAsia" w:ascii="仿宋_GB2312" w:eastAsia="仿宋_GB2312"/>
          <w:sz w:val="32"/>
          <w:szCs w:val="32"/>
          <w:lang w:val="en-US" w:eastAsia="zh-CN"/>
        </w:rPr>
        <w:t>3</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lang w:eastAsia="zh-CN"/>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6.75</w:t>
      </w:r>
      <w:r>
        <w:rPr>
          <w:rFonts w:hint="eastAsia" w:ascii="仿宋_GB2312" w:eastAsia="仿宋_GB2312"/>
          <w:sz w:val="32"/>
          <w:szCs w:val="32"/>
        </w:rPr>
        <w:t>万元。</w:t>
      </w:r>
      <w:r>
        <w:rPr>
          <w:rFonts w:hint="eastAsia" w:ascii="仿宋_GB2312" w:eastAsia="仿宋_GB2312"/>
          <w:sz w:val="32"/>
          <w:szCs w:val="32"/>
          <w:lang w:val="en-US" w:eastAsia="zh-CN"/>
        </w:rPr>
        <w:t>主</w:t>
      </w:r>
      <w:r>
        <w:rPr>
          <w:rFonts w:hint="eastAsia" w:ascii="仿宋_GB2312" w:eastAsia="仿宋_GB2312"/>
          <w:sz w:val="32"/>
          <w:szCs w:val="32"/>
          <w:lang w:eastAsia="zh-CN"/>
        </w:rPr>
        <w:t>要用于项目调研、乡村振兴、执行公务、开展业务活动开支的公务用车燃料费、维修费、过路过桥费、保险费等支出。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0.64</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27.47</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1.46</w:t>
      </w:r>
      <w:r>
        <w:rPr>
          <w:rFonts w:hint="eastAsia" w:ascii="仿宋_GB2312" w:eastAsia="仿宋_GB2312"/>
          <w:sz w:val="32"/>
          <w:szCs w:val="32"/>
        </w:rPr>
        <w:t>万元，下降</w:t>
      </w:r>
      <w:r>
        <w:rPr>
          <w:rFonts w:hint="eastAsia" w:ascii="仿宋_GB2312" w:eastAsia="仿宋_GB2312"/>
          <w:sz w:val="32"/>
          <w:szCs w:val="32"/>
          <w:lang w:val="en-US" w:eastAsia="zh-CN"/>
        </w:rPr>
        <w:t>69.52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接待任务减少</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0.64</w:t>
      </w:r>
      <w:r>
        <w:rPr>
          <w:rFonts w:hint="eastAsia" w:ascii="仿宋_GB2312" w:eastAsia="仿宋_GB2312"/>
          <w:sz w:val="32"/>
          <w:szCs w:val="32"/>
        </w:rPr>
        <w:t>万元，主要用于省厅领导来攀调研指导等活动开支的用餐费。国内公务接待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33</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0.64</w:t>
      </w:r>
      <w:r>
        <w:rPr>
          <w:rFonts w:hint="eastAsia" w:ascii="仿宋_GB2312" w:eastAsia="仿宋_GB2312"/>
          <w:sz w:val="32"/>
          <w:szCs w:val="32"/>
        </w:rPr>
        <w:t>万元，具体内容包括：1.</w:t>
      </w:r>
      <w:r>
        <w:rPr>
          <w:rFonts w:hint="eastAsia" w:ascii="仿宋_GB2312" w:eastAsia="仿宋_GB2312"/>
          <w:sz w:val="32"/>
          <w:szCs w:val="32"/>
          <w:lang w:eastAsia="zh-CN"/>
        </w:rPr>
        <w:t>省厅吴群刚书记到攀调研</w:t>
      </w:r>
      <w:r>
        <w:rPr>
          <w:rFonts w:hint="eastAsia" w:ascii="仿宋_GB2312" w:eastAsia="仿宋_GB2312"/>
          <w:sz w:val="32"/>
          <w:szCs w:val="32"/>
        </w:rPr>
        <w:t>接待费</w:t>
      </w:r>
      <w:r>
        <w:rPr>
          <w:rFonts w:hint="eastAsia" w:ascii="仿宋_GB2312" w:eastAsia="仿宋_GB2312"/>
          <w:sz w:val="32"/>
          <w:szCs w:val="32"/>
          <w:lang w:val="en-US" w:eastAsia="zh-CN"/>
        </w:rPr>
        <w:t>0.18万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2.科技交流合作接待费0.04万</w:t>
      </w:r>
      <w:r>
        <w:rPr>
          <w:rFonts w:hint="eastAsia" w:ascii="仿宋_GB2312" w:eastAsia="仿宋_GB2312"/>
          <w:sz w:val="32"/>
          <w:szCs w:val="32"/>
        </w:rPr>
        <w:t>元</w:t>
      </w:r>
      <w:r>
        <w:rPr>
          <w:rFonts w:hint="eastAsia" w:ascii="仿宋_GB2312" w:eastAsia="仿宋_GB2312"/>
          <w:sz w:val="32"/>
          <w:szCs w:val="32"/>
          <w:lang w:val="en-US" w:eastAsia="zh-CN"/>
        </w:rPr>
        <w:t>；3.省厅赴攀调研国家级高新区接待费0.1万</w:t>
      </w:r>
      <w:r>
        <w:rPr>
          <w:rFonts w:hint="eastAsia" w:ascii="仿宋_GB2312" w:eastAsia="仿宋_GB2312"/>
          <w:sz w:val="32"/>
          <w:szCs w:val="32"/>
        </w:rPr>
        <w:t>元</w:t>
      </w:r>
      <w:r>
        <w:rPr>
          <w:rFonts w:hint="eastAsia" w:ascii="仿宋_GB2312" w:eastAsia="仿宋_GB2312"/>
          <w:sz w:val="32"/>
          <w:szCs w:val="32"/>
          <w:lang w:val="en-US" w:eastAsia="zh-CN"/>
        </w:rPr>
        <w:t>；4.全省农业科技园区调研接待费0.09万</w:t>
      </w:r>
      <w:r>
        <w:rPr>
          <w:rFonts w:hint="eastAsia" w:ascii="仿宋_GB2312" w:eastAsia="仿宋_GB2312"/>
          <w:sz w:val="32"/>
          <w:szCs w:val="32"/>
        </w:rPr>
        <w:t>元</w:t>
      </w:r>
      <w:r>
        <w:rPr>
          <w:rFonts w:hint="eastAsia" w:ascii="仿宋_GB2312" w:eastAsia="仿宋_GB2312"/>
          <w:sz w:val="32"/>
          <w:szCs w:val="32"/>
          <w:lang w:val="en-US" w:eastAsia="zh-CN"/>
        </w:rPr>
        <w:t>；5.</w:t>
      </w:r>
      <w:r>
        <w:rPr>
          <w:rFonts w:hint="eastAsia" w:ascii="仿宋_GB2312" w:eastAsia="仿宋_GB2312"/>
          <w:sz w:val="32"/>
          <w:szCs w:val="32"/>
        </w:rPr>
        <w:t>省社会科学院来攀调研接待</w:t>
      </w:r>
      <w:r>
        <w:rPr>
          <w:rFonts w:hint="eastAsia" w:ascii="仿宋_GB2312" w:eastAsia="仿宋_GB2312"/>
          <w:sz w:val="32"/>
          <w:szCs w:val="32"/>
          <w:lang w:val="en-US" w:eastAsia="zh-CN"/>
        </w:rPr>
        <w:t>0.1万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省科技厅来攀检查接待餐费0.12万元。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33"/>
          <w:rFonts w:ascii="黑体" w:hAnsi="黑体" w:eastAsia="黑体"/>
        </w:rPr>
      </w:pPr>
      <w:bookmarkStart w:id="44" w:name="_Toc15396610"/>
      <w:bookmarkStart w:id="45" w:name="_Toc15377218"/>
      <w:r>
        <w:rPr>
          <w:rFonts w:hint="eastAsia" w:ascii="黑体" w:eastAsia="黑体"/>
          <w:sz w:val="32"/>
          <w:szCs w:val="32"/>
        </w:rPr>
        <w:t>八、</w:t>
      </w:r>
      <w:r>
        <w:rPr>
          <w:rStyle w:val="33"/>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3"/>
          <w:rFonts w:ascii="黑体" w:hAnsi="黑体" w:eastAsia="黑体"/>
          <w:b w:val="0"/>
        </w:rPr>
      </w:pPr>
      <w:bookmarkStart w:id="46" w:name="_Toc15396611"/>
      <w:bookmarkStart w:id="47" w:name="_Toc15377219"/>
      <w:r>
        <w:rPr>
          <w:rStyle w:val="33"/>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3"/>
          <w:rFonts w:ascii="黑体" w:hAnsi="黑体" w:eastAsia="黑体"/>
          <w:b w:val="0"/>
        </w:rPr>
      </w:pPr>
      <w:bookmarkStart w:id="48" w:name="_Toc15377221"/>
      <w:bookmarkStart w:id="49" w:name="_Toc15396612"/>
      <w:r>
        <w:rPr>
          <w:rStyle w:val="33"/>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市科技局</w:t>
      </w:r>
      <w:r>
        <w:rPr>
          <w:rFonts w:hint="eastAsia" w:ascii="仿宋_GB2312" w:eastAsia="仿宋_GB2312"/>
          <w:sz w:val="32"/>
          <w:szCs w:val="32"/>
        </w:rPr>
        <w:t>机关运行经费支出86.64万元，比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9.3</w:t>
      </w:r>
      <w:r>
        <w:rPr>
          <w:rFonts w:hint="eastAsia" w:ascii="仿宋_GB2312" w:eastAsia="仿宋_GB2312"/>
          <w:sz w:val="32"/>
          <w:szCs w:val="32"/>
        </w:rPr>
        <w:t>万元，下降</w:t>
      </w:r>
      <w:r>
        <w:rPr>
          <w:rFonts w:hint="eastAsia" w:ascii="仿宋_GB2312" w:eastAsia="仿宋_GB2312"/>
          <w:sz w:val="32"/>
          <w:szCs w:val="32"/>
          <w:lang w:val="en-US" w:eastAsia="zh-CN"/>
        </w:rPr>
        <w:t>9.69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有人员退休，公用经费支出减少。</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22年，</w:t>
      </w:r>
      <w:r>
        <w:rPr>
          <w:rFonts w:hint="eastAsia" w:ascii="仿宋_GB2312" w:eastAsia="仿宋_GB2312"/>
          <w:color w:val="auto"/>
          <w:sz w:val="32"/>
          <w:szCs w:val="32"/>
          <w:lang w:eastAsia="zh-CN"/>
        </w:rPr>
        <w:t>市科技局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5.42</w:t>
      </w:r>
      <w:r>
        <w:rPr>
          <w:rFonts w:hint="eastAsia" w:ascii="仿宋_GB2312" w:eastAsia="仿宋_GB2312"/>
          <w:color w:val="auto"/>
          <w:sz w:val="32"/>
          <w:szCs w:val="32"/>
        </w:rPr>
        <w:t>万元万元，其中：政府采购货物支出</w:t>
      </w:r>
      <w:r>
        <w:rPr>
          <w:rFonts w:hint="eastAsia" w:ascii="仿宋_GB2312" w:eastAsia="仿宋_GB2312"/>
          <w:color w:val="auto"/>
          <w:sz w:val="32"/>
          <w:szCs w:val="32"/>
          <w:lang w:val="en-US" w:eastAsia="zh-CN"/>
        </w:rPr>
        <w:t>5.42</w:t>
      </w:r>
      <w:r>
        <w:rPr>
          <w:rFonts w:hint="eastAsia" w:ascii="仿宋_GB2312" w:eastAsia="仿宋_GB2312"/>
          <w:color w:val="auto"/>
          <w:sz w:val="32"/>
          <w:szCs w:val="32"/>
        </w:rPr>
        <w:t>万元万元、政府采购工程支出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万元。主要用于购买办公用计算机一台和打印机一台。授予中小企业合同金额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截至2022年12月31日，</w:t>
      </w:r>
      <w:r>
        <w:rPr>
          <w:rFonts w:hint="eastAsia" w:ascii="仿宋_GB2312" w:hAnsi="Times New Roman" w:eastAsia="仿宋_GB2312" w:cs="Times New Roman"/>
          <w:sz w:val="32"/>
          <w:szCs w:val="32"/>
          <w:lang w:eastAsia="zh-CN"/>
        </w:rPr>
        <w:t>市科技局</w:t>
      </w:r>
      <w:r>
        <w:rPr>
          <w:rFonts w:hint="eastAsia" w:ascii="仿宋_GB2312" w:hAnsi="Times New Roman" w:eastAsia="仿宋_GB2312" w:cs="Times New Roman"/>
          <w:sz w:val="32"/>
          <w:szCs w:val="32"/>
        </w:rPr>
        <w:t>共有车辆</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辆，其中：主要领导干部用车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辆、机要通信用车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辆、应急保障用车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辆、其他用车</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辆，其他用车主要是用于项目调研、乡村振兴</w:t>
      </w:r>
      <w:r>
        <w:rPr>
          <w:rFonts w:hint="eastAsia" w:ascii="仿宋_GB2312" w:hAnsi="Times New Roman" w:eastAsia="仿宋_GB2312" w:cs="Times New Roman"/>
          <w:sz w:val="32"/>
          <w:szCs w:val="32"/>
          <w:lang w:eastAsia="zh-CN"/>
        </w:rPr>
        <w:t>等工作</w:t>
      </w:r>
      <w:r>
        <w:rPr>
          <w:rFonts w:hint="eastAsia" w:ascii="仿宋_GB2312" w:hAnsi="Times New Roman" w:eastAsia="仿宋_GB2312" w:cs="Times New Roman"/>
          <w:sz w:val="32"/>
          <w:szCs w:val="32"/>
        </w:rPr>
        <w:t>。单价100万元以上专用设备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根据预算绩效管理要求，本部门在2022年度预算编制阶段，组织对干部教育培训项目（项目名称）等</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个项目开展绩效监控。</w:t>
      </w:r>
    </w:p>
    <w:p>
      <w:pPr>
        <w:pStyle w:val="16"/>
        <w:ind w:firstLine="640" w:firstLineChars="200"/>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攀枝花市科学技术局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val="en-US" w:eastAsia="zh-CN"/>
        </w:rPr>
        <w:t>“低成本高强韧钛合金材料制备关键技术研究”</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攀枝花市科学技术局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分，绩效自评综述：2022 年,</w:t>
      </w:r>
      <w:r>
        <w:rPr>
          <w:rFonts w:hint="eastAsia" w:ascii="仿宋_GB2312" w:hAnsi="仿宋_GB2312" w:eastAsia="仿宋_GB2312" w:cs="仿宋_GB2312"/>
          <w:sz w:val="32"/>
          <w:szCs w:val="32"/>
          <w:lang w:eastAsia="zh-CN"/>
        </w:rPr>
        <w:t>市科技</w:t>
      </w:r>
      <w:r>
        <w:rPr>
          <w:rFonts w:hint="eastAsia" w:ascii="仿宋_GB2312" w:hAnsi="仿宋_GB2312" w:eastAsia="仿宋_GB2312" w:cs="仿宋_GB2312"/>
          <w:sz w:val="32"/>
          <w:szCs w:val="32"/>
        </w:rPr>
        <w:t>局持续深入实施创新驱动发展战略,以提高自主创新能力为核心,大力推动“卡脖子”技术攻关,推进“揭榜挂帅”“赛马制”“包干制”等开放合作机制,积极搭建科技创新联合体,不断开创科技创新工作新局面。在项目实施过程中,项目资金预算编制准确,部门整体绩效目标编制完整、合理,项目绩效目标编制明确,执行预算制度到位,基绩效目标,取得了良好的经济、社会和生态效益,有力助推了攀枝花市科技创新工作的持续高效开展；</w:t>
      </w:r>
      <w:r>
        <w:rPr>
          <w:rFonts w:hint="eastAsia" w:ascii="仿宋_GB2312" w:hAnsi="仿宋_GB2312" w:eastAsia="仿宋_GB2312" w:cs="仿宋_GB2312"/>
          <w:sz w:val="32"/>
          <w:szCs w:val="32"/>
          <w:lang w:val="en-US" w:eastAsia="zh-CN"/>
        </w:rPr>
        <w:t>“低成本高强韧钛合金材料制备关键技术研究”</w:t>
      </w:r>
      <w:r>
        <w:rPr>
          <w:rFonts w:hint="eastAsia" w:ascii="仿宋_GB2312" w:hAnsi="仿宋_GB2312" w:eastAsia="仿宋_GB2312" w:cs="仿宋_GB2312"/>
          <w:sz w:val="32"/>
          <w:szCs w:val="32"/>
        </w:rPr>
        <w:t>专项预算项目绩效自评得分为</w:t>
      </w:r>
      <w:r>
        <w:rPr>
          <w:rFonts w:hint="eastAsia" w:hAnsi="仿宋_GB2312" w:cs="仿宋_GB2312"/>
          <w:sz w:val="32"/>
          <w:szCs w:val="32"/>
          <w:lang w:val="en-US" w:eastAsia="zh-CN"/>
        </w:rPr>
        <w:t>95</w:t>
      </w:r>
      <w:r>
        <w:rPr>
          <w:rFonts w:hint="eastAsia" w:ascii="仿宋_GB2312" w:hAnsi="仿宋_GB2312" w:eastAsia="仿宋_GB2312" w:cs="仿宋_GB2312"/>
          <w:sz w:val="32"/>
          <w:szCs w:val="32"/>
        </w:rPr>
        <w:t>分，绩效自评综述：</w:t>
      </w:r>
      <w:r>
        <w:rPr>
          <w:rFonts w:hint="eastAsia" w:hAnsi="仿宋_GB2312" w:cs="仿宋_GB2312"/>
          <w:kern w:val="2"/>
          <w:sz w:val="32"/>
          <w:szCs w:val="32"/>
          <w:lang w:val="en-US" w:eastAsia="zh-CN" w:bidi="ar-SA"/>
        </w:rPr>
        <w:t>本项目</w:t>
      </w:r>
      <w:r>
        <w:rPr>
          <w:rFonts w:hint="eastAsia" w:ascii="仿宋_GB2312" w:hAnsi="仿宋_GB2312" w:eastAsia="仿宋_GB2312" w:cs="仿宋_GB2312"/>
          <w:kern w:val="2"/>
          <w:sz w:val="32"/>
          <w:szCs w:val="32"/>
          <w:lang w:val="en-US" w:eastAsia="zh-CN" w:bidi="ar-SA"/>
        </w:rPr>
        <w:t>根据计划进度有序开展项目研究内容，计划任务书中制定的2022年度研究内容、研究目标完成率超过60%，后期加快推进本项目的应用研究</w:t>
      </w:r>
      <w:r>
        <w:rPr>
          <w:rFonts w:hint="eastAsia" w:ascii="仿宋_GB2312" w:hAnsi="仿宋_GB2312" w:eastAsia="仿宋_GB2312" w:cs="仿宋_GB2312"/>
          <w:sz w:val="32"/>
          <w:szCs w:val="32"/>
        </w:rPr>
        <w:t>。绩效自评报告详见附件。</w:t>
      </w: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2"/>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32"/>
          <w:rFonts w:hint="eastAsia" w:ascii="黑体" w:hAnsi="黑体" w:eastAsia="黑体"/>
          <w:b w:val="0"/>
        </w:rPr>
        <w:t>词解释</w:t>
      </w:r>
      <w:bookmarkEnd w:id="53"/>
      <w:bookmarkEnd w:id="54"/>
    </w:p>
    <w:p>
      <w:pPr>
        <w:spacing w:line="600" w:lineRule="exact"/>
        <w:jc w:val="left"/>
        <w:rPr>
          <w:rFonts w:ascii="宋体"/>
          <w:b/>
          <w:sz w:val="44"/>
          <w:szCs w:val="44"/>
        </w:rPr>
      </w:pPr>
    </w:p>
    <w:p>
      <w:pPr>
        <w:pStyle w:val="3"/>
        <w:spacing w:line="560" w:lineRule="exact"/>
        <w:ind w:firstLine="640" w:firstLineChars="200"/>
        <w:rPr>
          <w:rFonts w:ascii="仿宋_GB2312" w:eastAsia="仿宋_GB2312"/>
          <w:color w:val="auto"/>
          <w:sz w:val="32"/>
          <w:szCs w:val="32"/>
        </w:rPr>
      </w:pPr>
      <w:bookmarkStart w:id="55"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4.一般公共服务（类）组织事务（款）其他组织事务支出（项）:指用于援藏、驻村干部补助支出。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5.科学技术（类）科学技术管理事务（款）行政运行（项）:</w:t>
      </w:r>
      <w:r>
        <w:rPr>
          <w:rFonts w:hint="eastAsia" w:eastAsia="仿宋_GB2312"/>
          <w:color w:val="000000"/>
          <w:kern w:val="0"/>
          <w:sz w:val="32"/>
          <w:szCs w:val="32"/>
        </w:rPr>
        <w:t>指</w:t>
      </w:r>
      <w:r>
        <w:rPr>
          <w:rFonts w:hint="eastAsia" w:eastAsia="仿宋_GB2312"/>
          <w:color w:val="000000"/>
          <w:kern w:val="0"/>
          <w:sz w:val="32"/>
          <w:szCs w:val="32"/>
          <w:lang w:val="en-US" w:eastAsia="zh-CN"/>
        </w:rPr>
        <w:t>用于保障机关正常运行、开展日常工作</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6.科学技术（类）科学技术管理事务（款）其他科学技术管理事务支出（项）：</w:t>
      </w:r>
      <w:r>
        <w:rPr>
          <w:rFonts w:hint="eastAsia" w:ascii="仿宋" w:hAnsi="Calibri" w:eastAsia="仿宋_GB2312"/>
          <w:color w:val="000000"/>
          <w:kern w:val="0"/>
          <w:sz w:val="32"/>
          <w:szCs w:val="32"/>
        </w:rPr>
        <w:t>指反映其他用于科学技术管理事务方面的支出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eastAsia="仿宋_GB2312"/>
          <w:color w:val="000000"/>
          <w:kern w:val="0"/>
          <w:sz w:val="32"/>
          <w:szCs w:val="32"/>
        </w:rPr>
      </w:pPr>
      <w:r>
        <w:rPr>
          <w:rStyle w:val="21"/>
          <w:rFonts w:hint="eastAsia" w:ascii="仿宋" w:hAnsi="仿宋" w:eastAsia="仿宋"/>
          <w:b w:val="0"/>
          <w:bCs w:val="0"/>
          <w:sz w:val="32"/>
          <w:szCs w:val="32"/>
          <w:lang w:val="en-US" w:eastAsia="zh-CN"/>
        </w:rPr>
        <w:t>7.</w:t>
      </w:r>
      <w:r>
        <w:rPr>
          <w:rStyle w:val="21"/>
          <w:rFonts w:hint="eastAsia" w:ascii="仿宋" w:hAnsi="仿宋" w:eastAsia="仿宋"/>
          <w:b w:val="0"/>
          <w:bCs w:val="0"/>
          <w:sz w:val="32"/>
          <w:szCs w:val="32"/>
        </w:rPr>
        <w:t>科学技术（类）科技条件与服务</w:t>
      </w:r>
      <w:r>
        <w:rPr>
          <w:rStyle w:val="21"/>
          <w:rFonts w:hint="eastAsia" w:ascii="仿宋" w:hAnsi="仿宋" w:eastAsia="仿宋"/>
          <w:b w:val="0"/>
          <w:bCs w:val="0"/>
          <w:sz w:val="32"/>
          <w:szCs w:val="32"/>
          <w:lang w:eastAsia="zh-CN"/>
        </w:rPr>
        <w:t>（款）机构运行（项）：</w:t>
      </w:r>
      <w:r>
        <w:rPr>
          <w:rFonts w:hint="eastAsia" w:eastAsia="仿宋_GB2312"/>
          <w:color w:val="000000"/>
          <w:kern w:val="0"/>
          <w:sz w:val="32"/>
          <w:szCs w:val="32"/>
        </w:rPr>
        <w:t>指</w:t>
      </w:r>
      <w:r>
        <w:rPr>
          <w:rFonts w:hint="eastAsia" w:eastAsia="仿宋_GB2312"/>
          <w:color w:val="000000"/>
          <w:kern w:val="0"/>
          <w:sz w:val="32"/>
          <w:szCs w:val="32"/>
          <w:lang w:val="en-US" w:eastAsia="zh-CN"/>
        </w:rPr>
        <w:t>用于保障事业单位正常运行、开展日常工作</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p>
    <w:p>
      <w:pPr>
        <w:spacing w:line="600" w:lineRule="exact"/>
        <w:ind w:firstLine="640" w:firstLineChars="200"/>
        <w:rPr>
          <w:rStyle w:val="21"/>
          <w:rFonts w:hint="eastAsia" w:ascii="仿宋" w:hAnsi="仿宋" w:eastAsia="仿宋"/>
          <w:b w:val="0"/>
          <w:bCs/>
          <w:sz w:val="32"/>
          <w:szCs w:val="32"/>
          <w:lang w:eastAsia="zh-CN"/>
        </w:rPr>
      </w:pPr>
      <w:r>
        <w:rPr>
          <w:rStyle w:val="21"/>
          <w:rFonts w:hint="eastAsia" w:ascii="仿宋" w:hAnsi="仿宋" w:eastAsia="仿宋"/>
          <w:b w:val="0"/>
          <w:bCs w:val="0"/>
          <w:sz w:val="32"/>
          <w:szCs w:val="32"/>
          <w:lang w:val="en-US" w:eastAsia="zh-CN"/>
        </w:rPr>
        <w:t>8</w:t>
      </w:r>
      <w:r>
        <w:rPr>
          <w:rStyle w:val="21"/>
          <w:rFonts w:ascii="仿宋" w:hAnsi="仿宋" w:eastAsia="仿宋"/>
          <w:b w:val="0"/>
          <w:bCs w:val="0"/>
          <w:sz w:val="32"/>
          <w:szCs w:val="32"/>
        </w:rPr>
        <w:t>.</w:t>
      </w:r>
      <w:r>
        <w:rPr>
          <w:rStyle w:val="21"/>
          <w:rFonts w:hint="eastAsia" w:ascii="仿宋" w:hAnsi="仿宋" w:eastAsia="仿宋"/>
          <w:b w:val="0"/>
          <w:bCs w:val="0"/>
          <w:sz w:val="32"/>
          <w:szCs w:val="32"/>
        </w:rPr>
        <w:t>科学技术（类）技术研究与开发</w:t>
      </w:r>
      <w:r>
        <w:rPr>
          <w:rStyle w:val="21"/>
          <w:rFonts w:hint="eastAsia" w:ascii="仿宋" w:hAnsi="仿宋" w:eastAsia="仿宋"/>
          <w:b w:val="0"/>
          <w:bCs w:val="0"/>
          <w:sz w:val="32"/>
          <w:szCs w:val="32"/>
          <w:lang w:eastAsia="zh-CN"/>
        </w:rPr>
        <w:t>（款）科技成果转化与扩散（项）：</w:t>
      </w:r>
      <w:r>
        <w:rPr>
          <w:rFonts w:hint="eastAsia" w:eastAsia="仿宋_GB2312"/>
          <w:color w:val="000000"/>
          <w:kern w:val="0"/>
          <w:sz w:val="32"/>
          <w:szCs w:val="32"/>
          <w:lang w:eastAsia="zh-CN"/>
        </w:rPr>
        <w:t>指事业单位开展科技扶贫、科技创新券补贴等项目支出</w:t>
      </w:r>
      <w:r>
        <w:rPr>
          <w:rFonts w:hint="eastAsia" w:eastAsia="仿宋_GB2312"/>
          <w:color w:val="000000"/>
          <w:kern w:val="0"/>
          <w:sz w:val="32"/>
          <w:szCs w:val="32"/>
        </w:rPr>
        <w:t>。</w:t>
      </w:r>
    </w:p>
    <w:p>
      <w:pPr>
        <w:spacing w:line="600" w:lineRule="exact"/>
        <w:ind w:firstLine="640" w:firstLineChars="200"/>
        <w:rPr>
          <w:rFonts w:hint="eastAsia" w:ascii="仿宋" w:hAnsi="仿宋" w:eastAsia="仿宋"/>
          <w:b/>
          <w:sz w:val="32"/>
          <w:szCs w:val="32"/>
          <w:lang w:eastAsia="zh-CN"/>
        </w:rPr>
      </w:pPr>
      <w:r>
        <w:rPr>
          <w:rStyle w:val="21"/>
          <w:rFonts w:hint="eastAsia" w:ascii="仿宋" w:hAnsi="仿宋" w:eastAsia="仿宋"/>
          <w:b w:val="0"/>
          <w:bCs/>
          <w:sz w:val="32"/>
          <w:szCs w:val="32"/>
          <w:lang w:val="en-US" w:eastAsia="zh-CN"/>
        </w:rPr>
        <w:t>9.</w:t>
      </w:r>
      <w:r>
        <w:rPr>
          <w:rStyle w:val="21"/>
          <w:rFonts w:hint="eastAsia" w:ascii="仿宋" w:hAnsi="仿宋" w:eastAsia="仿宋"/>
          <w:b w:val="0"/>
          <w:bCs/>
          <w:sz w:val="32"/>
          <w:szCs w:val="32"/>
        </w:rPr>
        <w:t>科学技术（类）其他科学技术支出</w:t>
      </w:r>
      <w:r>
        <w:rPr>
          <w:rStyle w:val="21"/>
          <w:rFonts w:hint="eastAsia" w:ascii="仿宋" w:hAnsi="仿宋" w:eastAsia="仿宋"/>
          <w:b w:val="0"/>
          <w:bCs/>
          <w:sz w:val="32"/>
          <w:szCs w:val="32"/>
          <w:lang w:eastAsia="zh-CN"/>
        </w:rPr>
        <w:t>（款）其他科学技术支出（项）：指反映</w:t>
      </w:r>
      <w:r>
        <w:rPr>
          <w:rStyle w:val="21"/>
          <w:rFonts w:hint="eastAsia" w:ascii="仿宋" w:hAnsi="仿宋" w:eastAsia="仿宋"/>
          <w:b w:val="0"/>
          <w:bCs/>
          <w:sz w:val="32"/>
          <w:szCs w:val="32"/>
          <w:lang w:val="en-US" w:eastAsia="zh-CN"/>
        </w:rPr>
        <w:t>其他科技技术方面的支出</w:t>
      </w:r>
      <w:r>
        <w:rPr>
          <w:rStyle w:val="21"/>
          <w:rFonts w:hint="eastAsia" w:ascii="仿宋" w:hAnsi="仿宋" w:eastAsia="仿宋"/>
          <w:b w:val="0"/>
          <w:bCs/>
          <w:sz w:val="32"/>
          <w:szCs w:val="32"/>
          <w:lang w:eastAsia="zh-CN"/>
        </w:rPr>
        <w:t>。</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10.社会保障和就业（类）人力资源和社会保障管理事务（款）其他人力资源和社会保障管理事务支出（项）:指其他用于人力资源和社会保障管理事务的支出。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11.社会保障和就业（类）行政事业单位养老支出（款）行政单位离退休（项）: </w:t>
      </w:r>
      <w:r>
        <w:rPr>
          <w:rFonts w:hint="eastAsia" w:eastAsia="仿宋_GB2312"/>
          <w:color w:val="000000"/>
          <w:kern w:val="0"/>
          <w:sz w:val="32"/>
          <w:szCs w:val="32"/>
        </w:rPr>
        <w:t>指</w:t>
      </w:r>
      <w:r>
        <w:rPr>
          <w:rFonts w:hint="eastAsia" w:eastAsia="仿宋_GB2312"/>
          <w:color w:val="000000"/>
          <w:kern w:val="0"/>
          <w:sz w:val="32"/>
          <w:szCs w:val="32"/>
          <w:lang w:val="en-US" w:eastAsia="zh-CN"/>
        </w:rPr>
        <w:t>财政统一供养的行政单位离退休人员的支出</w:t>
      </w:r>
      <w:r>
        <w:rPr>
          <w:rFonts w:hint="eastAsia" w:ascii="仿宋_GB2312" w:hAnsi="Calibri" w:eastAsia="仿宋_GB2312" w:cs="仿宋"/>
          <w:color w:val="auto"/>
          <w:kern w:val="0"/>
          <w:sz w:val="32"/>
          <w:szCs w:val="32"/>
          <w:lang w:val="en-US" w:eastAsia="zh-CN" w:bidi="ar-SA"/>
        </w:rPr>
        <w:t>。</w:t>
      </w:r>
    </w:p>
    <w:p>
      <w:pPr>
        <w:spacing w:line="600" w:lineRule="exact"/>
        <w:ind w:firstLine="640" w:firstLineChars="200"/>
        <w:rPr>
          <w:rFonts w:hint="eastAsia"/>
          <w:lang w:val="en-US" w:eastAsia="zh-CN"/>
        </w:rPr>
      </w:pPr>
      <w:r>
        <w:rPr>
          <w:rFonts w:hint="eastAsia" w:eastAsia="仿宋_GB2312"/>
          <w:color w:val="000000"/>
          <w:kern w:val="0"/>
          <w:sz w:val="32"/>
          <w:szCs w:val="32"/>
          <w:lang w:val="en-US" w:eastAsia="zh-CN"/>
        </w:rPr>
        <w:t>12.</w:t>
      </w:r>
      <w:r>
        <w:rPr>
          <w:rFonts w:hint="eastAsia" w:eastAsia="仿宋_GB2312"/>
          <w:color w:val="000000"/>
          <w:kern w:val="0"/>
          <w:sz w:val="32"/>
          <w:szCs w:val="32"/>
        </w:rPr>
        <w:t>社会保障和就业（类）行政事业单位养老支出（款） 事业单位离退休（项）: 指</w:t>
      </w:r>
      <w:r>
        <w:rPr>
          <w:rFonts w:hint="eastAsia" w:eastAsia="仿宋_GB2312"/>
          <w:color w:val="000000"/>
          <w:kern w:val="0"/>
          <w:sz w:val="32"/>
          <w:szCs w:val="32"/>
          <w:lang w:val="en-US" w:eastAsia="zh-CN"/>
        </w:rPr>
        <w:t>财政统一供养的事业单位退休人员的支出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13.社会保障和就业（类）行政事业单位养老支出（款）机关事业单位基本养老保险缴费支出（项）:指机关事业单位实施养老保险制度由单位缴纳的基本养老保险费支出。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14.社会保障和就业（类）抚恤（款）死亡抚恤（项目）：指按规定用于机关病故人员家属定期抚恤金支出。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15.社会保障和就业（类）社会福利（款）儿童福利（项目）：指对儿童提供福利服务方面的支出。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16.卫生健康（类）其他卫生健康支出（款）其他卫生健康支出（项）:指离退休干部异地体检费支出。</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17.住房保障支出（类）住房改革支出（款）住房公积金（项）:</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spacing w:line="60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18.灾害防治及应急管理支出（类）应急管理事务（款）行政运行（项）：指行政单位的基本支出。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3"/>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ascii="黑体" w:hAnsi="黑体" w:eastAsia="黑体"/>
          <w:b w:val="0"/>
        </w:rPr>
      </w:pPr>
      <w:r>
        <w:rPr>
          <w:rFonts w:ascii="宋体"/>
          <w:b/>
          <w:sz w:val="44"/>
          <w:szCs w:val="44"/>
        </w:rPr>
        <w:br w:type="page"/>
      </w:r>
      <w:bookmarkStart w:id="56" w:name="_Toc15396614"/>
      <w:r>
        <w:rPr>
          <w:rFonts w:hint="eastAsia" w:ascii="黑体" w:hAnsi="黑体" w:eastAsia="黑体"/>
          <w:sz w:val="44"/>
          <w:szCs w:val="44"/>
        </w:rPr>
        <w:t>第</w:t>
      </w:r>
      <w:r>
        <w:rPr>
          <w:rStyle w:val="32"/>
          <w:rFonts w:hint="eastAsia" w:ascii="黑体" w:hAnsi="黑体" w:eastAsia="黑体"/>
          <w:b w:val="0"/>
        </w:rPr>
        <w:t>四部分 附件</w:t>
      </w:r>
      <w:bookmarkEnd w:id="56"/>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w:t>
      </w:r>
      <w:r>
        <w:rPr>
          <w:rFonts w:hint="eastAsia" w:ascii="宋体" w:hAnsi="宋体"/>
          <w:b/>
          <w:sz w:val="32"/>
          <w:szCs w:val="32"/>
          <w:shd w:val="clear" w:color="auto" w:fill="FFFFFF"/>
          <w:lang w:eastAsia="zh-CN"/>
        </w:rPr>
        <w:t>市级</w:t>
      </w:r>
      <w:r>
        <w:rPr>
          <w:rFonts w:hint="eastAsia" w:ascii="宋体" w:hAnsi="宋体"/>
          <w:b/>
          <w:sz w:val="32"/>
          <w:szCs w:val="32"/>
          <w:shd w:val="clear" w:color="auto" w:fill="FFFFFF"/>
        </w:rPr>
        <w:t>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4"/>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市科学技术局有内设机构</w:t>
      </w:r>
      <w:r>
        <w:rPr>
          <w:rFonts w:hint="eastAsia" w:ascii="Times New Roman" w:hAnsi="Times New Roman" w:eastAsia="仿宋_GB2312" w:cs="Times New Roman"/>
          <w:kern w:val="2"/>
          <w:sz w:val="32"/>
          <w:szCs w:val="32"/>
          <w:lang w:val="en-US" w:eastAsia="zh-CN"/>
        </w:rPr>
        <w:t>7个，包括：</w:t>
      </w:r>
      <w:r>
        <w:rPr>
          <w:rFonts w:hint="default" w:ascii="Times New Roman" w:hAnsi="Times New Roman" w:eastAsia="仿宋_GB2312" w:cs="Times New Roman"/>
          <w:kern w:val="2"/>
          <w:sz w:val="32"/>
          <w:szCs w:val="32"/>
          <w:lang w:eastAsia="zh-CN"/>
        </w:rPr>
        <w:t>办公室、资源配置与政策法规科、创新体系与科技人才科、高新技术科、农村与社会发展科技科、成果转化与区域合作科、人事科</w:t>
      </w:r>
      <w:r>
        <w:rPr>
          <w:rFonts w:hint="eastAsia" w:ascii="Times New Roman" w:hAnsi="Times New Roman" w:eastAsia="仿宋_GB2312" w:cs="Times New Roman"/>
          <w:kern w:val="2"/>
          <w:sz w:val="32"/>
          <w:szCs w:val="32"/>
          <w:lang w:eastAsia="zh-CN"/>
        </w:rPr>
        <w:t>。</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spacing w:line="560" w:lineRule="exact"/>
        <w:ind w:firstLine="642"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kern w:val="2"/>
          <w:sz w:val="32"/>
          <w:szCs w:val="32"/>
          <w:lang w:eastAsia="zh-CN"/>
        </w:rPr>
        <w:t>机构职能：</w:t>
      </w:r>
      <w:r>
        <w:rPr>
          <w:rFonts w:ascii="Times New Roman" w:hAnsi="Times New Roman" w:eastAsia="仿宋_GB2312" w:cs="Times New Roman"/>
          <w:kern w:val="2"/>
          <w:sz w:val="32"/>
          <w:szCs w:val="32"/>
        </w:rPr>
        <w:t>1</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拟订全市创新驱动发展战略以及科技发展、引进国外智力规划和政策措施并组织实施。起草有关科技发展的政策措施并组织实施。</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2</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3</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5</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6</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组织拟订高新技术发展及产业化的规划和政策措施并组织实施。指导高新技术企业、创新型企业申报和创新平台建设，负责市级创新平台认定管理工作。组织开展科技型中小企业评价的初审工作。</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7</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组织拟订科技促进农业农村和社会发展的规划、政策和措施，指导现代农业示范基地建设，推进科技服务民生工作。拟订科学普及和科学传播规划，政策措施并组织实施。</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8</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牵头全市技术转移体系建设，拟订科技成果转移转化和促进产学研结合的相关政策措施并组织实施。指导科技服务业、技术市场和科技中介组织发展。</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9</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统筹区域科技创新体系建设，指导区域创新发展、科技资源合理布局和协同创新能力建设，推动高新技术园区建设。</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10</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会同有关部门拟订科技人才队伍建设规划和政策，建立健全科技人才评价和激励机制，组织实施科技人才计划，推动高端科技创新人才队伍建设。</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11</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负责科技监督评价体系建设和相关科技评估管理，指导科技评价机制改革，统筹科研诚信建设。组织实施全市创新调查和科技报告制度，指导全市科技保密相关工作。</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12</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拟订科技对外交流与创新能力开放合作的规划和政策措施，组织开展对外科技合作与科技人才交流。指导县（区）和相关部门对外科技合作与科技人才交流工作。负责有关科技博览展会参展推广的组织协调工作。</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13</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14</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负责职责范围内的安全生产和职业健康、生态环境保护、审批服务便民化等工作。</w:t>
      </w:r>
      <w:r>
        <w:rPr>
          <w:rFonts w:ascii="Times New Roman" w:hAnsi="Times New Roman" w:eastAsia="仿宋_GB2312" w:cs="Times New Roman"/>
          <w:kern w:val="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15</w:t>
      </w:r>
      <w:r>
        <w:rPr>
          <w:rFonts w:hint="eastAsia" w:cs="Times New Roman"/>
          <w:kern w:val="2"/>
          <w:sz w:val="32"/>
          <w:szCs w:val="32"/>
          <w:lang w:val="en-US" w:eastAsia="zh-CN"/>
        </w:rPr>
        <w:t>.</w:t>
      </w:r>
      <w:r>
        <w:rPr>
          <w:rFonts w:hint="default" w:ascii="Times New Roman" w:hAnsi="Times New Roman" w:eastAsia="仿宋_GB2312" w:cs="Times New Roman"/>
          <w:kern w:val="2"/>
          <w:sz w:val="32"/>
          <w:szCs w:val="32"/>
        </w:rPr>
        <w:t>完成市委、市政府交办的其他任务。</w:t>
      </w:r>
    </w:p>
    <w:p>
      <w:pPr>
        <w:keepNext w:val="0"/>
        <w:keepLines w:val="0"/>
        <w:pageBreakBefore w:val="0"/>
        <w:widowControl/>
        <w:kinsoku/>
        <w:wordWrap/>
        <w:overflowPunct/>
        <w:topLinePunct w:val="0"/>
        <w:autoSpaceDE/>
        <w:autoSpaceDN/>
        <w:bidi w:val="0"/>
        <w:adjustRightInd w:val="0"/>
        <w:snapToGrid/>
        <w:spacing w:line="560" w:lineRule="exact"/>
        <w:ind w:firstLine="642" w:firstLineChars="200"/>
        <w:jc w:val="left"/>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kern w:val="0"/>
          <w:sz w:val="32"/>
          <w:szCs w:val="32"/>
          <w:shd w:val="clear" w:color="auto" w:fill="FFFFFF"/>
          <w:lang w:val="zh-CN"/>
        </w:rPr>
        <w:t>人员概况：</w:t>
      </w:r>
      <w:r>
        <w:rPr>
          <w:rFonts w:hint="default" w:ascii="Times New Roman" w:hAnsi="Times New Roman" w:eastAsia="仿宋_GB2312" w:cs="Times New Roman"/>
          <w:kern w:val="2"/>
          <w:sz w:val="32"/>
          <w:szCs w:val="32"/>
        </w:rPr>
        <w:t>攀枝花市</w:t>
      </w:r>
      <w:r>
        <w:rPr>
          <w:rFonts w:hint="eastAsia" w:ascii="Times New Roman" w:hAnsi="Times New Roman" w:eastAsia="仿宋_GB2312" w:cs="Times New Roman"/>
          <w:kern w:val="2"/>
          <w:sz w:val="32"/>
          <w:szCs w:val="32"/>
          <w:lang w:eastAsia="zh-CN"/>
        </w:rPr>
        <w:t>科学技术</w:t>
      </w:r>
      <w:r>
        <w:rPr>
          <w:rFonts w:hint="default" w:ascii="Times New Roman" w:hAnsi="Times New Roman" w:eastAsia="仿宋_GB2312" w:cs="Times New Roman"/>
          <w:kern w:val="2"/>
          <w:sz w:val="32"/>
          <w:szCs w:val="32"/>
        </w:rPr>
        <w:t>局</w:t>
      </w:r>
      <w:r>
        <w:rPr>
          <w:rFonts w:hint="eastAsia" w:ascii="Times New Roman" w:hAnsi="Times New Roman" w:eastAsia="仿宋_GB2312" w:cs="Times New Roman"/>
          <w:kern w:val="2"/>
          <w:sz w:val="32"/>
          <w:szCs w:val="32"/>
          <w:lang w:eastAsia="zh-CN"/>
        </w:rPr>
        <w:t>（简称市科技）</w:t>
      </w:r>
      <w:r>
        <w:rPr>
          <w:rFonts w:hint="default" w:ascii="Times New Roman" w:hAnsi="Times New Roman" w:eastAsia="仿宋_GB2312" w:cs="Times New Roman"/>
          <w:kern w:val="2"/>
          <w:sz w:val="32"/>
          <w:szCs w:val="32"/>
        </w:rPr>
        <w:t>属于财政拨款行政</w:t>
      </w:r>
      <w:r>
        <w:rPr>
          <w:rFonts w:hint="eastAsia" w:ascii="Times New Roman" w:hAnsi="Times New Roman" w:eastAsia="仿宋_GB2312" w:cs="Times New Roman"/>
          <w:kern w:val="2"/>
          <w:sz w:val="32"/>
          <w:szCs w:val="32"/>
          <w:lang w:eastAsia="zh-CN"/>
        </w:rPr>
        <w:t>单位</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下属独立核算事业单位</w:t>
      </w:r>
      <w:r>
        <w:rPr>
          <w:rFonts w:hint="eastAsia" w:ascii="Times New Roman" w:hAnsi="Times New Roman" w:eastAsia="仿宋_GB2312" w:cs="Times New Roman"/>
          <w:kern w:val="2"/>
          <w:sz w:val="32"/>
          <w:szCs w:val="32"/>
          <w:lang w:val="en-US" w:eastAsia="zh-CN"/>
        </w:rPr>
        <w:t>3个</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行政编制21个，</w:t>
      </w:r>
      <w:r>
        <w:rPr>
          <w:rFonts w:hint="eastAsia" w:ascii="Times New Roman" w:hAnsi="Times New Roman" w:eastAsia="仿宋_GB2312" w:cs="Times New Roman"/>
          <w:kern w:val="2"/>
          <w:sz w:val="32"/>
          <w:szCs w:val="32"/>
          <w:lang w:eastAsia="zh-CN"/>
        </w:rPr>
        <w:t>事业编制</w:t>
      </w:r>
      <w:r>
        <w:rPr>
          <w:rFonts w:hint="eastAsia" w:ascii="Times New Roman" w:hAnsi="Times New Roman" w:eastAsia="仿宋_GB2312" w:cs="Times New Roman"/>
          <w:kern w:val="2"/>
          <w:sz w:val="32"/>
          <w:szCs w:val="32"/>
          <w:lang w:val="en-US" w:eastAsia="zh-CN"/>
        </w:rPr>
        <w:t>46个，</w:t>
      </w:r>
      <w:r>
        <w:rPr>
          <w:rFonts w:hint="default" w:ascii="Times New Roman" w:hAnsi="Times New Roman" w:eastAsia="仿宋_GB2312" w:cs="Times New Roman"/>
          <w:kern w:val="2"/>
          <w:sz w:val="32"/>
          <w:szCs w:val="32"/>
        </w:rPr>
        <w:t>工勤编制5个</w:t>
      </w:r>
      <w:r>
        <w:rPr>
          <w:rFonts w:hint="eastAsia" w:ascii="Times New Roman" w:hAnsi="Times New Roman" w:eastAsia="仿宋_GB2312" w:cs="Times New Roman"/>
          <w:kern w:val="2"/>
          <w:sz w:val="32"/>
          <w:szCs w:val="32"/>
          <w:lang w:eastAsia="zh-CN"/>
        </w:rPr>
        <w:t>。截止</w:t>
      </w:r>
      <w:r>
        <w:rPr>
          <w:rFonts w:hint="eastAsia" w:ascii="Times New Roman" w:hAnsi="Times New Roman" w:eastAsia="仿宋_GB2312" w:cs="Times New Roman"/>
          <w:kern w:val="2"/>
          <w:sz w:val="32"/>
          <w:szCs w:val="32"/>
          <w:lang w:val="en-US" w:eastAsia="zh-CN"/>
        </w:rPr>
        <w:t>2022年12月底，</w:t>
      </w:r>
      <w:r>
        <w:rPr>
          <w:rFonts w:hint="default" w:ascii="Times New Roman" w:hAnsi="Times New Roman" w:eastAsia="仿宋_GB2312" w:cs="Times New Roman"/>
          <w:kern w:val="2"/>
          <w:sz w:val="32"/>
          <w:szCs w:val="32"/>
        </w:rPr>
        <w:t>现有职工人数</w:t>
      </w:r>
      <w:r>
        <w:rPr>
          <w:rFonts w:hint="eastAsia" w:ascii="Times New Roman" w:hAnsi="Times New Roman" w:eastAsia="仿宋_GB2312" w:cs="Times New Roman"/>
          <w:kern w:val="2"/>
          <w:sz w:val="32"/>
          <w:szCs w:val="32"/>
          <w:lang w:val="en-US" w:eastAsia="zh-CN"/>
        </w:rPr>
        <w:t>66</w:t>
      </w:r>
      <w:r>
        <w:rPr>
          <w:rFonts w:hint="default" w:ascii="Times New Roman" w:hAnsi="Times New Roman" w:eastAsia="仿宋_GB2312" w:cs="Times New Roman"/>
          <w:kern w:val="2"/>
          <w:sz w:val="32"/>
          <w:szCs w:val="32"/>
        </w:rPr>
        <w:t>人(含工勤)，离休人员2人，退休</w:t>
      </w:r>
      <w:r>
        <w:rPr>
          <w:rFonts w:hint="eastAsia" w:ascii="Times New Roman" w:hAnsi="Times New Roman" w:eastAsia="仿宋_GB2312" w:cs="Times New Roman"/>
          <w:kern w:val="2"/>
          <w:sz w:val="32"/>
          <w:szCs w:val="32"/>
          <w:lang w:val="en-US" w:eastAsia="zh-CN"/>
        </w:rPr>
        <w:t>66</w:t>
      </w:r>
      <w:r>
        <w:rPr>
          <w:rFonts w:hint="default" w:ascii="Times New Roman" w:hAnsi="Times New Roman" w:eastAsia="仿宋_GB2312" w:cs="Times New Roman"/>
          <w:kern w:val="2"/>
          <w:sz w:val="32"/>
          <w:szCs w:val="32"/>
        </w:rPr>
        <w:t>人。</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科技攻关砥砺前行。成功开发出绿色低成本的钛合金化新型耐磨钢，填补了国内“转炉—板坯连铸”生产高钛钢技术空白。集成引进国内最大的真空悬浮炉，形成年产100吨以上钛铸件生产能力。开发出以Al-V-Mo-Cr为主要成分体系的特种型号装甲钛合金和基于TC4成分体系的低成本T4LCA装甲钛合金，完全满足陆军装备领域对轻质防护材料的要求。短流程钛合金管材制备新技术取得突破，成功试制出便携式轻型武器装备用TA15筒体。攀钢牵头完成国家两项“1025”材料研制任务（涉密项目），产品实物质量达到国际先进水平。科技不断赋能经济高质量发展。</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创新机制不断优化。创新攻关“大生产组织+工厂化管理”和成果转化“跟投”机制，加速推动科技成果产业化进程，激发近200名参与人员内生动力。推进”揭榜挂帅”“赛马制”“包干制”等开放合作机制，汇聚战略科技力量，投入科研经费3000万元，突破关键技术10余项，实现成果转化5项，新型创新机制正进一步激活创新活力。</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创新影响日益扩大。9个项目获得2022年度省科技进步奖，其中一等奖1项，二等奖3项，三等奖5项。获市领导批示47次，获科技厅书面表扬2次，被科技厅官网采用信息30篇，《创新驱动要参》普刊采用信息5篇，《创新驱动要参》专刊采用信息1篇（正在编辑，待刊发）。</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4.重要指标取得突破。2021年度全市R&amp;D经费投入18.3亿元，比上年增加2.7亿元，排全省第8位；投入强度1.62%，比上年提高0.12个百分点，位居全省第4位。科技型中小业企业评价入库167家，比2021年增加22家；预计高新技术企业可达74家，同比增长17%；技术合同成交额突破10亿元；实现“天府科创贷”零突破，累计9家企业获贷3445万元；四川钒钛产业技术研究院入选首批省级新型研发机构备案名单；高质量完成科研助理岗位开发工作，解决62个应届大学毕业生就业，任务完成率达248%，在全省排第7位，获科技厅通报表扬。</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5.重大技术攻关推进卓有成效。一是持续开展技术布局。梳理出65项“卡脖子”技术，其中，既有布局、接续攻关的27项任务取得阶段性成果，需新布局的38项任务分层分批有序推进，2023年将全部启动实施。二是积极向上争取项目。凝练7项钒钛高端材料“卡脖子”技术攻关任务上报科技部，收到科技部正式函复：将在2023年度重点专项中，先期支持1—2个项目。实施了5批36项攀西试验区重大科技攻关项目，第六批6项项目通过专家评审，待科技厅审定。</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6.创新平台建设进一步夯实。指导攀钢集团编制钒钛资源综合利用国家重点实验室重组方案，8月提交至科技部审核并参与答辩，待科技部公布结果。提升了攀钢技术中心和钒钛产业技术创新战略联盟建设能力。抓实了钒钛产业创新联合体组建工作，由攀钢集团牵头，联合省外企业和科研院所组建的四川省钒钛产业创新联合体于12月获批建设。</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7.种业高地和区域医疗健康服务高地打造初见成效。建设芒果、蔬菜等种质资源创新基地7个，引进种质资源188个。开展芒果、石榴、蔬菜等主导产业新品种选育工作，创制育种新材料600余份，开展区域性试验品种11个，2个芒果新品种权已通过农业农村部初审，正式进入实质审查阶段。 “四川科技兴村在线”平台实现市、县（区）两级全覆盖，获科技厅项目支持360万。组建5个科技特派员团队，实现了我市县（区）科技特派团全覆盖。力争仁和、米易省级农业科技园区保牌成功。持续推进3家重点医院医疗科技合作创新中心和市阳光康养产业技术研究院建设，组建我市首个医疗卫生重点实验室——“攀枝花市心肌病与心力衰竭重点实验室”，完成我市中医药转化医学暨中药制剂研发重点实验室现场考察评估，启动首批3个市级中西名医工作室培育计划。组建的首支钒钛领域高水平创新团队取得阶段性成效，选拔培养第二批“优才计划”攀枝花创新领军人才4名。2人入选2022年“天府EM计划创新领军人才”和“天府QC计划创新领军人才”，推荐17人申报省级人才专项。</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8.制定出台政策措施情况。配合市人才办新修订出台“人才兴攀”战略1+1+N系列配套文件，主要承担了《攀枝花市创新人才（团队）支持实施细则》的牵头制定工作和“柔性引进人才”“紧缺人才”“人才发展平台”等3个实施细则的联合修订发文工作；配合市人才办出台《关于加强和改进新时代人才工作的若干措施》。</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202</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en-US" w:eastAsia="zh-CN"/>
        </w:rPr>
        <w:t>年</w:t>
      </w:r>
      <w:r>
        <w:rPr>
          <w:rFonts w:hint="eastAsia" w:eastAsia="仿宋_GB2312" w:cs="Times New Roman"/>
          <w:kern w:val="2"/>
          <w:sz w:val="32"/>
          <w:szCs w:val="32"/>
          <w:lang w:val="en-US" w:eastAsia="zh-CN"/>
        </w:rPr>
        <w:t>，市科技局系统</w:t>
      </w:r>
      <w:r>
        <w:rPr>
          <w:rFonts w:hint="default" w:ascii="Times New Roman" w:hAnsi="Times New Roman" w:eastAsia="仿宋_GB2312" w:cs="Times New Roman"/>
          <w:kern w:val="2"/>
          <w:sz w:val="32"/>
          <w:szCs w:val="32"/>
          <w:lang w:val="en-US" w:eastAsia="zh-CN"/>
        </w:rPr>
        <w:t>资金安排和使用，紧紧围绕市委、市政府确定的战略目标，按照加快科技发展的工作部署，主攻方向正确，方式方法可行，成果显著。在项目实施过程中，得到各级党委、政府，科研院所、高校和项目承担单位的高度重视，密切配合，科研任务顺利完成。资金安排使用情况基本达到预期绩效目标，取得了良好的经济、社会和生态效益，科技工作满意度得到社会广泛认可</w:t>
      </w:r>
      <w:r>
        <w:rPr>
          <w:rFonts w:hint="eastAsia" w:eastAsia="仿宋_GB2312" w:cs="Times New Roman"/>
          <w:kern w:val="2"/>
          <w:sz w:val="32"/>
          <w:szCs w:val="32"/>
          <w:lang w:val="en-US" w:eastAsia="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1.部门总体收入情况</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2022年初财政预算收入下达1676.74万元，年中各项人员公用经费追加下达30.72万元；项目经费追加下达146.01万元，2022年全年收入1853.47万元。</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2.部门总体支出情况</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2022年，部门全年支出1892.07万元，其中人员经费支出1597.05万元，日常公用经费支出149.01万元，项目经费支出146.01万元。</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3.部门总体结转结余情况</w:t>
      </w:r>
      <w:r>
        <w:rPr>
          <w:rFonts w:hint="eastAsia" w:ascii="仿宋_GB2312" w:hAnsi="仿宋_GB2312" w:eastAsia="仿宋_GB2312" w:cs="仿宋_GB2312"/>
          <w:kern w:val="0"/>
          <w:sz w:val="32"/>
          <w:szCs w:val="32"/>
          <w:shd w:val="clear" w:color="auto" w:fill="FFFFFF"/>
          <w:lang w:eastAsia="zh-CN"/>
        </w:rPr>
        <w:t>。</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2022年，年末结转和结余19.47万元。</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rPr>
        <w:t>1.部门财政拨款收入情况</w:t>
      </w:r>
      <w:r>
        <w:rPr>
          <w:rFonts w:hint="eastAsia" w:ascii="仿宋_GB2312" w:hAnsi="仿宋_GB2312" w:eastAsia="仿宋_GB2312" w:cs="仿宋_GB2312"/>
          <w:kern w:val="0"/>
          <w:sz w:val="32"/>
          <w:szCs w:val="32"/>
          <w:shd w:val="clear" w:color="auto" w:fill="FFFFFF"/>
          <w:lang w:eastAsia="zh-CN"/>
        </w:rPr>
        <w:t>。</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rPr>
        <w:t>2022年初财政预算收入下达1676.74万元，年中各项人员公用经费追加下达30.72万元；项目经费追加下达146.01万元，2022年全年收入1853.47万元。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2.部门财政拨款支出情况。</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2022年，部门财政拨款支出</w:t>
      </w:r>
      <w:r>
        <w:rPr>
          <w:rFonts w:hint="eastAsia" w:ascii="仿宋_GB2312" w:hAnsi="仿宋_GB2312" w:eastAsia="仿宋_GB2312" w:cs="仿宋_GB2312"/>
          <w:kern w:val="0"/>
          <w:sz w:val="32"/>
          <w:szCs w:val="32"/>
          <w:shd w:val="clear" w:color="auto" w:fill="FFFFFF"/>
          <w:lang w:val="en-US" w:eastAsia="zh-CN"/>
        </w:rPr>
        <w:t>1890.5万元，其中人员经费支出1597.05万元，日常公用经费支出144.44万元，项目经费支出146.01万元。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3.部门财政拨款结转结余情况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2022年，部门年末财政拨款结转结余</w:t>
      </w:r>
      <w:r>
        <w:rPr>
          <w:rFonts w:hint="eastAsia" w:hAnsi="仿宋_GB2312" w:cs="仿宋_GB2312"/>
          <w:kern w:val="0"/>
          <w:sz w:val="32"/>
          <w:szCs w:val="32"/>
          <w:shd w:val="clear" w:color="auto" w:fill="FFFFFF"/>
          <w:lang w:val="en-US" w:eastAsia="zh-CN" w:bidi="ar-SA"/>
        </w:rPr>
        <w:t>14.99</w:t>
      </w:r>
      <w:r>
        <w:rPr>
          <w:rFonts w:hint="eastAsia" w:ascii="仿宋_GB2312" w:hAnsi="仿宋_GB2312" w:eastAsia="仿宋_GB2312" w:cs="仿宋_GB2312"/>
          <w:kern w:val="0"/>
          <w:sz w:val="32"/>
          <w:szCs w:val="32"/>
          <w:shd w:val="clear" w:color="auto" w:fill="FFFFFF"/>
          <w:lang w:val="en-US" w:eastAsia="zh-CN" w:bidi="ar-SA"/>
        </w:rPr>
        <w:t>万元。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三、部门整体绩效分析（根据适用指标体系进行调整，涉及到有专项资金预算项目的部门，专项资金预算项目自评报告作为本报告附件一并公开）</w:t>
      </w:r>
    </w:p>
    <w:p>
      <w:pPr>
        <w:widowControl/>
        <w:adjustRightInd w:val="0"/>
        <w:snapToGrid w:val="0"/>
        <w:spacing w:line="560" w:lineRule="exact"/>
        <w:ind w:firstLine="642"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严格执行相关政策，保障工资及时发放、足额发放，预算编制科学合理，无资金结余率和违规记录等情况。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严格执行相关政策，预算编制科学合理，保障单位水、电、办公等日常运转，无资金结余率和违规记录等情况。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结合年度工作任务，申报项目经费，填写部门（单位）项目支出绩效目标表和项目支出绩效自评报告，确保项目资金使用合理合规，无违规记录。</w:t>
      </w:r>
    </w:p>
    <w:p>
      <w:pPr>
        <w:widowControl/>
        <w:adjustRightInd w:val="0"/>
        <w:snapToGrid w:val="0"/>
        <w:spacing w:line="560" w:lineRule="exact"/>
        <w:ind w:firstLine="642"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hint="default" w:ascii="仿宋_GB2312" w:hAnsi="仿宋_GB2312" w:eastAsia="仿宋_GB2312" w:cs="仿宋_GB2312"/>
          <w:kern w:val="0"/>
          <w:sz w:val="32"/>
          <w:szCs w:val="32"/>
          <w:shd w:val="clear" w:color="auto" w:fill="FFFFFF"/>
          <w:lang w:val="zh-CN" w:eastAsia="zh-CN"/>
        </w:rPr>
      </w:pPr>
      <w:r>
        <w:rPr>
          <w:rFonts w:hint="eastAsia" w:ascii="仿宋_GB2312" w:hAnsi="仿宋_GB2312" w:eastAsia="仿宋_GB2312" w:cs="仿宋_GB2312"/>
          <w:kern w:val="0"/>
          <w:sz w:val="32"/>
          <w:szCs w:val="32"/>
          <w:shd w:val="clear" w:color="auto" w:fill="FFFFFF"/>
          <w:lang w:val="en-US" w:eastAsia="zh-CN"/>
        </w:rPr>
        <w:t>市科技局</w:t>
      </w:r>
      <w:r>
        <w:rPr>
          <w:rFonts w:hint="default" w:ascii="仿宋_GB2312" w:hAnsi="仿宋_GB2312" w:eastAsia="仿宋_GB2312" w:cs="仿宋_GB2312"/>
          <w:kern w:val="0"/>
          <w:sz w:val="32"/>
          <w:szCs w:val="32"/>
          <w:shd w:val="clear" w:color="auto" w:fill="FFFFFF"/>
          <w:lang w:val="en-US" w:eastAsia="zh-CN"/>
        </w:rPr>
        <w:t>系统各单位严格</w:t>
      </w:r>
      <w:r>
        <w:rPr>
          <w:rFonts w:hint="eastAsia" w:ascii="仿宋_GB2312" w:hAnsi="仿宋_GB2312" w:eastAsia="仿宋_GB2312" w:cs="仿宋_GB2312"/>
          <w:kern w:val="0"/>
          <w:sz w:val="32"/>
          <w:szCs w:val="32"/>
          <w:shd w:val="clear" w:color="auto" w:fill="FFFFFF"/>
          <w:lang w:val="en-US" w:eastAsia="zh-CN"/>
        </w:rPr>
        <w:t>按照财政相关要求，正确编制年度预算</w:t>
      </w:r>
      <w:r>
        <w:rPr>
          <w:rFonts w:hint="default" w:ascii="仿宋_GB2312" w:hAnsi="仿宋_GB2312" w:eastAsia="仿宋_GB2312" w:cs="仿宋_GB2312"/>
          <w:kern w:val="0"/>
          <w:sz w:val="32"/>
          <w:szCs w:val="32"/>
          <w:shd w:val="clear" w:color="auto" w:fill="FFFFFF"/>
          <w:lang w:val="en-US" w:eastAsia="zh-CN"/>
        </w:rPr>
        <w:t>，制定绩效目标，</w:t>
      </w:r>
      <w:r>
        <w:rPr>
          <w:rFonts w:hint="eastAsia" w:ascii="仿宋_GB2312" w:hAnsi="仿宋_GB2312" w:eastAsia="仿宋_GB2312" w:cs="仿宋_GB2312"/>
          <w:kern w:val="0"/>
          <w:sz w:val="32"/>
          <w:szCs w:val="32"/>
          <w:shd w:val="clear" w:color="auto" w:fill="FFFFFF"/>
          <w:lang w:val="en-US" w:eastAsia="zh-CN"/>
        </w:rPr>
        <w:t>在基本公用支出和项目支出过程中，及时进行科目调剂，确保资金实际使用情况与财务科目相符，提高预算执行与绩效目标的匹配度。</w:t>
      </w:r>
    </w:p>
    <w:p>
      <w:pPr>
        <w:widowControl/>
        <w:adjustRightInd w:val="0"/>
        <w:snapToGrid w:val="0"/>
        <w:spacing w:line="560" w:lineRule="exact"/>
        <w:ind w:firstLine="642"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lang w:val="en-US" w:eastAsia="zh-CN"/>
        </w:rPr>
        <w:t>市</w:t>
      </w:r>
      <w:r>
        <w:rPr>
          <w:rFonts w:hint="eastAsia" w:ascii="仿宋_GB2312" w:hAnsi="仿宋_GB2312" w:eastAsia="仿宋_GB2312" w:cs="仿宋_GB2312"/>
          <w:kern w:val="0"/>
          <w:sz w:val="32"/>
          <w:szCs w:val="32"/>
          <w:shd w:val="clear" w:color="auto" w:fill="FFFFFF"/>
          <w:lang w:val="en-US" w:eastAsia="zh-CN"/>
        </w:rPr>
        <w:t>科技局</w:t>
      </w:r>
      <w:r>
        <w:rPr>
          <w:rFonts w:hint="default" w:ascii="仿宋_GB2312" w:hAnsi="仿宋_GB2312" w:eastAsia="仿宋_GB2312" w:cs="仿宋_GB2312"/>
          <w:kern w:val="0"/>
          <w:sz w:val="32"/>
          <w:szCs w:val="32"/>
          <w:shd w:val="clear" w:color="auto" w:fill="FFFFFF"/>
          <w:lang w:val="en-US" w:eastAsia="zh-CN"/>
        </w:rPr>
        <w:t>系统充分重视绩效自评结果，将结果应用在绩效制定的过程中，不断完善绩效制定水平，提高绩效编制的准确性。</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en-US" w:eastAsia="zh-CN"/>
        </w:rPr>
        <w:t>（四）</w:t>
      </w:r>
      <w:r>
        <w:rPr>
          <w:rFonts w:hint="eastAsia" w:ascii="楷体_GB2312" w:hAnsi="楷体_GB2312" w:eastAsia="楷体_GB2312" w:cs="楷体_GB2312"/>
          <w:b/>
          <w:bCs/>
          <w:kern w:val="0"/>
          <w:sz w:val="32"/>
          <w:szCs w:val="32"/>
          <w:shd w:val="clear" w:color="auto" w:fill="FFFFFF"/>
          <w:lang w:val="zh-CN"/>
        </w:rPr>
        <w:t>自评质量。</w:t>
      </w:r>
    </w:p>
    <w:p>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仿宋_GB2312" w:hAnsi="仿宋_GB2312" w:eastAsia="仿宋_GB2312" w:cs="仿宋_GB2312"/>
          <w:b w:val="0"/>
          <w:bCs w:val="0"/>
          <w:kern w:val="0"/>
          <w:sz w:val="32"/>
          <w:szCs w:val="32"/>
          <w:shd w:val="clear" w:color="auto" w:fill="FFFFFF"/>
          <w:lang w:val="en-US" w:eastAsia="zh-CN" w:bidi="ar-SA"/>
        </w:rPr>
      </w:pPr>
      <w:r>
        <w:rPr>
          <w:rFonts w:hint="default" w:ascii="仿宋_GB2312" w:hAnsi="仿宋_GB2312" w:eastAsia="仿宋_GB2312" w:cs="仿宋_GB2312"/>
          <w:b w:val="0"/>
          <w:bCs w:val="0"/>
          <w:kern w:val="0"/>
          <w:sz w:val="32"/>
          <w:szCs w:val="32"/>
          <w:shd w:val="clear" w:color="auto" w:fill="FFFFFF"/>
          <w:lang w:val="en-US" w:eastAsia="zh-CN" w:bidi="ar-SA"/>
        </w:rPr>
        <w:t>按项目实际支出和项目申报绩效目标进行对比分析</w:t>
      </w:r>
      <w:r>
        <w:rPr>
          <w:rFonts w:hint="eastAsia" w:ascii="仿宋_GB2312" w:hAnsi="仿宋_GB2312" w:eastAsia="仿宋_GB2312" w:cs="仿宋_GB2312"/>
          <w:b w:val="0"/>
          <w:bCs w:val="0"/>
          <w:kern w:val="0"/>
          <w:sz w:val="32"/>
          <w:szCs w:val="32"/>
          <w:shd w:val="clear" w:color="auto" w:fill="FFFFFF"/>
          <w:lang w:val="en-US" w:eastAsia="zh-CN" w:bidi="ar-SA"/>
        </w:rPr>
        <w:t>，市科技局</w:t>
      </w:r>
      <w:r>
        <w:rPr>
          <w:rFonts w:hint="default" w:ascii="仿宋_GB2312" w:hAnsi="仿宋_GB2312" w:eastAsia="仿宋_GB2312" w:cs="仿宋_GB2312"/>
          <w:b w:val="0"/>
          <w:bCs w:val="0"/>
          <w:kern w:val="0"/>
          <w:sz w:val="32"/>
          <w:szCs w:val="32"/>
          <w:shd w:val="clear" w:color="auto" w:fill="FFFFFF"/>
          <w:lang w:val="en-US" w:eastAsia="zh-CN" w:bidi="ar-SA"/>
        </w:rPr>
        <w:t>部门支出绩效指标达到了预期设定的目标值，绩效目标完成较好</w:t>
      </w:r>
      <w:r>
        <w:rPr>
          <w:rFonts w:hint="eastAsia" w:ascii="仿宋_GB2312" w:hAnsi="仿宋_GB2312" w:eastAsia="仿宋_GB2312" w:cs="仿宋_GB2312"/>
          <w:b w:val="0"/>
          <w:bCs w:val="0"/>
          <w:kern w:val="0"/>
          <w:sz w:val="32"/>
          <w:szCs w:val="32"/>
          <w:shd w:val="clear" w:color="auto" w:fill="FFFFFF"/>
          <w:lang w:val="en-US" w:eastAsia="zh-CN" w:bidi="ar-SA"/>
        </w:rPr>
        <w:t>，</w:t>
      </w:r>
      <w:r>
        <w:rPr>
          <w:rFonts w:hint="default" w:ascii="仿宋_GB2312" w:hAnsi="仿宋_GB2312" w:eastAsia="仿宋_GB2312" w:cs="仿宋_GB2312"/>
          <w:b w:val="0"/>
          <w:bCs w:val="0"/>
          <w:kern w:val="0"/>
          <w:sz w:val="32"/>
          <w:szCs w:val="32"/>
          <w:shd w:val="clear" w:color="auto" w:fill="FFFFFF"/>
          <w:lang w:val="en-US" w:eastAsia="zh-CN" w:bidi="ar-SA"/>
        </w:rPr>
        <w:t>所有</w:t>
      </w:r>
      <w:r>
        <w:rPr>
          <w:rFonts w:hint="eastAsia" w:ascii="仿宋_GB2312" w:hAnsi="仿宋_GB2312" w:eastAsia="仿宋_GB2312" w:cs="仿宋_GB2312"/>
          <w:b w:val="0"/>
          <w:bCs w:val="0"/>
          <w:kern w:val="0"/>
          <w:sz w:val="32"/>
          <w:szCs w:val="32"/>
          <w:shd w:val="clear" w:color="auto" w:fill="FFFFFF"/>
          <w:lang w:val="en-US" w:eastAsia="zh-CN" w:bidi="ar-SA"/>
        </w:rPr>
        <w:t>经费使用范围</w:t>
      </w:r>
      <w:r>
        <w:rPr>
          <w:rFonts w:hint="default" w:ascii="仿宋_GB2312" w:hAnsi="仿宋_GB2312" w:eastAsia="仿宋_GB2312" w:cs="仿宋_GB2312"/>
          <w:b w:val="0"/>
          <w:bCs w:val="0"/>
          <w:kern w:val="0"/>
          <w:sz w:val="32"/>
          <w:szCs w:val="32"/>
          <w:shd w:val="clear" w:color="auto" w:fill="FFFFFF"/>
          <w:lang w:val="en-US" w:eastAsia="zh-CN" w:bidi="ar-SA"/>
        </w:rPr>
        <w:t>均与批复下达相符。</w:t>
      </w:r>
    </w:p>
    <w:p>
      <w:pPr>
        <w:keepNext w:val="0"/>
        <w:keepLines w:val="0"/>
        <w:pageBreakBefore w:val="0"/>
        <w:widowControl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1"/>
        <w:textAlignment w:val="auto"/>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default" w:ascii="仿宋_GB2312" w:hAnsi="仿宋_GB2312" w:eastAsia="仿宋_GB2312" w:cs="仿宋_GB2312"/>
          <w:kern w:val="0"/>
          <w:sz w:val="32"/>
          <w:szCs w:val="32"/>
          <w:shd w:val="clear" w:color="auto" w:fill="FFFFFF"/>
          <w:lang w:val="en-US" w:eastAsia="zh-CN"/>
        </w:rPr>
      </w:pPr>
      <w:r>
        <w:rPr>
          <w:rFonts w:hint="default" w:ascii="仿宋_GB2312" w:hAnsi="仿宋_GB2312" w:eastAsia="仿宋_GB2312" w:cs="仿宋_GB2312"/>
          <w:kern w:val="0"/>
          <w:sz w:val="32"/>
          <w:szCs w:val="32"/>
          <w:shd w:val="clear" w:color="auto" w:fill="FFFFFF"/>
        </w:rPr>
        <w:t>202</w:t>
      </w:r>
      <w:r>
        <w:rPr>
          <w:rFonts w:hint="eastAsia" w:ascii="仿宋_GB2312" w:hAnsi="仿宋_GB2312" w:eastAsia="仿宋_GB2312" w:cs="仿宋_GB2312"/>
          <w:kern w:val="0"/>
          <w:sz w:val="32"/>
          <w:szCs w:val="32"/>
          <w:shd w:val="clear" w:color="auto" w:fill="FFFFFF"/>
          <w:lang w:val="en-US" w:eastAsia="zh-CN"/>
        </w:rPr>
        <w:t>2</w:t>
      </w:r>
      <w:r>
        <w:rPr>
          <w:rFonts w:hint="default" w:ascii="仿宋_GB2312" w:hAnsi="仿宋_GB2312" w:eastAsia="仿宋_GB2312" w:cs="仿宋_GB2312"/>
          <w:kern w:val="0"/>
          <w:sz w:val="32"/>
          <w:szCs w:val="32"/>
          <w:shd w:val="clear" w:color="auto" w:fill="FFFFFF"/>
        </w:rPr>
        <w:t>年，</w:t>
      </w:r>
      <w:r>
        <w:rPr>
          <w:rFonts w:hint="default" w:ascii="仿宋_GB2312" w:hAnsi="仿宋_GB2312" w:eastAsia="仿宋_GB2312" w:cs="仿宋_GB2312"/>
          <w:kern w:val="0"/>
          <w:sz w:val="32"/>
          <w:szCs w:val="32"/>
          <w:shd w:val="clear" w:color="auto" w:fill="FFFFFF"/>
          <w:lang w:val="en-US" w:eastAsia="zh-CN"/>
        </w:rPr>
        <w:t>我局持续深入实施创新驱动发展战略，以提高自主创新能力为核心，大力推动“卡脖子”技术攻关，</w:t>
      </w:r>
      <w:r>
        <w:rPr>
          <w:rFonts w:hint="eastAsia" w:ascii="仿宋_GB2312" w:hAnsi="仿宋_GB2312" w:eastAsia="仿宋_GB2312" w:cs="仿宋_GB2312"/>
          <w:kern w:val="0"/>
          <w:sz w:val="32"/>
          <w:szCs w:val="32"/>
          <w:shd w:val="clear" w:color="auto" w:fill="FFFFFF"/>
          <w:lang w:val="en-US" w:eastAsia="zh-CN"/>
        </w:rPr>
        <w:t>推进“揭榜挂帅”“赛马制”“包干制”等开放合作机制</w:t>
      </w:r>
      <w:r>
        <w:rPr>
          <w:rFonts w:hint="default" w:ascii="仿宋_GB2312" w:hAnsi="仿宋_GB2312" w:eastAsia="仿宋_GB2312" w:cs="仿宋_GB2312"/>
          <w:kern w:val="0"/>
          <w:sz w:val="32"/>
          <w:szCs w:val="32"/>
          <w:shd w:val="clear" w:color="auto" w:fill="FFFFFF"/>
          <w:lang w:val="en-US" w:eastAsia="zh-CN"/>
        </w:rPr>
        <w:t>，积极搭建科</w:t>
      </w:r>
      <w:r>
        <w:rPr>
          <w:rFonts w:hint="default" w:ascii="仿宋_GB2312" w:hAnsi="仿宋_GB2312" w:eastAsia="仿宋_GB2312" w:cs="仿宋_GB2312"/>
          <w:kern w:val="0"/>
          <w:sz w:val="32"/>
          <w:szCs w:val="32"/>
          <w:shd w:val="clear" w:color="auto" w:fill="FFFFFF"/>
        </w:rPr>
        <w:t>技创新联合体，不断开创科技创新工作新局面。</w:t>
      </w:r>
      <w:r>
        <w:rPr>
          <w:rFonts w:hint="default" w:ascii="仿宋_GB2312" w:hAnsi="仿宋_GB2312" w:eastAsia="仿宋_GB2312" w:cs="仿宋_GB2312"/>
          <w:kern w:val="0"/>
          <w:sz w:val="32"/>
          <w:szCs w:val="32"/>
          <w:shd w:val="clear" w:color="auto" w:fill="FFFFFF"/>
          <w:lang w:val="en-US" w:eastAsia="zh-CN"/>
        </w:rPr>
        <w:t xml:space="preserve">在项目实施过程中，项目资金预算编制准确，部门整体绩效目标编制完整、合理，项目绩效目标编制明确，执行预算制度到位，基绩效目标，取得了良好的经济、社会和生态效益，有力助推了攀枝花市科技创新工作的持续高效开展。 </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eastAsia" w:ascii="Times New Roman" w:hAnsi="Times New Roman" w:eastAsia="仿宋_GB2312" w:cs="Times New Roman"/>
          <w:b w:val="0"/>
          <w:bCs w:val="0"/>
          <w:kern w:val="2"/>
          <w:sz w:val="32"/>
          <w:szCs w:val="32"/>
          <w:lang w:val="zh-CN" w:eastAsia="zh-CN" w:bidi="ar-SA"/>
        </w:rPr>
      </w:pPr>
      <w:r>
        <w:rPr>
          <w:rFonts w:hint="eastAsia" w:ascii="Times New Roman" w:hAnsi="Times New Roman" w:eastAsia="仿宋_GB2312" w:cs="Times New Roman"/>
          <w:b w:val="0"/>
          <w:bCs w:val="0"/>
          <w:kern w:val="2"/>
          <w:sz w:val="32"/>
          <w:szCs w:val="32"/>
          <w:lang w:val="zh-CN" w:eastAsia="zh-CN" w:bidi="ar-SA"/>
        </w:rPr>
        <w:t>无。</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keepNext w:val="0"/>
        <w:keepLines w:val="0"/>
        <w:pageBreakBefore w:val="0"/>
        <w:pBdr>
          <w:top w:val="single" w:color="FFFFFF" w:sz="4" w:space="0"/>
          <w:left w:val="single" w:color="FFFFFF" w:sz="4" w:space="0"/>
          <w:bottom w:val="single" w:color="FFFFFF" w:sz="4" w:space="31"/>
          <w:right w:val="single" w:color="FFFFFF" w:sz="4" w:space="0"/>
        </w:pBdr>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仿宋_GB2312" w:cs="Times New Roman"/>
          <w:b w:val="0"/>
          <w:bCs w:val="0"/>
          <w:kern w:val="2"/>
          <w:sz w:val="32"/>
          <w:szCs w:val="32"/>
          <w:lang w:val="zh-CN" w:eastAsia="zh-CN" w:bidi="ar-SA"/>
        </w:rPr>
      </w:pPr>
      <w:r>
        <w:rPr>
          <w:rFonts w:hint="eastAsia" w:ascii="Times New Roman" w:hAnsi="Times New Roman" w:eastAsia="仿宋_GB2312" w:cs="Times New Roman"/>
          <w:b w:val="0"/>
          <w:bCs w:val="0"/>
          <w:kern w:val="2"/>
          <w:sz w:val="32"/>
          <w:szCs w:val="32"/>
          <w:lang w:val="zh-CN" w:eastAsia="zh-CN" w:bidi="ar-SA"/>
        </w:rPr>
        <w:t>无。</w:t>
      </w:r>
    </w:p>
    <w:p>
      <w:pPr>
        <w:pStyle w:val="17"/>
        <w:spacing w:line="560" w:lineRule="exact"/>
        <w:ind w:left="0" w:leftChars="0" w:firstLine="640"/>
        <w:rPr>
          <w:rFonts w:hint="eastAsia" w:hAnsi="仿宋_GB2312" w:eastAsia="仿宋_GB2312" w:cs="仿宋_GB2312"/>
          <w:sz w:val="32"/>
          <w:lang w:val="zh-CN" w:eastAsia="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1</w:t>
      </w:r>
    </w:p>
    <w:p>
      <w:pPr>
        <w:pStyle w:val="17"/>
        <w:spacing w:line="560" w:lineRule="exact"/>
        <w:ind w:left="0" w:leftChars="0" w:firstLine="640"/>
        <w:rPr>
          <w:rFonts w:hAnsi="仿宋_GB2312" w:eastAsia="仿宋_GB2312" w:cs="仿宋_GB2312"/>
          <w:sz w:val="32"/>
          <w:lang w:val="zh-CN"/>
        </w:rPr>
      </w:pPr>
    </w:p>
    <w:p>
      <w:pPr>
        <w:pStyle w:val="17"/>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rPr>
          <w:rFonts w:hint="eastAsia" w:hAnsi="宋体" w:cs="宋体"/>
          <w:sz w:val="32"/>
          <w:szCs w:val="32"/>
          <w:shd w:val="clear" w:color="auto" w:fill="FFFFFF"/>
          <w:lang w:val="zh-CN"/>
        </w:rPr>
      </w:pPr>
      <w:r>
        <w:rPr>
          <w:rFonts w:hint="eastAsia" w:hAnsi="宋体" w:cs="宋体"/>
          <w:sz w:val="32"/>
          <w:szCs w:val="32"/>
          <w:shd w:val="clear" w:color="auto" w:fill="FFFFFF"/>
          <w:lang w:val="zh-CN"/>
        </w:rPr>
        <w:br w:type="page"/>
      </w:r>
    </w:p>
    <w:p>
      <w:pPr>
        <w:pStyle w:val="38"/>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pStyle w:val="38"/>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eastAsia="zh-CN"/>
        </w:rPr>
        <w:t>（“低成本高强韧钛合金材料制备关键技术研究”）</w:t>
      </w:r>
    </w:p>
    <w:p>
      <w:pPr>
        <w:adjustRightInd w:val="0"/>
        <w:snapToGrid w:val="0"/>
        <w:spacing w:line="578" w:lineRule="exact"/>
        <w:ind w:firstLine="720"/>
        <w:rPr>
          <w:rFonts w:hint="eastAsia" w:ascii="黑体" w:hAnsi="宋体" w:eastAsia="黑体"/>
          <w:sz w:val="32"/>
          <w:szCs w:val="32"/>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1．说明项目主管部门（单位）在该项目管理中的职能。</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攀枝花市科学技术局作为“</w:t>
      </w:r>
      <w:r>
        <w:rPr>
          <w:rFonts w:hint="eastAsia" w:ascii="仿宋_GB2312" w:hAnsi="仿宋_GB2312" w:eastAsia="仿宋_GB2312" w:cs="仿宋_GB2312"/>
          <w:sz w:val="32"/>
          <w:szCs w:val="32"/>
        </w:rPr>
        <w:t>低成本高强韧钛合金材料制备关键技术研究</w:t>
      </w:r>
      <w:r>
        <w:rPr>
          <w:rFonts w:hint="eastAsia" w:ascii="仿宋_GB2312" w:hAnsi="仿宋_GB2312" w:eastAsia="仿宋_GB2312" w:cs="仿宋_GB2312"/>
          <w:sz w:val="32"/>
          <w:szCs w:val="32"/>
          <w:lang w:eastAsia="zh-CN"/>
        </w:rPr>
        <w:t>”项目的主管单位，在项目管理中的职能主要有：一是加强项目监督管理。采用定期与不定期相结合的方式，到项目现场检查项目推进情况、安全管理等内容，督促项目实施按计划任务推进。二是加强项目实施指导。帮助项目承担单位协调解决项目实施过程中遇到的困难及问题，邀请相关领域专家为项目答疑解惑，指导项目顺利实施。三是加强沟通交流。建立联系机制，与项目承担单位保持畅通联系，了解项目承担单位需求，随时掌握项目推进情况，提高项目管理效率。</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2.项目立项、资金申报的依据。</w:t>
      </w:r>
    </w:p>
    <w:p>
      <w:pPr>
        <w:autoSpaceDE w:val="0"/>
        <w:autoSpaceDN w:val="0"/>
        <w:adjustRightInd w:val="0"/>
        <w:spacing w:line="600" w:lineRule="exac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（1）立项依据</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空航天工业是世界各经济军事强国的重要战略性产业，是体现一个国家经济实力和工业化水平高低的重要标志。它不仅对一个国家的经济发展具有重要意义，也是国防实力的重要支撑。而航空材料无疑成为世界各国发展航空航天事业的秘密武器和重点发展方向之一。钛及钛合金具有密度小、强度高、耐腐蚀等优点，被广泛应用于航空航天领域，是制造航空发动机、火箭和导弹的重要结构材料,被誉为“第三金属”、“太空金属”等，已经成为重要的战略金属材料。在实现轻量化设计的目标下，钛合金无疑成为取代镍基高温合金的首选合金。据报道，如果用Ti-47Al-2Cr-2Nb合金取代传统镍基合金，重量仅有镍基合金的55%左右。</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航空航天工业的迅速发展，满足发动机低油耗、大推重比和高可靠性的设计目标，未来航空飞行器对钛合金的需求应该是兼具更高强度、更高韧性和更高耐高温性能。然而，传统结构用钛合金室温下延伸率低以及高温强度不足已经无法满足上述要求。作为工程技术上适用的基础材料，特别是长期服役于严苛环境中的结构材料，必须不断适应产品更新换代过程中对材料提出的更高的性能要求。本项目提出在bccβ-Ti基体中共格析出有序bccB2-Ti(Fe,Al)纳米相，通过调控基体和纳米析出相间元素分配，实现纳米析出相的高密度均匀析出，使钛合金获得良好的强度塑性匹配。实现钛合金强韧一体化的性能要求，同时降低钛合金成本，满足航空航天、武器装备等领域的应用需求，具有重要的理论和实际意义。</w:t>
      </w:r>
    </w:p>
    <w:p>
      <w:pPr>
        <w:autoSpaceDE w:val="0"/>
        <w:autoSpaceDN w:val="0"/>
        <w:adjustRightInd w:val="0"/>
        <w:spacing w:line="600" w:lineRule="exac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（2）资金申报依据</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项目资金申报严格按照《四川省科技计划项目专项资金管理办法》（川财规[2019]10号）《攀枝花市科技专项资金管理暂行办法》（攀财教［2018］1号）</w:t>
      </w:r>
      <w:r>
        <w:rPr>
          <w:rFonts w:hint="eastAsia" w:ascii="仿宋" w:hAnsi="仿宋" w:eastAsia="仿宋" w:cs="仿宋"/>
          <w:color w:val="auto"/>
          <w:sz w:val="32"/>
          <w:szCs w:val="32"/>
          <w:lang w:eastAsia="zh-CN"/>
        </w:rPr>
        <w:t>《关于下达</w:t>
      </w:r>
      <w:r>
        <w:rPr>
          <w:rFonts w:hint="eastAsia" w:ascii="仿宋" w:hAnsi="仿宋" w:eastAsia="仿宋" w:cs="仿宋"/>
          <w:color w:val="auto"/>
          <w:sz w:val="32"/>
          <w:szCs w:val="32"/>
          <w:lang w:val="en-US" w:eastAsia="zh-CN"/>
        </w:rPr>
        <w:t>2020年度第二批攀枝花市市级科技计划项目和财政科技专项资金计划的通知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攀科发〔2020〕74号</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规定的资金使用范围和标准，在项目立项后重新编制资金概算总表。</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3．资金管理办法制定情况，资金支持具体项目的条件、范围与支持方式概况。</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bookmarkStart w:id="57" w:name="_Hlk69045313"/>
      <w:r>
        <w:rPr>
          <w:rFonts w:hint="eastAsia" w:ascii="仿宋_GB2312" w:hAnsi="仿宋_GB2312" w:eastAsia="仿宋_GB2312" w:cs="仿宋_GB2312"/>
          <w:sz w:val="32"/>
          <w:szCs w:val="32"/>
        </w:rPr>
        <w:t>四川钒钛产业技术研究院</w:t>
      </w:r>
      <w:bookmarkEnd w:id="57"/>
      <w:r>
        <w:rPr>
          <w:rFonts w:hint="eastAsia" w:ascii="仿宋_GB2312" w:hAnsi="仿宋_GB2312" w:eastAsia="仿宋_GB2312" w:cs="仿宋_GB2312"/>
          <w:sz w:val="32"/>
          <w:szCs w:val="32"/>
          <w:lang w:eastAsia="zh-CN"/>
        </w:rPr>
        <w:t>作为项目承担</w:t>
      </w:r>
      <w:r>
        <w:rPr>
          <w:rFonts w:hint="eastAsia" w:ascii="仿宋_GB2312" w:hAnsi="仿宋_GB2312" w:eastAsia="仿宋_GB2312" w:cs="仿宋_GB2312"/>
          <w:sz w:val="32"/>
          <w:szCs w:val="32"/>
        </w:rPr>
        <w:t>单位，根据《四川省科技计划项目专项资金管理办法》（川财规[2019]10号）</w:t>
      </w:r>
      <w:bookmarkStart w:id="58" w:name="_Hlk69047463"/>
      <w:r>
        <w:rPr>
          <w:rFonts w:hint="eastAsia" w:ascii="仿宋_GB2312" w:hAnsi="仿宋_GB2312" w:eastAsia="仿宋_GB2312" w:cs="仿宋_GB2312"/>
          <w:sz w:val="32"/>
          <w:szCs w:val="32"/>
        </w:rPr>
        <w:t>《攀枝花市科技专项资金管理暂行办法》（攀财教［2018］1号）</w:t>
      </w:r>
      <w:bookmarkEnd w:id="58"/>
      <w:r>
        <w:rPr>
          <w:rFonts w:hint="eastAsia" w:ascii="仿宋" w:hAnsi="仿宋" w:eastAsia="仿宋" w:cs="仿宋"/>
          <w:color w:val="auto"/>
          <w:sz w:val="32"/>
          <w:szCs w:val="32"/>
          <w:lang w:eastAsia="zh-CN"/>
        </w:rPr>
        <w:t>《关于下达</w:t>
      </w:r>
      <w:r>
        <w:rPr>
          <w:rFonts w:hint="eastAsia" w:ascii="仿宋" w:hAnsi="仿宋" w:eastAsia="仿宋" w:cs="仿宋"/>
          <w:color w:val="auto"/>
          <w:sz w:val="32"/>
          <w:szCs w:val="32"/>
          <w:lang w:val="en-US" w:eastAsia="zh-CN"/>
        </w:rPr>
        <w:t>2020年度第二批攀枝花市市级科技计划项目和财政科技专项资金计划的通知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攀科发〔2020〕74号</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制定了</w:t>
      </w:r>
      <w:bookmarkStart w:id="59" w:name="_Hlk69047493"/>
      <w:r>
        <w:rPr>
          <w:rFonts w:hint="eastAsia" w:ascii="仿宋_GB2312" w:hAnsi="仿宋_GB2312" w:eastAsia="仿宋_GB2312" w:cs="仿宋_GB2312"/>
          <w:sz w:val="32"/>
          <w:szCs w:val="32"/>
        </w:rPr>
        <w:t>《四川钒钛产业技术研究院科技专项资金管理暂行办法》</w:t>
      </w:r>
    </w:p>
    <w:bookmarkEnd w:id="59"/>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本项目资金采用前补助支持，资金开支范围包括直接费用和间接费用两部分。《低成</w:t>
      </w:r>
      <w:r>
        <w:rPr>
          <w:rFonts w:hint="eastAsia" w:ascii="仿宋_GB2312" w:hAnsi="仿宋_GB2312" w:eastAsia="仿宋_GB2312" w:cs="仿宋_GB2312"/>
          <w:sz w:val="32"/>
          <w:szCs w:val="32"/>
        </w:rPr>
        <w:t>本高强韧钛合金材料制备关键技术研究》属于应用基础研究，聚焦攀枝花市钛产业发展，实现钛合金强韧一体化，延伸钛产业链，满足资金支持条件。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4.资金分配的原则及考虑因素。</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rPr>
        <w:t>资金分配和使用原则严格按照《攀枝花市科技专项资金管理暂行办法》（攀财教［2018］1号）</w:t>
      </w:r>
      <w:r>
        <w:rPr>
          <w:rFonts w:hint="eastAsia" w:ascii="仿宋" w:hAnsi="仿宋" w:eastAsia="仿宋" w:cs="仿宋"/>
          <w:color w:val="auto"/>
          <w:sz w:val="32"/>
          <w:szCs w:val="32"/>
          <w:lang w:eastAsia="zh-CN"/>
        </w:rPr>
        <w:t>《关于下达</w:t>
      </w:r>
      <w:r>
        <w:rPr>
          <w:rFonts w:hint="eastAsia" w:ascii="仿宋" w:hAnsi="仿宋" w:eastAsia="仿宋" w:cs="仿宋"/>
          <w:color w:val="auto"/>
          <w:sz w:val="32"/>
          <w:szCs w:val="32"/>
          <w:lang w:val="en-US" w:eastAsia="zh-CN"/>
        </w:rPr>
        <w:t>2020年度第二批攀枝花市市级科技计划项目和财政科技专项资金计划的通知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攀科发〔2020〕74号</w:t>
      </w:r>
      <w:r>
        <w:rPr>
          <w:rFonts w:hint="eastAsia" w:ascii="仿宋" w:hAnsi="仿宋" w:eastAsia="仿宋" w:cs="仿宋"/>
          <w:color w:val="auto"/>
          <w:sz w:val="32"/>
          <w:szCs w:val="32"/>
          <w:lang w:eastAsia="zh-CN"/>
        </w:rPr>
        <w:t>）</w:t>
      </w:r>
      <w:r>
        <w:rPr>
          <w:rFonts w:hint="eastAsia" w:ascii="仿宋_GB2312" w:hAnsi="仿宋_GB2312" w:eastAsia="仿宋_GB2312" w:cs="仿宋_GB2312"/>
          <w:sz w:val="32"/>
          <w:szCs w:val="32"/>
        </w:rPr>
        <w:t>及《四川钒钛产业技术研究院科技专项资金管理暂行办法》等办法执行。资金分配上考虑把资金更多放在直接费用上，提高资金使用效率。在具体实施过程中，资金总额为20万元，直接费用为14.8万元，其中材料费5万元、检测费4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(1)钛合金共格析出的设计及热力学平衡计算</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高温条件下Ti-Fe-X三元系之间物相组成、相结构和相平衡规律,建立B2析出相含量、析出温度和元素成分、含量的变化关系，确定B2析出相析出条件研究溶质元素对β-Ti基体和B2析出相间的分配行为，研究明确合金元素、溶质元素对相结构稳定性的影响规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(2)B2-Ti(Fe,X)纳米相析出行为及制备关键技术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研究元素和工艺参数对析出物形成和微观组织结构演变规律，工艺参数包括热处理温度、时间、冷却速度等；研究元素在相内的分配行为和扩散行为，揭示元素分配行为对析出相形核、长大的影响机制，建立B2析出动力学数学模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(3)界面的结构演变规律及性能研究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研究析出相形核生长过程中界面结构、微观形态的演化规律， 揭示界面结构、取向关系、成分分布及界面原子排列特征；研究析出相数量、形貌、粒度、工艺参数等对钛合金力学性能的影响规律；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(4)钛合金强韧化机理及调控机制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研究相特征、界面状态、近界面微区结构与宏观力学性能的耦合规律，获得析出相含量、粒度、相边界处的偏析、局部成分波动以及界面结构演化对力学性能的影响规律；研究位错与界面的交互作用机制，揭示位错在各个相内和界面处的形成、组织演变和运动规律。研究影响B2纳米析出相高密度稳定析出的关键技术因素，形成共格界面作用下的纳米析出调控机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项目应实现的具体目标如下：</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低成本高强韧钛合金性能指标：强度达到1300 MPa-1500MPa，延伸率10-20%。</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2.知识产权指标：申请专利1-2项； </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3.论文发表：发表高水平SCI学术论文3-4篇；</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4.人才培养：培养硕士研究生2-3名，本科生2-3名</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济社会效益：通过本项目实施，可以提高项目成员的研发能力，推动当地经济社会的发展。另外，本项目研发的新材料主要应用在飞机机匣、整体叶环以及活塞杆等关键结构部位，有望实现发动机更高的推重比，从而为进一步提高我国航空航天技术的发展水平做出贡献。本研究发表的学术论文和申请的发明专利可为相关研究提供借鉴，促进科技进步。</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项目实施进度计划：</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2022年1月-2022第6月：采用 Thermal-Cale、FactSage等热力学软件结合相应数据库进行热力学计算，研究组织结构、相组成分数及凝固路径；获得温度和化学成分对相形成的影响规律，确定析出相提出条件。通过分配系数研究溶质元素的分配行为和对合金的强化效果。</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预期目标：获得钛合金析出相的形成、结构和相平衡规律；培养本科生1名。</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-2022第12月：基于以上理论计算，确定一定合金和工艺参数范围，通过实验分析析出相的形貌特征来获得合金成分、冷却速度、热处理温度、保温时间下对析出物微观组织形貌的影响规律。采用扫描电镜SEM、透射电镜TEM观察析出物的整体分布、微观形貌、尺寸和数量。析出相的尺寸以及体积分数采用Image-Pro Plus 图像分析软件进行统计。对钛合金样品进行不同温度和时间的热处理， 对不同样品采用三维原子探针APT 观察，分析纳米析出相的三维尺寸、分布及元素成分随热处理时间和温度的演变规律。另外，还可以采用同步辐射技术原位观察纳米相的析出行为。</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预期目标：获得工艺参数对析出物的形貌、成分、数量和粒度分布的影响规律；发表SCI论文1-2篇，申请专利1项；培养硕士研究生1名，本科生1名，年度报告1份。</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2023年1月-2023第6月：采用高角环形暗场扫描透射电子显微镜(HAADF-STEM)、高分辨透射电镜(HRTEM)、选区电子衍射分析(SAED)等原子结构表征技术研究析出相与基体之间的界面结构信息， 包括晶体学取向关系、晶格失配度，界面元素分布等界面信息。根据以上实验表征结果采用第一性原理计算方法建立β-Ti 基体和 B2 共格界面，通过计算界面结合能、界面能等结合分析分波态密度、差分电荷密度等揭示共格界面的界面结合强度、稳定性及作用机制。利用透射电镜 TEM结合元素分析EDS分析界面处元素的分布规律， 三维原子探针技术APT研究近原子尺度的浓度分布表征，获得化学界面元素形成规律。利用FIB技术提取钛合金相界面微区，采用原位透射电镜TEM原位观察钛合金在进行压缩和拉伸过程中的界面的原子尺度变形过程，通过双球差透射电镜对样品实时成像，记录过程中的微观结构演变。</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预期目标：获得析出相尺度与界面结构、微观形态的演化规律；培养硕士研究生1名，本科生1名。</w:t>
      </w:r>
    </w:p>
    <w:p>
      <w:pPr>
        <w:autoSpaceDE w:val="0"/>
        <w:autoSpaceDN w:val="0"/>
        <w:adjustRightIn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2023年7月-2023第12月：对钛合金变形前后分别采用 EBSD 中 KAM 技术研究变形前后局部取向错配。对于界面状态、近界面微区结构与力学性能的耦合规律主要采用FIB 技术提取钛合金相应界面微区，采用原位透射电镜TEM 对微区样品原位加载，记录原位拉压过程中的载荷时间曲线，界面微区微观形貌通过STM 表征，界面成分通过能谱微区元素分析，从而获得界面结构、 相界面处成分波动等对力学性能的响应机制。通过原位透射拉伸实验，观察合金变形过程中位错在各个相内和相界面处的形核、湮灭过程。基于以上研究结果，获得影响B2纳米析出相高密度稳定析出的关键技术因素，形成共格界面作用下的纳米析出调控机制。</w:t>
      </w:r>
    </w:p>
    <w:p>
      <w:pPr>
        <w:autoSpaceDE w:val="0"/>
        <w:autoSpaceDN w:val="0"/>
        <w:adjustRightIn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预期目标：获得强韧化机制及调控析出机制；制备钛合金强度达到1300 MPa - 1500MPa；延伸率10-20%；发表SCI论文1篇；结题报告1份。</w:t>
      </w:r>
    </w:p>
    <w:p>
      <w:pPr>
        <w:numPr>
          <w:ilvl w:val="0"/>
          <w:numId w:val="0"/>
        </w:numPr>
        <w:adjustRightInd w:val="0"/>
        <w:snapToGrid w:val="0"/>
        <w:spacing w:line="60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val="zh-CN"/>
        </w:rPr>
        <w:t>分析评价申报内容是否与实际相符，申报目标是否合理可行。</w:t>
      </w:r>
    </w:p>
    <w:p>
      <w:pPr>
        <w:numPr>
          <w:ilvl w:val="0"/>
          <w:numId w:val="0"/>
        </w:numPr>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本项目申报内容与实际情况相符，申报目标合理可行。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utoSpaceDE w:val="0"/>
        <w:autoSpaceDN w:val="0"/>
        <w:adjustRightInd w:val="0"/>
        <w:spacing w:line="600" w:lineRule="exact"/>
        <w:jc w:val="left"/>
        <w:rPr>
          <w:rFonts w:hint="eastAsia" w:ascii="仿宋_GB2312" w:hAnsi="仿宋_GB2312" w:eastAsia="仿宋_GB2312" w:cs="仿宋_GB2312"/>
          <w:sz w:val="32"/>
          <w:szCs w:val="32"/>
          <w:lang w:val="en-US" w:eastAsia="zh-CN"/>
        </w:rPr>
      </w:pPr>
      <w:r>
        <w:rPr>
          <w:rFonts w:hint="eastAsia" w:eastAsia="楷体_GB2312"/>
          <w:kern w:val="0"/>
          <w:sz w:val="32"/>
          <w:szCs w:val="32"/>
          <w:lang w:val="en-US" w:eastAsia="zh-CN"/>
        </w:rPr>
        <w:t xml:space="preserve">    </w:t>
      </w:r>
      <w:r>
        <w:rPr>
          <w:rFonts w:hint="eastAsia" w:ascii="仿宋_GB2312" w:hAnsi="仿宋_GB2312" w:eastAsia="仿宋_GB2312" w:cs="仿宋_GB2312"/>
          <w:sz w:val="32"/>
          <w:szCs w:val="32"/>
          <w:lang w:val="en-US" w:eastAsia="zh-CN"/>
        </w:rPr>
        <w:t>本项目自评采用项目任务书目标逐项目标进行核的实施步骤；采用严格围绕任务书目标要求与研究内容和进展进行核对的方法。</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utoSpaceDE w:val="0"/>
        <w:autoSpaceDN w:val="0"/>
        <w:adjustRightInd w:val="0"/>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本项目申报资金20万元，批复资金20万元。表1、表2分别为</w:t>
      </w:r>
      <w:bookmarkStart w:id="60" w:name="_Hlk69062595"/>
      <w:r>
        <w:rPr>
          <w:rFonts w:hint="eastAsia" w:ascii="仿宋_GB2312" w:hAnsi="仿宋_GB2312" w:eastAsia="仿宋_GB2312" w:cs="仿宋_GB2312"/>
          <w:sz w:val="32"/>
          <w:szCs w:val="32"/>
          <w:lang w:val="en-US" w:eastAsia="zh-CN"/>
        </w:rPr>
        <w:t>申报资金预算表</w:t>
      </w:r>
      <w:bookmarkEnd w:id="60"/>
      <w:r>
        <w:rPr>
          <w:rFonts w:hint="eastAsia" w:ascii="仿宋_GB2312" w:hAnsi="仿宋_GB2312" w:eastAsia="仿宋_GB2312" w:cs="仿宋_GB2312"/>
          <w:sz w:val="32"/>
          <w:szCs w:val="32"/>
          <w:lang w:val="en-US" w:eastAsia="zh-CN"/>
        </w:rPr>
        <w:t>和批复资金预算表</w:t>
      </w:r>
      <w:r>
        <w:rPr>
          <w:rFonts w:hint="eastAsia" w:ascii="仿宋_GB2312" w:hAnsi="仿宋_GB2312" w:cs="仿宋_GB2312"/>
          <w:sz w:val="32"/>
          <w:szCs w:val="32"/>
          <w:lang w:val="en-US" w:eastAsia="zh-CN"/>
        </w:rPr>
        <w:t>。</w:t>
      </w:r>
    </w:p>
    <w:p>
      <w:pPr>
        <w:autoSpaceDE w:val="0"/>
        <w:autoSpaceDN w:val="0"/>
        <w:adjustRightInd w:val="0"/>
        <w:spacing w:line="600" w:lineRule="exact"/>
        <w:ind w:firstLine="4800" w:firstLineChars="1500"/>
        <w:jc w:val="left"/>
        <w:rPr>
          <w:rFonts w:hint="eastAsia" w:ascii="方正仿宋_GBK" w:hAnsi="Calibri" w:eastAsia="方正仿宋_GBK"/>
          <w:sz w:val="32"/>
          <w:szCs w:val="32"/>
        </w:rPr>
      </w:pPr>
      <w:bookmarkStart w:id="61" w:name="_Hlk69062652"/>
      <w:r>
        <w:rPr>
          <w:rFonts w:hint="eastAsia" w:ascii="方正仿宋_GBK" w:hAnsi="Calibri" w:eastAsia="方正仿宋_GBK"/>
          <w:sz w:val="32"/>
          <w:szCs w:val="32"/>
        </w:rPr>
        <w:t>表1申报资金预算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Fonts w:hint="eastAsia" w:eastAsia="仿宋"/>
                <w:sz w:val="32"/>
                <w:szCs w:val="32"/>
              </w:rPr>
            </w:pPr>
            <w:r>
              <w:rPr>
                <w:rFonts w:eastAsia="仿宋"/>
                <w:sz w:val="32"/>
                <w:szCs w:val="32"/>
              </w:rPr>
              <w:t>科目名称</w:t>
            </w:r>
          </w:p>
        </w:tc>
        <w:tc>
          <w:tcPr>
            <w:tcW w:w="1659" w:type="dxa"/>
          </w:tcPr>
          <w:p>
            <w:pPr>
              <w:widowControl/>
              <w:jc w:val="center"/>
              <w:rPr>
                <w:rFonts w:hint="eastAsia" w:eastAsia="仿宋"/>
                <w:sz w:val="32"/>
                <w:szCs w:val="32"/>
              </w:rPr>
            </w:pPr>
            <w:r>
              <w:rPr>
                <w:rFonts w:hint="eastAsia" w:eastAsia="仿宋"/>
                <w:sz w:val="32"/>
                <w:szCs w:val="32"/>
              </w:rPr>
              <w:t>专项</w:t>
            </w:r>
            <w:r>
              <w:rPr>
                <w:rFonts w:eastAsia="仿宋"/>
                <w:sz w:val="32"/>
                <w:szCs w:val="32"/>
              </w:rPr>
              <w:t>经费</w:t>
            </w:r>
          </w:p>
        </w:tc>
        <w:tc>
          <w:tcPr>
            <w:tcW w:w="1659" w:type="dxa"/>
          </w:tcPr>
          <w:p>
            <w:pPr>
              <w:jc w:val="center"/>
              <w:rPr>
                <w:rFonts w:hint="eastAsia" w:eastAsia="仿宋"/>
                <w:sz w:val="32"/>
                <w:szCs w:val="32"/>
              </w:rPr>
            </w:pPr>
            <w:r>
              <w:rPr>
                <w:rFonts w:eastAsia="仿宋"/>
                <w:sz w:val="32"/>
                <w:szCs w:val="32"/>
              </w:rPr>
              <w:t xml:space="preserve">自筹经费 </w:t>
            </w:r>
          </w:p>
        </w:tc>
        <w:tc>
          <w:tcPr>
            <w:tcW w:w="1660" w:type="dxa"/>
          </w:tcPr>
          <w:p>
            <w:pPr>
              <w:jc w:val="center"/>
              <w:rPr>
                <w:rFonts w:hint="eastAsia" w:eastAsia="仿宋"/>
                <w:sz w:val="32"/>
                <w:szCs w:val="32"/>
              </w:rPr>
            </w:pPr>
            <w:r>
              <w:rPr>
                <w:rFonts w:hint="eastAsia" w:eastAsia="仿宋"/>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Fonts w:hint="eastAsia" w:eastAsia="宋体"/>
                <w:kern w:val="0"/>
                <w:sz w:val="32"/>
                <w:szCs w:val="32"/>
              </w:rPr>
            </w:pPr>
            <w:r>
              <w:rPr>
                <w:rStyle w:val="54"/>
                <w:rFonts w:hint="default"/>
                <w:sz w:val="32"/>
                <w:szCs w:val="32"/>
              </w:rPr>
              <w:t>间接费用</w:t>
            </w:r>
          </w:p>
        </w:tc>
        <w:tc>
          <w:tcPr>
            <w:tcW w:w="1659" w:type="dxa"/>
          </w:tcPr>
          <w:p>
            <w:pPr>
              <w:widowControl/>
              <w:jc w:val="center"/>
              <w:rPr>
                <w:rFonts w:eastAsia="仿宋"/>
                <w:sz w:val="32"/>
                <w:szCs w:val="32"/>
              </w:rPr>
            </w:pPr>
            <w:r>
              <w:rPr>
                <w:rFonts w:hint="eastAsia" w:eastAsia="仿宋"/>
                <w:sz w:val="32"/>
                <w:szCs w:val="32"/>
              </w:rPr>
              <w:t>5</w:t>
            </w:r>
            <w:r>
              <w:rPr>
                <w:rFonts w:eastAsia="仿宋"/>
                <w:sz w:val="32"/>
                <w:szCs w:val="32"/>
              </w:rPr>
              <w:t>.2</w:t>
            </w:r>
          </w:p>
        </w:tc>
        <w:tc>
          <w:tcPr>
            <w:tcW w:w="1659" w:type="dxa"/>
          </w:tcPr>
          <w:p>
            <w:pPr>
              <w:jc w:val="center"/>
              <w:rPr>
                <w:rFonts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r>
              <w:rPr>
                <w:rFonts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其中：绩效支出</w:t>
            </w:r>
          </w:p>
        </w:tc>
        <w:tc>
          <w:tcPr>
            <w:tcW w:w="1659" w:type="dxa"/>
          </w:tcPr>
          <w:p>
            <w:pPr>
              <w:widowControl/>
              <w:jc w:val="center"/>
              <w:rPr>
                <w:rFonts w:hint="eastAsia" w:eastAsia="仿宋"/>
                <w:sz w:val="32"/>
                <w:szCs w:val="32"/>
              </w:rPr>
            </w:pPr>
            <w:r>
              <w:rPr>
                <w:rFonts w:hint="eastAsia" w:eastAsia="仿宋"/>
                <w:sz w:val="32"/>
                <w:szCs w:val="32"/>
              </w:rPr>
              <w:t>3</w:t>
            </w:r>
            <w:r>
              <w:rPr>
                <w:rFonts w:eastAsia="仿宋"/>
                <w:sz w:val="32"/>
                <w:szCs w:val="32"/>
              </w:rPr>
              <w:t>.2</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eastAsia="仿宋"/>
                <w:sz w:val="32"/>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直接费用</w:t>
            </w:r>
          </w:p>
        </w:tc>
        <w:tc>
          <w:tcPr>
            <w:tcW w:w="1659" w:type="dxa"/>
          </w:tcPr>
          <w:p>
            <w:pPr>
              <w:widowControl/>
              <w:jc w:val="center"/>
              <w:rPr>
                <w:rFonts w:hint="eastAsia" w:eastAsia="仿宋"/>
                <w:sz w:val="32"/>
                <w:szCs w:val="32"/>
              </w:rPr>
            </w:pPr>
            <w:r>
              <w:rPr>
                <w:rFonts w:eastAsia="仿宋"/>
                <w:sz w:val="32"/>
                <w:szCs w:val="32"/>
              </w:rPr>
              <w:t>14.8</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eastAsia="仿宋"/>
                <w:sz w:val="32"/>
                <w:szCs w:val="32"/>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设备费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购置设备费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设备试制、改造、租赁费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材料费</w:t>
            </w:r>
          </w:p>
        </w:tc>
        <w:tc>
          <w:tcPr>
            <w:tcW w:w="1659" w:type="dxa"/>
          </w:tcPr>
          <w:p>
            <w:pPr>
              <w:widowControl/>
              <w:jc w:val="center"/>
              <w:rPr>
                <w:rFonts w:hint="eastAsia" w:eastAsia="仿宋"/>
                <w:sz w:val="32"/>
                <w:szCs w:val="32"/>
              </w:rPr>
            </w:pPr>
            <w:r>
              <w:rPr>
                <w:rFonts w:hint="eastAsia" w:eastAsia="仿宋"/>
                <w:sz w:val="32"/>
                <w:szCs w:val="32"/>
              </w:rPr>
              <w:t>5</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测试化验加工费</w:t>
            </w:r>
          </w:p>
        </w:tc>
        <w:tc>
          <w:tcPr>
            <w:tcW w:w="1659" w:type="dxa"/>
          </w:tcPr>
          <w:p>
            <w:pPr>
              <w:widowControl/>
              <w:jc w:val="center"/>
              <w:rPr>
                <w:rFonts w:hint="eastAsia" w:eastAsia="仿宋"/>
                <w:sz w:val="32"/>
                <w:szCs w:val="32"/>
              </w:rPr>
            </w:pPr>
            <w:r>
              <w:rPr>
                <w:rFonts w:hint="eastAsia" w:eastAsia="仿宋"/>
                <w:sz w:val="32"/>
                <w:szCs w:val="32"/>
              </w:rPr>
              <w:t>4</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燃料动力费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差旅费/会议费/国际合作与交流费</w:t>
            </w:r>
          </w:p>
        </w:tc>
        <w:tc>
          <w:tcPr>
            <w:tcW w:w="1659" w:type="dxa"/>
          </w:tcPr>
          <w:p>
            <w:pPr>
              <w:widowControl/>
              <w:jc w:val="center"/>
              <w:rPr>
                <w:rFonts w:hint="eastAsia" w:eastAsia="仿宋"/>
                <w:sz w:val="32"/>
                <w:szCs w:val="32"/>
              </w:rPr>
            </w:pPr>
            <w:r>
              <w:rPr>
                <w:rFonts w:hint="eastAsia" w:eastAsia="仿宋"/>
                <w:sz w:val="32"/>
                <w:szCs w:val="32"/>
              </w:rPr>
              <w:t>0</w:t>
            </w:r>
            <w:r>
              <w:rPr>
                <w:rFonts w:eastAsia="仿宋"/>
                <w:sz w:val="32"/>
                <w:szCs w:val="32"/>
              </w:rPr>
              <w:t>.5</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r>
              <w:rPr>
                <w:rFonts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出版/文献/信息传播/知识产权事务费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劳务费</w:t>
            </w:r>
          </w:p>
        </w:tc>
        <w:tc>
          <w:tcPr>
            <w:tcW w:w="1659" w:type="dxa"/>
          </w:tcPr>
          <w:p>
            <w:pPr>
              <w:widowControl/>
              <w:jc w:val="center"/>
              <w:rPr>
                <w:rFonts w:hint="eastAsia" w:eastAsia="仿宋"/>
                <w:sz w:val="32"/>
                <w:szCs w:val="32"/>
              </w:rPr>
            </w:pPr>
            <w:r>
              <w:rPr>
                <w:rFonts w:hint="eastAsia" w:eastAsia="仿宋"/>
                <w:sz w:val="32"/>
                <w:szCs w:val="32"/>
              </w:rPr>
              <w:t>5</w:t>
            </w:r>
            <w:r>
              <w:rPr>
                <w:rFonts w:eastAsia="仿宋"/>
                <w:sz w:val="32"/>
                <w:szCs w:val="32"/>
              </w:rPr>
              <w:t>.3</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r>
              <w:rPr>
                <w:rFonts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专家咨询费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其他费用</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bl>
    <w:p>
      <w:pPr>
        <w:autoSpaceDE w:val="0"/>
        <w:autoSpaceDN w:val="0"/>
        <w:adjustRightInd w:val="0"/>
        <w:spacing w:line="600" w:lineRule="exact"/>
        <w:jc w:val="left"/>
        <w:rPr>
          <w:rFonts w:hint="eastAsia" w:ascii="方正仿宋_GBK" w:hAnsi="Calibri" w:eastAsia="方正仿宋_GBK"/>
          <w:sz w:val="32"/>
          <w:szCs w:val="32"/>
        </w:rPr>
      </w:pPr>
    </w:p>
    <w:p>
      <w:pPr>
        <w:autoSpaceDE w:val="0"/>
        <w:autoSpaceDN w:val="0"/>
        <w:adjustRightInd w:val="0"/>
        <w:spacing w:line="600" w:lineRule="exact"/>
        <w:jc w:val="left"/>
        <w:rPr>
          <w:rFonts w:hint="eastAsia" w:ascii="方正仿宋_GBK" w:hAnsi="Calibri" w:eastAsia="方正仿宋_GBK"/>
          <w:sz w:val="32"/>
          <w:szCs w:val="32"/>
        </w:rPr>
      </w:pPr>
    </w:p>
    <w:p>
      <w:pPr>
        <w:autoSpaceDE w:val="0"/>
        <w:autoSpaceDN w:val="0"/>
        <w:adjustRightInd w:val="0"/>
        <w:spacing w:line="600" w:lineRule="exact"/>
        <w:jc w:val="left"/>
        <w:rPr>
          <w:rFonts w:hint="eastAsia" w:ascii="方正仿宋_GBK" w:hAnsi="Calibri" w:eastAsia="方正仿宋_GBK"/>
          <w:sz w:val="32"/>
          <w:szCs w:val="32"/>
        </w:rPr>
      </w:pPr>
    </w:p>
    <w:bookmarkEnd w:id="61"/>
    <w:p>
      <w:pPr>
        <w:autoSpaceDE w:val="0"/>
        <w:autoSpaceDN w:val="0"/>
        <w:adjustRightInd w:val="0"/>
        <w:spacing w:line="600" w:lineRule="exact"/>
        <w:ind w:firstLine="4480" w:firstLineChars="1400"/>
        <w:jc w:val="left"/>
        <w:rPr>
          <w:rFonts w:ascii="方正仿宋_GBK" w:hAnsi="Calibri" w:eastAsia="方正仿宋_GBK"/>
          <w:sz w:val="32"/>
          <w:szCs w:val="32"/>
        </w:rPr>
      </w:pPr>
      <w:r>
        <w:rPr>
          <w:rFonts w:hint="eastAsia" w:ascii="方正仿宋_GBK" w:hAnsi="Calibri" w:eastAsia="方正仿宋_GBK"/>
          <w:sz w:val="32"/>
          <w:szCs w:val="32"/>
        </w:rPr>
        <w:t>表</w:t>
      </w:r>
      <w:r>
        <w:rPr>
          <w:rFonts w:ascii="方正仿宋_GBK" w:hAnsi="Calibri" w:eastAsia="方正仿宋_GBK"/>
          <w:sz w:val="32"/>
          <w:szCs w:val="32"/>
        </w:rPr>
        <w:t>2</w:t>
      </w:r>
      <w:r>
        <w:rPr>
          <w:rFonts w:hint="eastAsia" w:ascii="方正仿宋_GBK" w:hAnsi="Calibri" w:eastAsia="方正仿宋_GBK"/>
          <w:sz w:val="32"/>
          <w:szCs w:val="32"/>
        </w:rPr>
        <w:t>批复资金预算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Fonts w:hint="eastAsia" w:eastAsia="仿宋"/>
                <w:sz w:val="32"/>
                <w:szCs w:val="32"/>
              </w:rPr>
            </w:pPr>
            <w:r>
              <w:rPr>
                <w:rFonts w:eastAsia="仿宋"/>
                <w:sz w:val="32"/>
                <w:szCs w:val="32"/>
              </w:rPr>
              <w:t>科目名称</w:t>
            </w:r>
          </w:p>
        </w:tc>
        <w:tc>
          <w:tcPr>
            <w:tcW w:w="1659" w:type="dxa"/>
          </w:tcPr>
          <w:p>
            <w:pPr>
              <w:widowControl/>
              <w:jc w:val="center"/>
              <w:rPr>
                <w:rFonts w:hint="eastAsia" w:eastAsia="仿宋"/>
                <w:sz w:val="32"/>
                <w:szCs w:val="32"/>
              </w:rPr>
            </w:pPr>
            <w:r>
              <w:rPr>
                <w:rFonts w:hint="eastAsia" w:eastAsia="仿宋"/>
                <w:sz w:val="32"/>
                <w:szCs w:val="32"/>
              </w:rPr>
              <w:t>专项</w:t>
            </w:r>
            <w:r>
              <w:rPr>
                <w:rFonts w:eastAsia="仿宋"/>
                <w:sz w:val="32"/>
                <w:szCs w:val="32"/>
              </w:rPr>
              <w:t>经费</w:t>
            </w:r>
          </w:p>
        </w:tc>
        <w:tc>
          <w:tcPr>
            <w:tcW w:w="1659" w:type="dxa"/>
          </w:tcPr>
          <w:p>
            <w:pPr>
              <w:jc w:val="center"/>
              <w:rPr>
                <w:rFonts w:hint="eastAsia" w:eastAsia="仿宋"/>
                <w:sz w:val="32"/>
                <w:szCs w:val="32"/>
              </w:rPr>
            </w:pPr>
            <w:r>
              <w:rPr>
                <w:rFonts w:eastAsia="仿宋"/>
                <w:sz w:val="32"/>
                <w:szCs w:val="32"/>
              </w:rPr>
              <w:t xml:space="preserve">自筹经费 </w:t>
            </w:r>
          </w:p>
        </w:tc>
        <w:tc>
          <w:tcPr>
            <w:tcW w:w="1660" w:type="dxa"/>
          </w:tcPr>
          <w:p>
            <w:pPr>
              <w:jc w:val="center"/>
              <w:rPr>
                <w:rFonts w:hint="eastAsia" w:eastAsia="仿宋"/>
                <w:sz w:val="32"/>
                <w:szCs w:val="32"/>
              </w:rPr>
            </w:pPr>
            <w:r>
              <w:rPr>
                <w:rFonts w:hint="eastAsia" w:eastAsia="仿宋"/>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Fonts w:hint="eastAsia" w:eastAsia="宋体"/>
                <w:kern w:val="0"/>
                <w:sz w:val="32"/>
                <w:szCs w:val="32"/>
              </w:rPr>
            </w:pPr>
            <w:r>
              <w:rPr>
                <w:rStyle w:val="54"/>
                <w:rFonts w:hint="default"/>
                <w:sz w:val="32"/>
                <w:szCs w:val="32"/>
              </w:rPr>
              <w:t>间接费用</w:t>
            </w:r>
          </w:p>
        </w:tc>
        <w:tc>
          <w:tcPr>
            <w:tcW w:w="1659" w:type="dxa"/>
          </w:tcPr>
          <w:p>
            <w:pPr>
              <w:widowControl/>
              <w:jc w:val="center"/>
              <w:rPr>
                <w:rFonts w:eastAsia="仿宋"/>
                <w:sz w:val="32"/>
                <w:szCs w:val="32"/>
              </w:rPr>
            </w:pPr>
            <w:r>
              <w:rPr>
                <w:rFonts w:hint="eastAsia" w:eastAsia="仿宋"/>
                <w:sz w:val="32"/>
                <w:szCs w:val="32"/>
              </w:rPr>
              <w:t>5</w:t>
            </w:r>
            <w:r>
              <w:rPr>
                <w:rFonts w:eastAsia="仿宋"/>
                <w:sz w:val="32"/>
                <w:szCs w:val="32"/>
              </w:rPr>
              <w:t>.2</w:t>
            </w:r>
          </w:p>
        </w:tc>
        <w:tc>
          <w:tcPr>
            <w:tcW w:w="1659" w:type="dxa"/>
          </w:tcPr>
          <w:p>
            <w:pPr>
              <w:jc w:val="center"/>
              <w:rPr>
                <w:rFonts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r>
              <w:rPr>
                <w:rFonts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其中：绩效支出</w:t>
            </w:r>
          </w:p>
        </w:tc>
        <w:tc>
          <w:tcPr>
            <w:tcW w:w="1659" w:type="dxa"/>
          </w:tcPr>
          <w:p>
            <w:pPr>
              <w:widowControl/>
              <w:jc w:val="center"/>
              <w:rPr>
                <w:rFonts w:hint="eastAsia" w:eastAsia="仿宋"/>
                <w:sz w:val="32"/>
                <w:szCs w:val="32"/>
              </w:rPr>
            </w:pPr>
            <w:r>
              <w:rPr>
                <w:rFonts w:hint="eastAsia" w:eastAsia="仿宋"/>
                <w:sz w:val="32"/>
                <w:szCs w:val="32"/>
              </w:rPr>
              <w:t>3</w:t>
            </w:r>
            <w:r>
              <w:rPr>
                <w:rFonts w:eastAsia="仿宋"/>
                <w:sz w:val="32"/>
                <w:szCs w:val="32"/>
              </w:rPr>
              <w:t>.2</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eastAsia="仿宋"/>
                <w:sz w:val="32"/>
                <w:szCs w:val="3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直接费用</w:t>
            </w:r>
          </w:p>
        </w:tc>
        <w:tc>
          <w:tcPr>
            <w:tcW w:w="1659" w:type="dxa"/>
          </w:tcPr>
          <w:p>
            <w:pPr>
              <w:widowControl/>
              <w:jc w:val="center"/>
              <w:rPr>
                <w:rFonts w:hint="eastAsia" w:eastAsia="仿宋"/>
                <w:sz w:val="32"/>
                <w:szCs w:val="32"/>
              </w:rPr>
            </w:pPr>
            <w:r>
              <w:rPr>
                <w:rFonts w:eastAsia="仿宋"/>
                <w:sz w:val="32"/>
                <w:szCs w:val="32"/>
              </w:rPr>
              <w:t>14.8</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eastAsia="仿宋"/>
                <w:sz w:val="32"/>
                <w:szCs w:val="32"/>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设备费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购置设备费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设备试制、改造、租赁费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材料费</w:t>
            </w:r>
          </w:p>
        </w:tc>
        <w:tc>
          <w:tcPr>
            <w:tcW w:w="1659" w:type="dxa"/>
          </w:tcPr>
          <w:p>
            <w:pPr>
              <w:widowControl/>
              <w:jc w:val="center"/>
              <w:rPr>
                <w:rFonts w:hint="eastAsia" w:eastAsia="仿宋"/>
                <w:sz w:val="32"/>
                <w:szCs w:val="32"/>
              </w:rPr>
            </w:pPr>
            <w:r>
              <w:rPr>
                <w:rFonts w:hint="eastAsia" w:eastAsia="仿宋"/>
                <w:sz w:val="32"/>
                <w:szCs w:val="32"/>
              </w:rPr>
              <w:t>5</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测试化验加工费</w:t>
            </w:r>
          </w:p>
        </w:tc>
        <w:tc>
          <w:tcPr>
            <w:tcW w:w="1659" w:type="dxa"/>
          </w:tcPr>
          <w:p>
            <w:pPr>
              <w:widowControl/>
              <w:jc w:val="center"/>
              <w:rPr>
                <w:rFonts w:hint="eastAsia" w:eastAsia="仿宋"/>
                <w:sz w:val="32"/>
                <w:szCs w:val="32"/>
              </w:rPr>
            </w:pPr>
            <w:r>
              <w:rPr>
                <w:rFonts w:hint="eastAsia" w:eastAsia="仿宋"/>
                <w:sz w:val="32"/>
                <w:szCs w:val="32"/>
              </w:rPr>
              <w:t>4</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燃料动力费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差旅费/会议费/国际合作与交流费</w:t>
            </w:r>
          </w:p>
        </w:tc>
        <w:tc>
          <w:tcPr>
            <w:tcW w:w="1659" w:type="dxa"/>
          </w:tcPr>
          <w:p>
            <w:pPr>
              <w:widowControl/>
              <w:jc w:val="center"/>
              <w:rPr>
                <w:rFonts w:hint="eastAsia" w:eastAsia="仿宋"/>
                <w:sz w:val="32"/>
                <w:szCs w:val="32"/>
              </w:rPr>
            </w:pPr>
            <w:r>
              <w:rPr>
                <w:rFonts w:hint="eastAsia" w:eastAsia="仿宋"/>
                <w:sz w:val="32"/>
                <w:szCs w:val="32"/>
              </w:rPr>
              <w:t>0</w:t>
            </w:r>
            <w:r>
              <w:rPr>
                <w:rFonts w:eastAsia="仿宋"/>
                <w:sz w:val="32"/>
                <w:szCs w:val="32"/>
              </w:rPr>
              <w:t>.5</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r>
              <w:rPr>
                <w:rFonts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出版/文献/信息传播/知识产权事务费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劳务费</w:t>
            </w:r>
          </w:p>
        </w:tc>
        <w:tc>
          <w:tcPr>
            <w:tcW w:w="1659" w:type="dxa"/>
          </w:tcPr>
          <w:p>
            <w:pPr>
              <w:widowControl/>
              <w:jc w:val="center"/>
              <w:rPr>
                <w:rFonts w:hint="eastAsia" w:eastAsia="仿宋"/>
                <w:sz w:val="32"/>
                <w:szCs w:val="32"/>
              </w:rPr>
            </w:pPr>
            <w:r>
              <w:rPr>
                <w:rFonts w:hint="eastAsia" w:eastAsia="仿宋"/>
                <w:sz w:val="32"/>
                <w:szCs w:val="32"/>
              </w:rPr>
              <w:t>5</w:t>
            </w:r>
            <w:r>
              <w:rPr>
                <w:rFonts w:eastAsia="仿宋"/>
                <w:sz w:val="32"/>
                <w:szCs w:val="32"/>
              </w:rPr>
              <w:t>.3</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5</w:t>
            </w:r>
            <w:r>
              <w:rPr>
                <w:rFonts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专家咨询费</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pPr>
              <w:widowControl/>
              <w:jc w:val="center"/>
              <w:rPr>
                <w:rStyle w:val="54"/>
                <w:rFonts w:ascii="Times New Roman" w:hAnsi="Times New Roman" w:eastAsia="宋体"/>
                <w:color w:val="auto"/>
                <w:kern w:val="0"/>
                <w:sz w:val="32"/>
                <w:szCs w:val="32"/>
              </w:rPr>
            </w:pPr>
            <w:r>
              <w:rPr>
                <w:rStyle w:val="54"/>
                <w:rFonts w:hint="default"/>
                <w:sz w:val="32"/>
                <w:szCs w:val="32"/>
              </w:rPr>
              <w:t>其他费用</w:t>
            </w:r>
          </w:p>
        </w:tc>
        <w:tc>
          <w:tcPr>
            <w:tcW w:w="1659" w:type="dxa"/>
          </w:tcPr>
          <w:p>
            <w:pPr>
              <w:widowControl/>
              <w:jc w:val="center"/>
              <w:rPr>
                <w:rFonts w:hint="eastAsia" w:eastAsia="仿宋"/>
                <w:sz w:val="32"/>
                <w:szCs w:val="32"/>
              </w:rPr>
            </w:pPr>
            <w:r>
              <w:rPr>
                <w:rFonts w:hint="eastAsia" w:eastAsia="仿宋"/>
                <w:sz w:val="32"/>
                <w:szCs w:val="32"/>
              </w:rPr>
              <w:t>0</w:t>
            </w:r>
          </w:p>
        </w:tc>
        <w:tc>
          <w:tcPr>
            <w:tcW w:w="1659" w:type="dxa"/>
          </w:tcPr>
          <w:p>
            <w:pPr>
              <w:jc w:val="center"/>
              <w:rPr>
                <w:rFonts w:hint="eastAsia" w:eastAsia="仿宋"/>
                <w:sz w:val="32"/>
                <w:szCs w:val="32"/>
              </w:rPr>
            </w:pPr>
            <w:r>
              <w:rPr>
                <w:rFonts w:hint="eastAsia" w:eastAsia="仿宋"/>
                <w:sz w:val="32"/>
                <w:szCs w:val="32"/>
              </w:rPr>
              <w:t>0</w:t>
            </w:r>
          </w:p>
        </w:tc>
        <w:tc>
          <w:tcPr>
            <w:tcW w:w="1660" w:type="dxa"/>
          </w:tcPr>
          <w:p>
            <w:pPr>
              <w:jc w:val="center"/>
              <w:rPr>
                <w:rFonts w:hint="eastAsia" w:eastAsia="仿宋"/>
                <w:sz w:val="32"/>
                <w:szCs w:val="32"/>
              </w:rPr>
            </w:pPr>
            <w:r>
              <w:rPr>
                <w:rFonts w:hint="eastAsia" w:eastAsia="仿宋"/>
                <w:sz w:val="32"/>
                <w:szCs w:val="32"/>
              </w:rPr>
              <w:t>0</w:t>
            </w:r>
          </w:p>
        </w:tc>
      </w:tr>
    </w:tbl>
    <w:p>
      <w:pPr>
        <w:adjustRightInd w:val="0"/>
        <w:snapToGrid w:val="0"/>
        <w:spacing w:line="600" w:lineRule="exact"/>
        <w:rPr>
          <w:sz w:val="32"/>
          <w:szCs w:val="32"/>
          <w:lang w:val="zh-CN"/>
        </w:rPr>
      </w:pPr>
      <w:r>
        <w:rPr>
          <w:rFonts w:hint="eastAsia" w:eastAsia="楷体_GB2312"/>
          <w:b/>
          <w:sz w:val="32"/>
          <w:szCs w:val="32"/>
          <w:lang w:val="en-US" w:eastAsia="zh-CN"/>
        </w:rPr>
        <w:t xml:space="preserve">    </w:t>
      </w:r>
      <w:r>
        <w:rPr>
          <w:rFonts w:eastAsia="楷体_GB2312"/>
          <w:b/>
          <w:sz w:val="32"/>
          <w:szCs w:val="32"/>
          <w:lang w:val="zh-CN"/>
        </w:rPr>
        <w:t>（二）资金计划、到位及使用情况。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本项目批复资金20万，自筹经费0万元，项目总经费20万元。</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2．资金到位。</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本项目批复资金20万元，现到位资金20万元，于2022年11月到位，合作单位于2023年1月15日到位。</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3．资金使用。</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根据计划任务书研究年度研究计划，2022.01-2023.02时间段的任务为</w:t>
      </w:r>
      <w:r>
        <w:rPr>
          <w:rFonts w:hint="eastAsia" w:ascii="仿宋_GB2312" w:hAnsi="仿宋_GB2312" w:eastAsia="仿宋_GB2312" w:cs="仿宋_GB2312"/>
          <w:bCs/>
          <w:color w:val="000000"/>
          <w:sz w:val="32"/>
          <w:szCs w:val="32"/>
        </w:rPr>
        <w:t>合金元素筛选与合金成分设计以及原材料测试化验</w:t>
      </w:r>
      <w:r>
        <w:rPr>
          <w:rFonts w:hint="eastAsia" w:ascii="仿宋_GB2312" w:hAnsi="仿宋_GB2312" w:eastAsia="仿宋_GB2312" w:cs="仿宋_GB2312"/>
          <w:sz w:val="32"/>
          <w:szCs w:val="32"/>
        </w:rPr>
        <w:t>，项目研究过程中支出测试化验费950元，差旅费285.11元。实验研究严格按照计划任务书中的研究内容进度进行。资金预支付范围、支付标准、支付进度、支付依据合规合法、与预算相符。</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项目由四川钒钛产业技术研究院组织实施，财物管理制度健全，设有独立财物部门，院内所有经费的预算、支付等均需严格按照《四川钒钛产业技术研究院财务管理办法》、《四川钒钛产业技术研究院预算管理办法》执行。产业技术研究院财物人员账务处理及时，会计核算规范，财物资料保存符合财务管理规定。</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除项目负责人外共有成员7人，分别负责实验研究与应用研究。项目组根据计划任务书制定的实验方案和研究内容，前期基础研究部分在重庆大学积极开展。经研究合金的热力学性质以及界面结构和微观形态的演化规律后，设计出目标合金成分到合作单位开展后续应用研究。</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项目资金使用严格遵守《四川钒钛产业技术研究院财务管理办法》、《四川钒钛产业技术研究院预算管理办法》，按照研究院规定的审批及报销流程严格实施。</w:t>
      </w:r>
    </w:p>
    <w:p>
      <w:pPr>
        <w:adjustRightInd w:val="0"/>
        <w:snapToGrid w:val="0"/>
        <w:spacing w:line="600" w:lineRule="exact"/>
        <w:ind w:firstLine="720"/>
        <w:rPr>
          <w:sz w:val="32"/>
          <w:szCs w:val="32"/>
          <w:lang w:val="zh-CN"/>
        </w:rPr>
      </w:pPr>
      <w:r>
        <w:rPr>
          <w:rFonts w:eastAsia="楷体_GB2312"/>
          <w:b/>
          <w:sz w:val="32"/>
          <w:szCs w:val="32"/>
          <w:lang w:val="zh-CN"/>
        </w:rPr>
        <w:t>（二）项目管理情况。</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在实验过程中需要完成耗材的招投标工作。本项目中涉及的耗材招投标工作一律在攀枝花学院工作平台系统中进行，由耗材需求方在平台上发布需求，投标方随后给出价格并进行比选，价格最低者即为中标者。整个过程全部公开、透明。</w:t>
      </w:r>
    </w:p>
    <w:p>
      <w:pPr>
        <w:adjustRightInd w:val="0"/>
        <w:snapToGrid w:val="0"/>
        <w:spacing w:line="600" w:lineRule="exact"/>
        <w:ind w:firstLine="720"/>
        <w:rPr>
          <w:sz w:val="32"/>
          <w:szCs w:val="32"/>
          <w:lang w:val="zh-CN"/>
        </w:rPr>
      </w:pPr>
      <w:r>
        <w:rPr>
          <w:rFonts w:eastAsia="楷体_GB2312"/>
          <w:b/>
          <w:sz w:val="32"/>
          <w:szCs w:val="32"/>
          <w:lang w:val="zh-CN"/>
        </w:rPr>
        <w:t>（三）项目监管情况。</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一是强化市级主管部门监管。攀枝花市科技局定期不定期采取现场考察、听取汇报等方式动态跟进相关项目实施情况，并协调解决项目执行中存在的问题。</w:t>
      </w:r>
      <w:r>
        <w:rPr>
          <w:rFonts w:hint="eastAsia" w:ascii="仿宋_GB2312" w:hAnsi="仿宋_GB2312" w:eastAsia="仿宋_GB2312" w:cs="仿宋_GB2312"/>
          <w:sz w:val="32"/>
          <w:szCs w:val="32"/>
          <w:lang w:eastAsia="zh-CN"/>
        </w:rPr>
        <w:t>二是加强承担单位监管。</w:t>
      </w:r>
      <w:r>
        <w:rPr>
          <w:rFonts w:hint="eastAsia" w:ascii="仿宋_GB2312" w:hAnsi="仿宋_GB2312" w:eastAsia="仿宋_GB2312" w:cs="仿宋_GB2312"/>
          <w:sz w:val="32"/>
          <w:szCs w:val="32"/>
        </w:rPr>
        <w:t>四川钒钛产业技术研究院制订了完整而齐备的项目资金使用管理方法、实验室安全管理办法等保证了实验项目在有法可依有据可行的条件下开展；同时，钒钛产业技术研究院对实验室安全管理负责，每月一次安全检查，安全监督到位；钒钛产业技术研究院每月一次检查项目开展情况，督促项目按进度正常实施。</w:t>
      </w:r>
    </w:p>
    <w:p>
      <w:pPr>
        <w:adjustRightInd w:val="0"/>
        <w:snapToGrid w:val="0"/>
        <w:spacing w:line="600" w:lineRule="exact"/>
        <w:ind w:firstLine="720"/>
        <w:rPr>
          <w:sz w:val="32"/>
          <w:szCs w:val="32"/>
          <w:lang w:val="zh-CN"/>
        </w:rPr>
      </w:pPr>
      <w:r>
        <w:rPr>
          <w:rFonts w:eastAsia="黑体"/>
          <w:sz w:val="32"/>
          <w:szCs w:val="32"/>
        </w:rPr>
        <w:t>四、项目绩效情况</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2022年1月-2022年3月：通过第一性原理研究Al、Cr、Mn、Co、Ni、Cu、V、Zr、Nb、Mo十种元素在TiFe析出相中置换固溶时的占位情况。 </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预期目标：选择Ti-Fe钛合金体系所研究的合金元素范围，确定各种合金元素在TiFe相中置换固溶的位点。</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2022年4月-2022年8月：研究Al、Cr、Mn、Co、Ni、Cu、Mo、V八种合金元素在Ti/TiFe界面中的元素偏析行为，分析影响元素偏析位置的因素。研究合金元素对Ti/TiFe界面</w:t>
      </w:r>
    </w:p>
    <w:p>
      <w:pPr>
        <w:pStyle w:val="16"/>
        <w:ind w:firstLine="640" w:firstLineChars="200"/>
        <w:rPr>
          <w:rFonts w:hint="eastAsia" w:eastAsia="仿宋"/>
          <w:sz w:val="32"/>
          <w:szCs w:val="32"/>
          <w:lang w:eastAsia="zh-CN"/>
        </w:rPr>
      </w:pPr>
      <w:r>
        <w:rPr>
          <w:rFonts w:hint="eastAsia" w:ascii="仿宋_GB2312" w:hAnsi="仿宋_GB2312" w:eastAsia="仿宋_GB2312" w:cs="仿宋_GB2312"/>
          <w:kern w:val="2"/>
          <w:sz w:val="32"/>
          <w:szCs w:val="32"/>
          <w:lang w:val="en-US" w:eastAsia="zh-CN" w:bidi="ar-SA"/>
        </w:rPr>
        <w:t>预期目标：确定合金元素偏析状况，筛选出界面偏析并能够强化Ti/TiFe界面的合金元素。</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2022年9月-2022年12月：研究Al、Cr、Mn、Co、Ni、Cu、Mo、V、Fe九种合金元素在Ti中的元素扩散行为，并根据扩散动力学分析研究合金元素对TiFe析出相尺寸影响。 </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预期目标：筛选出能够细化TiFe相尺寸的合金元素，撰写学通过术论文1篇。</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2023年1月-2023第2月：选择Ti-Fe-Al-Mo-Zr五种元素进行热力学相图计算，研究不同成分以及不同温度下的相变化。</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预期目标：结合热力力学计算结果，设计出合适的Ti-Fe系钛合金成分并确定钛合金合适的热处理制度。</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通过实施，可以提高项目成员的研发能力，推动当地经济社会的发展。另外，本项目研发的新材料主要应用在飞机机匣、整体叶环以及活塞杆等关键结构部位，有望实现发动机更高的推重比，从而为进一步提高我国航空航天技术的发展水平做出贡献。本研究发表的学术论文和申请的发明专利可为相关研究提供借鉴，促进科技进步。</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针对实现钛合金强韧一体化，同时降低钛合金成本的需求，研发的新材料产品主要应用在飞机机匣、整体叶环以及活塞杆等关键结构部位，有望实现发动机更高的推重比。项目研究内容具体，绩效目标明确，计划进度安排合理，项目资金使用规范。项目组根据计划进度有序开展项目研究内容，计划任务书中制定的2022年度研究内容、研究目标完成率超过60%，后期加快推进本项目的应用研究。</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pStyle w:val="16"/>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本项目实验室研究工作按年度计划正常开展，2022年新冠疫情假期实验室诸多检测设备不开放，学生不能在学校推进试样研究，对实验进度有一定的影响，目前开展的工作中以计算机模拟部分居多。</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无</w:t>
      </w:r>
    </w:p>
    <w:p>
      <w:pPr>
        <w:widowControl/>
        <w:jc w:val="left"/>
        <w:rPr>
          <w:rStyle w:val="32"/>
          <w:rFonts w:ascii="黑体" w:hAnsi="黑体" w:eastAsia="黑体"/>
          <w:b w:val="0"/>
        </w:rPr>
      </w:pPr>
      <w:r>
        <w:rPr>
          <w:rStyle w:val="32"/>
          <w:rFonts w:ascii="黑体" w:hAnsi="黑体" w:eastAsia="黑体"/>
          <w:b w:val="0"/>
        </w:rPr>
        <w:br w:type="page"/>
      </w:r>
    </w:p>
    <w:p>
      <w:pPr>
        <w:pStyle w:val="38"/>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pStyle w:val="38"/>
        <w:spacing w:line="578" w:lineRule="exact"/>
        <w:jc w:val="center"/>
        <w:rPr>
          <w:rFonts w:hint="eastAsia" w:ascii="方正小标宋简体" w:hAnsi="方正小标宋简体" w:eastAsia="方正小标宋简体" w:cs="方正小标宋简体"/>
          <w:color w:val="auto"/>
          <w:kern w:val="2"/>
          <w:sz w:val="32"/>
          <w:szCs w:val="32"/>
          <w:lang w:val="en-US" w:eastAsia="zh-CN"/>
        </w:rPr>
      </w:pPr>
      <w:r>
        <w:rPr>
          <w:rFonts w:hint="eastAsia" w:ascii="方正小标宋简体" w:hAnsi="方正小标宋简体" w:eastAsia="方正小标宋简体" w:cs="方正小标宋简体"/>
          <w:color w:val="auto"/>
          <w:kern w:val="2"/>
          <w:sz w:val="32"/>
          <w:szCs w:val="32"/>
          <w:lang w:val="en-US" w:eastAsia="zh-CN"/>
        </w:rPr>
        <w:t>（型材轧制关键锻钢轧辊再制造用钒钛熔覆材料制备关键技术）</w:t>
      </w:r>
    </w:p>
    <w:p>
      <w:pPr>
        <w:adjustRightInd w:val="0"/>
        <w:snapToGrid w:val="0"/>
        <w:spacing w:line="600" w:lineRule="exact"/>
        <w:ind w:firstLine="720"/>
        <w:rPr>
          <w:rFonts w:eastAsia="黑体"/>
          <w:sz w:val="32"/>
          <w:szCs w:val="32"/>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sz w:val="32"/>
          <w:szCs w:val="32"/>
          <w:lang w:val="zh-CN"/>
        </w:rPr>
      </w:pPr>
      <w:r>
        <w:rPr>
          <w:sz w:val="32"/>
          <w:szCs w:val="32"/>
          <w:lang w:val="zh-CN"/>
        </w:rPr>
        <w:t>1．说明项目主管部门（单位）在该项目管理中的职能。</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攀枝花市科学技术局作为“</w:t>
      </w:r>
      <w:r>
        <w:rPr>
          <w:rFonts w:hint="eastAsia" w:ascii="仿宋_GB2312" w:hAnsi="仿宋_GB2312" w:eastAsia="仿宋_GB2312" w:cs="仿宋_GB2312"/>
          <w:sz w:val="32"/>
          <w:szCs w:val="32"/>
        </w:rPr>
        <w:t>低成本高强韧钛合金材料制备关键技术研究</w:t>
      </w:r>
      <w:r>
        <w:rPr>
          <w:rFonts w:hint="eastAsia" w:ascii="仿宋_GB2312" w:hAnsi="仿宋_GB2312" w:eastAsia="仿宋_GB2312" w:cs="仿宋_GB2312"/>
          <w:sz w:val="32"/>
          <w:szCs w:val="32"/>
          <w:lang w:eastAsia="zh-CN"/>
        </w:rPr>
        <w:t>”项目的主管单位，在项目管理中的职能主要有：一是加强项目监督管理。采用定期与不定期相结合的方式，到项目现场检查项目推进情况、安全管理等内容，督促项目实施按计划任务推进。二是加强项目实施指导。帮助项目承担单位协调解决项目实施过程中遇到的困难及问题，邀请相关领域专家为项目答疑解惑，指导项目顺利实施。三是加强沟通交流。建立联系机制，与项目承担单位保持畅通联系，了解项目承担单位需求，随时掌握项目推进情况，提高项目管理效率。</w:t>
      </w:r>
    </w:p>
    <w:p>
      <w:pPr>
        <w:numPr>
          <w:ilvl w:val="0"/>
          <w:numId w:val="0"/>
        </w:numPr>
        <w:adjustRightInd w:val="0"/>
        <w:snapToGrid w:val="0"/>
        <w:spacing w:line="600" w:lineRule="exact"/>
        <w:rPr>
          <w:rFonts w:hint="eastAsia" w:ascii="仿宋_GB2312" w:hAnsi="仿宋_GB2312" w:eastAsia="仿宋_GB2312" w:cs="仿宋_GB2312"/>
          <w:sz w:val="32"/>
          <w:szCs w:val="32"/>
          <w:lang w:val="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项目立项、资金申报的依据。</w:t>
      </w:r>
    </w:p>
    <w:p>
      <w:pPr>
        <w:autoSpaceDE w:val="0"/>
        <w:autoSpaceDN w:val="0"/>
        <w:adjustRightInd w:val="0"/>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（1）立项依据</w:t>
      </w:r>
    </w:p>
    <w:p>
      <w:pPr>
        <w:wordWrap w:val="0"/>
        <w:spacing w:line="30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锻钢轧辊是圆钢、工字钢、槽钢、H型钢及重轨钢等型材轧制的关键部件，服役于苛刻的热轧环境，应力变化过程中复杂孔型结构的不同部位性能要求对熔覆层硬度、耐高温磨损等综合性能提出了更高的要求。熔覆材料沿用的热喷涂合金粉末体系难以满足服役环境苛刻的型材轧制锻钢轧辊修复需求，研制专用熔覆材料极为必要。</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专用熔覆材料的研发和制备一直是制约激光修复技术进一步拓展应用的重要因素，当前尚无激光修复型材轧制关键部件锻钢轧辊的专用粉体材料。</w:t>
      </w:r>
      <w:r>
        <w:rPr>
          <w:rFonts w:hint="eastAsia" w:ascii="仿宋_GB2312" w:hAnsi="仿宋_GB2312" w:eastAsia="仿宋_GB2312" w:cs="仿宋_GB2312"/>
          <w:bCs/>
          <w:kern w:val="0"/>
          <w:sz w:val="32"/>
          <w:szCs w:val="32"/>
        </w:rPr>
        <w:t>本项目基于型材轧制关键部件锻钢轧辊失效分析，通过成分设计、在熔覆层中形成兼具韧性相和强化相的复相组织，研发适用于锻钢轧辊激光熔覆再制造的含钒钛熔覆材料，</w:t>
      </w:r>
      <w:r>
        <w:rPr>
          <w:rFonts w:hint="eastAsia" w:ascii="仿宋_GB2312" w:hAnsi="仿宋_GB2312" w:eastAsia="仿宋_GB2312" w:cs="仿宋_GB2312"/>
          <w:sz w:val="32"/>
          <w:szCs w:val="32"/>
        </w:rPr>
        <w:t>填补为工业关键部件修复及再制造研发、生产专用含钒钛熔覆粉体材料的空白，首次在本地通过激光修复型材轧制关键部件锻钢轧辊，使其成本低于目前采用埋弧堆焊技术的修复成本，解决现有修复方法中存在的周期长、能耗高、作业环境不友好等问题，更重要的是还可降低碳排放，还可以本项目研究成果作为基础，继续研发其它类型工业关键修复及再制造所需的专用含钒钛粉体材料。因此，实施本项目意义重大。</w:t>
      </w:r>
    </w:p>
    <w:p>
      <w:pPr>
        <w:autoSpaceDE w:val="0"/>
        <w:autoSpaceDN w:val="0"/>
        <w:adjustRightInd w:val="0"/>
        <w:spacing w:line="600" w:lineRule="exac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（2）资金申报依据</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项目资金申报严格按照《四川省科技计划项目专项资金管理办法》（川财规[2019]10号）《攀枝花市科技专项资金管理暂行办法》（攀财教［2018］1号）</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2020年度第二批攀枝花市市级科技计划项目和财政科技专项资金计划的通知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攀科发〔2020〕74号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规定的资金使用范围和标准，在项目立项后重新编制资金概算总表。</w:t>
      </w:r>
    </w:p>
    <w:p>
      <w:pPr>
        <w:numPr>
          <w:ilvl w:val="0"/>
          <w:numId w:val="5"/>
        </w:numPr>
        <w:adjustRightInd w:val="0"/>
        <w:snapToGrid w:val="0"/>
        <w:spacing w:line="600" w:lineRule="exact"/>
        <w:ind w:left="0" w:leftChars="0" w:firstLine="720" w:firstLineChars="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资金管理办法制定情况，资金支持具体项目的条件、范围与支持方式概况。</w:t>
      </w:r>
    </w:p>
    <w:p>
      <w:pPr>
        <w:adjustRightInd w:val="0"/>
        <w:snapToGrid w:val="0"/>
        <w:spacing w:line="600" w:lineRule="exact"/>
        <w:ind w:firstLine="72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项目承担单位四川钒钛产业技术研究院有专门的财务部门，健全的财务制度，根据国家、省、市相关科技项目专项资金管理办法制定有《四川钒钛产业技术研究院研发项目管理办法》、《四川钒钛产业技术研究院科技计划项目资金管理办法》等专项项目资金管理办法并严格按照制度执行。</w:t>
      </w:r>
    </w:p>
    <w:p>
      <w:pPr>
        <w:adjustRightInd w:val="0"/>
        <w:snapToGrid w:val="0"/>
        <w:spacing w:line="600" w:lineRule="exact"/>
        <w:ind w:firstLine="72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项目专项资金严格按照项目经费预算，在预算范围和科研经费使用范围内根据项目实施的具体情况使用，本项目资金为前补助资金。</w:t>
      </w:r>
    </w:p>
    <w:p>
      <w:pPr>
        <w:numPr>
          <w:ilvl w:val="0"/>
          <w:numId w:val="0"/>
        </w:numPr>
        <w:adjustRightInd w:val="0"/>
        <w:snapToGrid w:val="0"/>
        <w:spacing w:line="600" w:lineRule="exact"/>
        <w:ind w:left="720" w:leftChars="0"/>
        <w:rPr>
          <w:rFonts w:hint="eastAsia" w:ascii="仿宋_GB2312" w:hAnsi="仿宋_GB2312" w:eastAsia="仿宋_GB2312" w:cs="仿宋_GB2312"/>
          <w:sz w:val="32"/>
          <w:szCs w:val="32"/>
          <w:lang w:val="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zh-CN"/>
        </w:rPr>
        <w:t>资金分配的原则及考虑因素。</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资金分配和使用原则严格按照《攀枝花市科技专项资金管理暂行办法》（攀财教［2018］1号）</w:t>
      </w:r>
      <w:r>
        <w:rPr>
          <w:rFonts w:hint="eastAsia" w:ascii="仿宋_GB2312" w:hAnsi="仿宋_GB2312" w:eastAsia="仿宋_GB2312" w:cs="仿宋_GB2312"/>
          <w:color w:val="auto"/>
          <w:sz w:val="32"/>
          <w:szCs w:val="32"/>
          <w:lang w:eastAsia="zh-CN"/>
        </w:rPr>
        <w:t>《关于下达</w:t>
      </w:r>
      <w:r>
        <w:rPr>
          <w:rFonts w:hint="eastAsia" w:ascii="仿宋_GB2312" w:hAnsi="仿宋_GB2312" w:eastAsia="仿宋_GB2312" w:cs="仿宋_GB2312"/>
          <w:color w:val="auto"/>
          <w:sz w:val="32"/>
          <w:szCs w:val="32"/>
          <w:lang w:val="en-US" w:eastAsia="zh-CN"/>
        </w:rPr>
        <w:t>2020年度第二批攀枝花市市级科技计划项目和财政科技专项资金计划的通知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攀科发〔2020〕74号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四川钒钛产业技术研究院科技专项资金管理暂行办法》等办法执行。资金分配上考虑把资金更多放在直接费用上，提高资金使用效率。在具体实施过程中，资金总额为20万元，直接费用为14.8万元，其中材料费5万元、检测费4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1.项目主要内容。</w:t>
      </w:r>
    </w:p>
    <w:p>
      <w:pPr>
        <w:spacing w:line="360" w:lineRule="auto"/>
        <w:ind w:firstLine="562"/>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熔覆材料成分设计</w:t>
      </w:r>
    </w:p>
    <w:p>
      <w:pPr>
        <w:pStyle w:val="16"/>
        <w:numPr>
          <w:ilvl w:val="0"/>
          <w:numId w:val="0"/>
        </w:numPr>
        <w:spacing w:after="0"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基于型材轧制用锻钢轧辊</w:t>
      </w:r>
      <w:r>
        <w:rPr>
          <w:rFonts w:hint="eastAsia" w:ascii="仿宋_GB2312" w:hAnsi="仿宋_GB2312" w:eastAsia="仿宋_GB2312" w:cs="仿宋_GB2312"/>
          <w:sz w:val="32"/>
          <w:szCs w:val="32"/>
          <w:lang w:bidi="ar"/>
        </w:rPr>
        <w:t>在服役过程中的受力分析，研究</w:t>
      </w:r>
      <w:r>
        <w:rPr>
          <w:rFonts w:hint="eastAsia" w:ascii="仿宋_GB2312" w:hAnsi="仿宋_GB2312" w:eastAsia="仿宋_GB2312" w:cs="仿宋_GB2312"/>
          <w:sz w:val="32"/>
          <w:szCs w:val="32"/>
        </w:rPr>
        <w:t>其在热轧环境中的表面微观组织特征及轧辊失效机理，设计合金组元成分，形成兼有韧性相和强化相的复相熔覆层组织，研究快速凝固过程中强化相的析出种类、含量演变规律；研究强化相和韧性相的相互作用关系，获得V、Ti等合金组元在强化相中的分配规律。</w:t>
      </w:r>
    </w:p>
    <w:p>
      <w:pPr>
        <w:pStyle w:val="16"/>
        <w:numPr>
          <w:ilvl w:val="0"/>
          <w:numId w:val="6"/>
        </w:numPr>
        <w:spacing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含钒钛熔覆材料制备</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本项目采用气雾化技术制备所设计的熔覆材料，针对其中熔炼和气雾化过程重点研究：</w:t>
      </w:r>
    </w:p>
    <w:p>
      <w:pPr>
        <w:pStyle w:val="55"/>
        <w:numPr>
          <w:ilvl w:val="0"/>
          <w:numId w:val="0"/>
        </w:numPr>
        <w:spacing w:line="360" w:lineRule="auto"/>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V</w:t>
      </w:r>
      <w:r>
        <w:rPr>
          <w:rFonts w:hint="eastAsia" w:ascii="仿宋_GB2312" w:hAnsi="仿宋_GB2312" w:eastAsia="仿宋_GB2312" w:cs="仿宋_GB2312"/>
          <w:color w:val="000000"/>
          <w:sz w:val="32"/>
          <w:szCs w:val="32"/>
        </w:rPr>
        <w:t>、Ti等合金组元的中间合金种类及其含量、添加方式等对熔点、粘度的影响，获得熔体物性参数对其流动过程的影响规律；</w:t>
      </w:r>
    </w:p>
    <w:p>
      <w:pPr>
        <w:pStyle w:val="55"/>
        <w:numPr>
          <w:ilvl w:val="0"/>
          <w:numId w:val="0"/>
        </w:numPr>
        <w:spacing w:line="360" w:lineRule="auto"/>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通过雾化过程中气-液两相流计算，研究导流管长径比、伸出量、环缝及环孔结构对含钒钛熔覆材料球形度和粒度分布的影响规律，优化流道和喷盘气口结构；</w:t>
      </w:r>
    </w:p>
    <w:p>
      <w:pPr>
        <w:pStyle w:val="55"/>
        <w:numPr>
          <w:ilvl w:val="0"/>
          <w:numId w:val="0"/>
        </w:numPr>
        <w:spacing w:line="360" w:lineRule="auto"/>
        <w:ind w:firstLine="960" w:firstLineChars="300"/>
        <w:rPr>
          <w:rFonts w:hint="eastAsia" w:ascii="仿宋_GB2312" w:hAnsi="仿宋_GB2312" w:eastAsia="仿宋_GB2312" w:cs="仿宋_GB2312"/>
          <w:b w:val="0"/>
          <w:bCs/>
          <w:sz w:val="32"/>
          <w:szCs w:val="32"/>
        </w:rPr>
      </w:pPr>
      <w:r>
        <w:rPr>
          <w:rFonts w:hint="eastAsia" w:ascii="仿宋_GB2312" w:hAnsi="仿宋_GB2312" w:eastAsia="仿宋_GB2312" w:cs="仿宋_GB2312"/>
          <w:color w:val="000000"/>
          <w:sz w:val="32"/>
          <w:szCs w:val="32"/>
        </w:rPr>
        <w:t>研究过热度、喷吹压力对含钒钛熔覆材料粒度分布、流动性及球形度的影响，优化气雾化制粉的制备工艺参数。</w:t>
      </w:r>
    </w:p>
    <w:p>
      <w:pPr>
        <w:pStyle w:val="16"/>
        <w:numPr>
          <w:ilvl w:val="0"/>
          <w:numId w:val="6"/>
        </w:numPr>
        <w:spacing w:after="0"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含钒钛</w:t>
      </w:r>
      <w:r>
        <w:rPr>
          <w:rFonts w:hint="eastAsia" w:ascii="仿宋_GB2312" w:hAnsi="仿宋_GB2312" w:eastAsia="仿宋_GB2312" w:cs="仿宋_GB2312"/>
          <w:b w:val="0"/>
          <w:bCs/>
          <w:color w:val="000000"/>
          <w:sz w:val="32"/>
          <w:szCs w:val="32"/>
        </w:rPr>
        <w:t>熔覆材料修复锻钢轧辊</w:t>
      </w:r>
    </w:p>
    <w:p>
      <w:pPr>
        <w:pStyle w:val="55"/>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以自制的含钒钛粉体为熔覆材料，通过激光熔覆修复攀钢集团攀枝花钢钒有限公司轨梁厂失效的热轧锻钢轧辊，使熔覆层的综合性能满足要求，此过程中重点研究：</w:t>
      </w:r>
    </w:p>
    <w:p>
      <w:pPr>
        <w:spacing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激光熔</w:t>
      </w:r>
      <w:r>
        <w:rPr>
          <w:rFonts w:hint="eastAsia" w:ascii="仿宋_GB2312" w:hAnsi="仿宋_GB2312" w:eastAsia="仿宋_GB2312" w:cs="仿宋_GB2312"/>
          <w:color w:val="000000"/>
          <w:sz w:val="32"/>
          <w:szCs w:val="32"/>
        </w:rPr>
        <w:t>覆功率、扫描速度、送粉速率对熔覆层显微组织及硬度、高温摩擦磨损、冲击性能的影响，优化激光熔覆工艺参数；</w:t>
      </w:r>
    </w:p>
    <w:p>
      <w:pPr>
        <w:pStyle w:val="55"/>
        <w:spacing w:line="360" w:lineRule="auto"/>
        <w:ind w:firstLine="560"/>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sz w:val="32"/>
          <w:szCs w:val="32"/>
        </w:rPr>
        <w:t>高能量激光束作用下熔覆材料的凝固过程，揭示</w:t>
      </w:r>
      <w:r>
        <w:rPr>
          <w:rFonts w:hint="eastAsia" w:ascii="仿宋_GB2312" w:hAnsi="仿宋_GB2312" w:eastAsia="仿宋_GB2312" w:cs="仿宋_GB2312"/>
          <w:color w:val="000000"/>
          <w:kern w:val="0"/>
          <w:sz w:val="32"/>
          <w:szCs w:val="32"/>
          <w:lang w:bidi="ar"/>
        </w:rPr>
        <w:t>V、Ti</w:t>
      </w:r>
      <w:r>
        <w:rPr>
          <w:rFonts w:hint="eastAsia" w:ascii="仿宋_GB2312" w:hAnsi="仿宋_GB2312" w:eastAsia="仿宋_GB2312" w:cs="仿宋_GB2312"/>
          <w:color w:val="000000"/>
          <w:sz w:val="32"/>
          <w:szCs w:val="32"/>
        </w:rPr>
        <w:t>等组元含量变化对熔覆层成分变化、显微组织及硬度、高温摩擦磨损、冲击性能的影响规律，提出熔覆层与基材的界面结合机制。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1）产品性能及技术考核指标：</w:t>
      </w:r>
      <w:r>
        <w:rPr>
          <w:rFonts w:hint="eastAsia" w:ascii="仿宋_GB2312" w:hAnsi="仿宋_GB2312" w:eastAsia="仿宋_GB2312" w:cs="仿宋_GB2312"/>
          <w:sz w:val="32"/>
          <w:szCs w:val="32"/>
          <w:lang w:val="zh-CN"/>
        </w:rPr>
        <w:t>（1）制备出型材轧制关键部件锻钢轧辊修复及再制造所需专用含钒钛金属粉末，其性能指标达到：粉体粒度在45-150μm之间的比例达60%以上，球形度达90%以上，流动性小于20g/s；（2）利用所研发的含钒钛金属粉末完成激光熔覆修复型材轧制关键部件锻钢轧辊试验研究，熔覆层硬度达HRC50以上，修复后轧辊单次上机轧制钢量为原辊的1.5倍以上。</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2经济效益指标：</w:t>
      </w:r>
      <w:r>
        <w:rPr>
          <w:rFonts w:hint="eastAsia" w:ascii="仿宋_GB2312" w:hAnsi="仿宋_GB2312" w:eastAsia="仿宋_GB2312" w:cs="仿宋_GB2312"/>
          <w:sz w:val="32"/>
          <w:szCs w:val="32"/>
          <w:lang w:val="zh-CN"/>
        </w:rPr>
        <w:t>通过改扩建现有的设备、设施，形成具有20t/年生产能力的型材轧制锻钢轧辊修复及再制造专用熔覆材料生产示范线，年产值达300万元以上。</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3）知识产权指标：</w:t>
      </w:r>
      <w:r>
        <w:rPr>
          <w:rFonts w:hint="eastAsia" w:ascii="仿宋_GB2312" w:hAnsi="仿宋_GB2312" w:eastAsia="仿宋_GB2312" w:cs="仿宋_GB2312"/>
          <w:sz w:val="32"/>
          <w:szCs w:val="32"/>
          <w:lang w:val="zh-CN"/>
        </w:rPr>
        <w:t>申请国家发明专利2-3项。</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4）论文指标：</w:t>
      </w:r>
      <w:r>
        <w:rPr>
          <w:rFonts w:hint="eastAsia" w:ascii="仿宋_GB2312" w:hAnsi="仿宋_GB2312" w:eastAsia="仿宋_GB2312" w:cs="仿宋_GB2312"/>
          <w:sz w:val="32"/>
          <w:szCs w:val="32"/>
          <w:lang w:val="zh-CN"/>
        </w:rPr>
        <w:t>发表相关学术研究论文2-3篇，均为中文核心期刊以上或被IE、SCI收录。</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5）社会效益指标：</w:t>
      </w:r>
      <w:r>
        <w:rPr>
          <w:rFonts w:hint="eastAsia" w:ascii="仿宋_GB2312" w:hAnsi="仿宋_GB2312" w:eastAsia="仿宋_GB2312" w:cs="仿宋_GB2312"/>
          <w:sz w:val="32"/>
          <w:szCs w:val="32"/>
          <w:lang w:val="zh-CN"/>
        </w:rPr>
        <w:t>填补在攀西及周边无气雾化为工业关键部件修复及再制造研发、生产专用含钒钛熔覆粉体材料的空白。</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3.分析评价申报内容是否与实际相符，申报目标是否合理可行。</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本项目申报内容与实际情况相符，申报目标合理可行。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本项目自评采用项目任务书目标逐项目标进行核的实施步骤；采用严格围绕任务书目标要求与研究内容和进展进行核对的方法。</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本项目资金申报及批复经费为51.96万元，项目没有预算调整。</w:t>
      </w:r>
    </w:p>
    <w:p>
      <w:pPr>
        <w:adjustRightInd w:val="0"/>
        <w:snapToGrid w:val="0"/>
        <w:spacing w:line="600" w:lineRule="exact"/>
        <w:ind w:firstLine="720"/>
        <w:rPr>
          <w:sz w:val="32"/>
          <w:szCs w:val="32"/>
          <w:lang w:val="zh-CN"/>
        </w:rPr>
      </w:pPr>
      <w:r>
        <w:rPr>
          <w:rFonts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本项目批复资金51.96万，自筹经费0万元，项目总经费51.96万元。</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2．资金到位。</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本项目批复资金51.96万元，现到位资金51.96万元，于2022年6月2日到位，合作单位于2022年6月22日到位。</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3．资金使用。</w:t>
      </w:r>
    </w:p>
    <w:tbl>
      <w:tblPr>
        <w:tblStyle w:val="18"/>
        <w:tblW w:w="8793" w:type="dxa"/>
        <w:tblInd w:w="100" w:type="dxa"/>
        <w:tblLayout w:type="fixed"/>
        <w:tblCellMar>
          <w:top w:w="0" w:type="dxa"/>
          <w:left w:w="108" w:type="dxa"/>
          <w:bottom w:w="0" w:type="dxa"/>
          <w:right w:w="108" w:type="dxa"/>
        </w:tblCellMar>
      </w:tblPr>
      <w:tblGrid>
        <w:gridCol w:w="4191"/>
        <w:gridCol w:w="1481"/>
        <w:gridCol w:w="1394"/>
        <w:gridCol w:w="1727"/>
      </w:tblGrid>
      <w:tr>
        <w:trPr>
          <w:trHeight w:val="1800" w:hRule="atLeast"/>
        </w:trPr>
        <w:tc>
          <w:tcPr>
            <w:tcW w:w="8793" w:type="dxa"/>
            <w:gridSpan w:val="4"/>
            <w:tcBorders>
              <w:top w:val="nil"/>
              <w:left w:val="nil"/>
              <w:bottom w:val="nil"/>
              <w:right w:val="nil"/>
            </w:tcBorders>
            <w:shd w:val="clear" w:color="auto" w:fill="auto"/>
            <w:vAlign w:val="center"/>
          </w:tcPr>
          <w:p>
            <w:pPr>
              <w:widowControl/>
              <w:jc w:val="center"/>
              <w:rPr>
                <w:rFonts w:ascii="宋体" w:hAnsi="宋体" w:eastAsia="宋体" w:cs="宋体"/>
                <w:kern w:val="0"/>
                <w:sz w:val="32"/>
                <w:szCs w:val="32"/>
              </w:rPr>
            </w:pPr>
            <w:r>
              <w:rPr>
                <w:rFonts w:hint="eastAsia" w:ascii="仿宋_GB2312" w:hAnsi="仿宋_GB2312" w:eastAsia="仿宋_GB2312" w:cs="仿宋_GB2312"/>
                <w:sz w:val="32"/>
                <w:szCs w:val="32"/>
                <w:lang w:val="zh-CN"/>
              </w:rPr>
              <w:t>型材轧制关键锻钢轧辊再制造用钒钛熔覆材料制备关键技术专项经费使用情况见下表。</w:t>
            </w:r>
          </w:p>
        </w:tc>
      </w:tr>
      <w:tr>
        <w:trPr>
          <w:trHeight w:val="499" w:hRule="atLeast"/>
        </w:trPr>
        <w:tc>
          <w:tcPr>
            <w:tcW w:w="4191" w:type="dxa"/>
            <w:tcBorders>
              <w:top w:val="double" w:color="000000" w:sz="6" w:space="0"/>
              <w:left w:val="double" w:color="000000" w:sz="6"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经费</w:t>
            </w:r>
          </w:p>
        </w:tc>
        <w:tc>
          <w:tcPr>
            <w:tcW w:w="1481" w:type="dxa"/>
            <w:tcBorders>
              <w:top w:val="double" w:color="000000" w:sz="6"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专项经费收入</w:t>
            </w:r>
          </w:p>
        </w:tc>
        <w:tc>
          <w:tcPr>
            <w:tcW w:w="1394" w:type="dxa"/>
            <w:tcBorders>
              <w:top w:val="double" w:color="000000" w:sz="6"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支出</w:t>
            </w:r>
          </w:p>
        </w:tc>
        <w:tc>
          <w:tcPr>
            <w:tcW w:w="1727" w:type="dxa"/>
            <w:tcBorders>
              <w:top w:val="double" w:color="000000" w:sz="6" w:space="0"/>
              <w:left w:val="nil"/>
              <w:bottom w:val="single" w:color="000000" w:sz="4" w:space="0"/>
              <w:right w:val="double" w:color="000000" w:sz="6"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结余</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专项经费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¥519,600.00</w:t>
            </w:r>
          </w:p>
        </w:tc>
        <w:tc>
          <w:tcPr>
            <w:tcW w:w="1394" w:type="dxa"/>
            <w:tcBorders>
              <w:top w:val="nil"/>
              <w:left w:val="nil"/>
              <w:bottom w:val="single" w:color="000000" w:sz="4" w:space="0"/>
              <w:right w:val="single" w:color="000000" w:sz="4" w:space="0"/>
            </w:tcBorders>
            <w:shd w:val="clear" w:color="auto" w:fill="auto"/>
          </w:tcPr>
          <w:p>
            <w:pPr>
              <w:widowControl/>
              <w:jc w:val="center"/>
              <w:rPr>
                <w:rFonts w:eastAsia="宋体"/>
                <w:b/>
                <w:bCs/>
                <w:kern w:val="0"/>
                <w:sz w:val="32"/>
                <w:szCs w:val="32"/>
              </w:rPr>
            </w:pPr>
            <w:r>
              <w:rPr>
                <w:rFonts w:eastAsia="宋体"/>
                <w:b/>
                <w:bCs/>
                <w:kern w:val="0"/>
                <w:sz w:val="32"/>
                <w:szCs w:val="32"/>
              </w:rPr>
              <w:t>　</w:t>
            </w:r>
          </w:p>
        </w:tc>
        <w:tc>
          <w:tcPr>
            <w:tcW w:w="1727" w:type="dxa"/>
            <w:tcBorders>
              <w:top w:val="nil"/>
              <w:left w:val="nil"/>
              <w:bottom w:val="single" w:color="000000" w:sz="4" w:space="0"/>
              <w:right w:val="double" w:color="000000" w:sz="6" w:space="0"/>
            </w:tcBorders>
            <w:shd w:val="clear" w:color="auto" w:fill="auto"/>
            <w:vAlign w:val="center"/>
          </w:tcPr>
          <w:p>
            <w:pPr>
              <w:widowControl/>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转拨资金-攀枝花学院</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eastAsia="宋体"/>
                <w:b/>
                <w:bCs/>
                <w:color w:val="000000"/>
                <w:kern w:val="0"/>
                <w:sz w:val="32"/>
                <w:szCs w:val="32"/>
              </w:rPr>
            </w:pPr>
            <w:r>
              <w:rPr>
                <w:rFonts w:eastAsia="宋体"/>
                <w:b/>
                <w:bCs/>
                <w:color w:val="000000"/>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¥100,000.00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eastAsia="宋体"/>
                <w:b/>
                <w:bCs/>
                <w:color w:val="000000"/>
                <w:kern w:val="0"/>
                <w:sz w:val="32"/>
                <w:szCs w:val="32"/>
              </w:rPr>
            </w:pPr>
            <w:r>
              <w:rPr>
                <w:rFonts w:eastAsia="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直接支出</w:t>
            </w:r>
            <w:r>
              <w:rPr>
                <w:rFonts w:eastAsia="宋体"/>
                <w:b/>
                <w:bCs/>
                <w:color w:val="000000"/>
                <w:kern w:val="0"/>
                <w:sz w:val="32"/>
                <w:szCs w:val="32"/>
              </w:rPr>
              <w:t>—</w:t>
            </w:r>
            <w:r>
              <w:rPr>
                <w:rFonts w:hint="eastAsia" w:ascii="宋体" w:hAnsi="宋体" w:eastAsia="宋体" w:cs="宋体"/>
                <w:b/>
                <w:bCs/>
                <w:color w:val="000000"/>
                <w:kern w:val="0"/>
                <w:sz w:val="32"/>
                <w:szCs w:val="32"/>
              </w:rPr>
              <w:t>差旅费/会议费/国际合作与交流费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eastAsia="宋体"/>
                <w:b/>
                <w:bCs/>
                <w:kern w:val="0"/>
                <w:sz w:val="32"/>
                <w:szCs w:val="32"/>
              </w:rPr>
            </w:pPr>
            <w:r>
              <w:rPr>
                <w:rFonts w:eastAsia="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¥4,244.00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eastAsia="宋体"/>
                <w:b/>
                <w:bCs/>
                <w:color w:val="000000"/>
                <w:kern w:val="0"/>
                <w:sz w:val="32"/>
                <w:szCs w:val="32"/>
              </w:rPr>
            </w:pPr>
            <w:r>
              <w:rPr>
                <w:rFonts w:eastAsia="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直接支出-测试化验加工费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eastAsia="宋体"/>
                <w:b/>
                <w:bCs/>
                <w:kern w:val="0"/>
                <w:sz w:val="32"/>
                <w:szCs w:val="32"/>
              </w:rPr>
            </w:pPr>
            <w:r>
              <w:rPr>
                <w:rFonts w:eastAsia="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¥32,095.00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eastAsia="宋体"/>
                <w:b/>
                <w:bCs/>
                <w:color w:val="000000"/>
                <w:kern w:val="0"/>
                <w:sz w:val="32"/>
                <w:szCs w:val="32"/>
              </w:rPr>
            </w:pPr>
            <w:r>
              <w:rPr>
                <w:rFonts w:eastAsia="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直接支出</w:t>
            </w:r>
            <w:r>
              <w:rPr>
                <w:rFonts w:eastAsia="宋体"/>
                <w:b/>
                <w:bCs/>
                <w:color w:val="000000"/>
                <w:kern w:val="0"/>
                <w:sz w:val="32"/>
                <w:szCs w:val="32"/>
              </w:rPr>
              <w:t>—</w:t>
            </w:r>
            <w:r>
              <w:rPr>
                <w:rFonts w:hint="eastAsia" w:ascii="宋体" w:hAnsi="宋体" w:eastAsia="宋体" w:cs="宋体"/>
                <w:b/>
                <w:bCs/>
                <w:color w:val="000000"/>
                <w:kern w:val="0"/>
                <w:sz w:val="32"/>
                <w:szCs w:val="32"/>
              </w:rPr>
              <w:t>材料费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¥60,221.05</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直接支出</w:t>
            </w:r>
            <w:r>
              <w:rPr>
                <w:rFonts w:eastAsia="宋体"/>
                <w:b/>
                <w:bCs/>
                <w:color w:val="000000"/>
                <w:kern w:val="0"/>
                <w:sz w:val="32"/>
                <w:szCs w:val="32"/>
              </w:rPr>
              <w:t>—</w:t>
            </w:r>
            <w:r>
              <w:rPr>
                <w:rFonts w:hint="eastAsia" w:ascii="宋体" w:hAnsi="宋体" w:eastAsia="宋体" w:cs="宋体"/>
                <w:b/>
                <w:bCs/>
                <w:color w:val="000000"/>
                <w:kern w:val="0"/>
                <w:sz w:val="32"/>
                <w:szCs w:val="32"/>
              </w:rPr>
              <w:t>其他</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¥771.00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直接费用</w:t>
            </w:r>
            <w:r>
              <w:rPr>
                <w:rFonts w:eastAsia="宋体"/>
                <w:b/>
                <w:bCs/>
                <w:color w:val="000000"/>
                <w:kern w:val="0"/>
                <w:sz w:val="32"/>
                <w:szCs w:val="32"/>
              </w:rPr>
              <w:t>—</w:t>
            </w:r>
            <w:r>
              <w:rPr>
                <w:rFonts w:hint="eastAsia" w:ascii="宋体" w:hAnsi="宋体" w:eastAsia="宋体" w:cs="宋体"/>
                <w:b/>
                <w:bCs/>
                <w:color w:val="000000"/>
                <w:kern w:val="0"/>
                <w:sz w:val="32"/>
                <w:szCs w:val="32"/>
              </w:rPr>
              <w:t>出版文献/信息传播/知识产权事务费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¥1,060.00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劳务费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¥600.00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间接费用-管理费</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94" w:type="dxa"/>
            <w:tcBorders>
              <w:top w:val="nil"/>
              <w:left w:val="nil"/>
              <w:bottom w:val="single" w:color="000000" w:sz="4" w:space="0"/>
              <w:right w:val="single" w:color="000000" w:sz="4" w:space="0"/>
            </w:tcBorders>
            <w:shd w:val="clear" w:color="auto" w:fill="auto"/>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¥25,980.00</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　</w:t>
            </w:r>
          </w:p>
        </w:tc>
      </w:tr>
      <w:tr>
        <w:trPr>
          <w:trHeight w:val="499" w:hRule="atLeast"/>
        </w:trPr>
        <w:tc>
          <w:tcPr>
            <w:tcW w:w="4191" w:type="dxa"/>
            <w:tcBorders>
              <w:top w:val="nil"/>
              <w:left w:val="double" w:color="000000" w:sz="6"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专项合计</w:t>
            </w:r>
          </w:p>
        </w:tc>
        <w:tc>
          <w:tcPr>
            <w:tcW w:w="14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¥519,600.00</w:t>
            </w:r>
          </w:p>
        </w:tc>
        <w:tc>
          <w:tcPr>
            <w:tcW w:w="13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¥224,971.05</w:t>
            </w:r>
          </w:p>
        </w:tc>
        <w:tc>
          <w:tcPr>
            <w:tcW w:w="1727" w:type="dxa"/>
            <w:tcBorders>
              <w:top w:val="nil"/>
              <w:left w:val="nil"/>
              <w:bottom w:val="single" w:color="000000" w:sz="4" w:space="0"/>
              <w:right w:val="double" w:color="000000" w:sz="6" w:space="0"/>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¥294,628.95</w:t>
            </w:r>
          </w:p>
        </w:tc>
      </w:tr>
    </w:tbl>
    <w:p>
      <w:pPr>
        <w:numPr>
          <w:ilvl w:val="0"/>
          <w:numId w:val="7"/>
        </w:numPr>
        <w:adjustRightInd w:val="0"/>
        <w:snapToGrid w:val="0"/>
        <w:spacing w:line="600" w:lineRule="exact"/>
        <w:ind w:firstLine="720"/>
        <w:rPr>
          <w:rFonts w:eastAsia="楷体_GB2312"/>
          <w:b/>
          <w:sz w:val="32"/>
          <w:szCs w:val="32"/>
          <w:lang w:val="zh-CN"/>
        </w:rPr>
      </w:pPr>
      <w:r>
        <w:rPr>
          <w:rFonts w:eastAsia="楷体_GB2312"/>
          <w:b/>
          <w:sz w:val="32"/>
          <w:szCs w:val="32"/>
          <w:lang w:val="zh-CN"/>
        </w:rPr>
        <w:t>项目财务管理情况。</w:t>
      </w:r>
    </w:p>
    <w:p>
      <w:pPr>
        <w:autoSpaceDE w:val="0"/>
        <w:autoSpaceDN w:val="0"/>
        <w:adjustRightInd w:val="0"/>
        <w:spacing w:line="600" w:lineRule="exact"/>
        <w:ind w:firstLine="640" w:firstLineChars="200"/>
        <w:jc w:val="left"/>
        <w:rPr>
          <w:rFonts w:hint="default" w:eastAsia="仿宋_GB2312"/>
          <w:sz w:val="32"/>
          <w:szCs w:val="32"/>
          <w:lang w:val="en-US" w:eastAsia="zh-CN"/>
        </w:rPr>
      </w:pPr>
      <w:r>
        <w:rPr>
          <w:rFonts w:hint="eastAsia" w:ascii="仿宋_GB2312" w:hAnsi="仿宋_GB2312" w:eastAsia="仿宋_GB2312" w:cs="仿宋_GB2312"/>
          <w:sz w:val="32"/>
          <w:szCs w:val="32"/>
        </w:rPr>
        <w:t>本项目由四川钒钛产业技术研究院组织实施，财物管理制度健全，设有独立财物部门，院内所有经费的预算、支付等均需严格按照《四川钒钛产业技术研究院财务管理办法》、《四川钒钛产业技术研究院预算管理办法》执行。产业技术研究院财物人员账务处理及时，会计核算规范，财物资料保存符合财务管理规定。</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项目组织架构：</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项目承担单位：四川钒钛产业技术研究院</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主要负责项目组织、管理、技术孵化、成果转化、实施监管及验收等。</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项目合作单位：攀枝花学院</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主要负责项目理论研究、实验研究及检测等。</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实施流程：</w:t>
      </w:r>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67960" cy="648335"/>
            <wp:effectExtent l="0" t="0" r="8890" b="1841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3"/>
                    <a:stretch>
                      <a:fillRect/>
                    </a:stretch>
                  </pic:blipFill>
                  <pic:spPr>
                    <a:xfrm>
                      <a:off x="0" y="0"/>
                      <a:ext cx="5267960" cy="648335"/>
                    </a:xfrm>
                    <a:prstGeom prst="rect">
                      <a:avLst/>
                    </a:prstGeom>
                    <a:noFill/>
                    <a:ln>
                      <a:noFill/>
                    </a:ln>
                  </pic:spPr>
                </pic:pic>
              </a:graphicData>
            </a:graphic>
          </wp:inline>
        </w:drawing>
      </w:r>
    </w:p>
    <w:p>
      <w:pPr>
        <w:autoSpaceDE w:val="0"/>
        <w:autoSpaceDN w:val="0"/>
        <w:adjustRightInd w:val="0"/>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项目组资金使用严格遵守《四川钒钛产业技术研究院财务管理办法》、《四川钒钛产业技术研究院预算管理办法》，按照研究院规定的审批及报销流程严格实施。</w:t>
      </w:r>
    </w:p>
    <w:p>
      <w:pPr>
        <w:numPr>
          <w:ilvl w:val="0"/>
          <w:numId w:val="8"/>
        </w:numPr>
        <w:adjustRightInd w:val="0"/>
        <w:snapToGrid w:val="0"/>
        <w:spacing w:line="600" w:lineRule="exact"/>
        <w:ind w:firstLine="720"/>
        <w:rPr>
          <w:rFonts w:eastAsia="楷体_GB2312"/>
          <w:b/>
          <w:sz w:val="32"/>
          <w:szCs w:val="32"/>
          <w:lang w:val="zh-CN"/>
        </w:rPr>
      </w:pPr>
      <w:r>
        <w:rPr>
          <w:rFonts w:eastAsia="楷体_GB2312"/>
          <w:b/>
          <w:sz w:val="32"/>
          <w:szCs w:val="32"/>
          <w:lang w:val="zh-CN"/>
        </w:rPr>
        <w:t>项目管理情况。</w:t>
      </w:r>
    </w:p>
    <w:p>
      <w:pPr>
        <w:pStyle w:val="16"/>
        <w:numPr>
          <w:ilvl w:val="0"/>
          <w:numId w:val="0"/>
        </w:numPr>
        <w:rPr>
          <w:rFonts w:hint="default" w:ascii="仿宋_GB2312" w:hAnsi="仿宋_GB2312" w:eastAsia="仿宋_GB2312" w:cs="仿宋_GB2312"/>
          <w:kern w:val="2"/>
          <w:sz w:val="32"/>
          <w:szCs w:val="32"/>
          <w:lang w:val="en-US" w:eastAsia="zh-CN" w:bidi="ar-SA"/>
        </w:rPr>
      </w:pPr>
      <w:r>
        <w:rPr>
          <w:rFonts w:hint="eastAsia"/>
          <w:sz w:val="32"/>
          <w:szCs w:val="32"/>
          <w:lang w:val="en-US" w:eastAsia="zh-CN"/>
        </w:rPr>
        <w:t xml:space="preserve">    </w:t>
      </w:r>
      <w:r>
        <w:rPr>
          <w:rFonts w:hint="eastAsia" w:ascii="仿宋_GB2312" w:hAnsi="仿宋_GB2312" w:eastAsia="仿宋_GB2312" w:cs="仿宋_GB2312"/>
          <w:kern w:val="2"/>
          <w:sz w:val="32"/>
          <w:szCs w:val="32"/>
          <w:lang w:val="en-US" w:eastAsia="zh-CN" w:bidi="ar-SA"/>
        </w:rPr>
        <w:t>本项目严格按照四川钒钛产业技术研究院科研项目管理办法执行。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（三）项目监管情况。</w:t>
      </w:r>
    </w:p>
    <w:p>
      <w:pPr>
        <w:autoSpaceDE w:val="0"/>
        <w:autoSpaceDN w:val="0"/>
        <w:adjustRightInd w:val="0"/>
        <w:spacing w:line="600" w:lineRule="exact"/>
        <w:ind w:firstLine="640" w:firstLineChars="200"/>
        <w:jc w:val="left"/>
        <w:rPr>
          <w:rFonts w:hint="default" w:eastAsia="楷体_GB2312"/>
          <w:sz w:val="32"/>
          <w:szCs w:val="32"/>
          <w:lang w:val="en-US" w:eastAsia="zh-CN"/>
        </w:rPr>
      </w:pPr>
      <w:r>
        <w:rPr>
          <w:rFonts w:hint="eastAsia" w:ascii="仿宋_GB2312" w:hAnsi="仿宋_GB2312" w:eastAsia="仿宋_GB2312" w:cs="仿宋_GB2312"/>
          <w:sz w:val="32"/>
          <w:szCs w:val="32"/>
        </w:rPr>
        <w:t>一是强化市级主管部门监管。攀枝花市科技局定期不定期采取现场考察、听取汇报等方式动态跟进相关项目实施情况，并协调解决项目执行中存在的问题。</w:t>
      </w:r>
      <w:r>
        <w:rPr>
          <w:rFonts w:hint="eastAsia" w:ascii="仿宋_GB2312" w:hAnsi="仿宋_GB2312" w:eastAsia="仿宋_GB2312" w:cs="仿宋_GB2312"/>
          <w:sz w:val="32"/>
          <w:szCs w:val="32"/>
          <w:lang w:eastAsia="zh-CN"/>
        </w:rPr>
        <w:t>二是加强承担单位监管。</w:t>
      </w:r>
      <w:r>
        <w:rPr>
          <w:rFonts w:hint="eastAsia" w:ascii="仿宋_GB2312" w:hAnsi="仿宋_GB2312" w:eastAsia="仿宋_GB2312" w:cs="仿宋_GB2312"/>
          <w:sz w:val="32"/>
          <w:szCs w:val="32"/>
        </w:rPr>
        <w:t>四川钒钛产业技术研究院制订了完整而齐备的项目资金使用管理方法、实验室安全管理办法等保证了实验项目在有法可依有据可行的条件下开展；同时，钒钛产业技术研究院对实验室安全管理负责，每月一次安全检查，安全监督到位；钒钛产业技术研究院每月一次检查项目开展情况，督促项目按进度正常实施。</w:t>
      </w:r>
    </w:p>
    <w:p>
      <w:pPr>
        <w:adjustRightInd w:val="0"/>
        <w:snapToGrid w:val="0"/>
        <w:spacing w:line="600" w:lineRule="exact"/>
        <w:ind w:firstLine="720"/>
        <w:rPr>
          <w:sz w:val="32"/>
          <w:szCs w:val="32"/>
          <w:lang w:val="zh-CN"/>
        </w:rPr>
      </w:pPr>
      <w:r>
        <w:rPr>
          <w:rFonts w:eastAsia="黑体"/>
          <w:sz w:val="32"/>
          <w:szCs w:val="32"/>
        </w:rPr>
        <w:t>四、项目绩效情况</w:t>
      </w:r>
      <w:r>
        <w:rPr>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通过优化喷吹系统突破气雾化制备粉体过程中的粒度、流动性和形貌控制等关键技术，制备出粉体粒度为45～150μm的比例≥60%、球形度≥90%、流动性≤20g/s的含钒钛熔覆材料；通过分析自制粉体熔覆于锻钢轧辊的熔覆层综合性能进一步优化熔覆材料成分、制备和熔覆工艺。</w:t>
      </w:r>
    </w:p>
    <w:p>
      <w:pPr>
        <w:numPr>
          <w:ilvl w:val="0"/>
          <w:numId w:val="8"/>
        </w:numPr>
        <w:adjustRightInd w:val="0"/>
        <w:snapToGrid w:val="0"/>
        <w:spacing w:line="600" w:lineRule="exact"/>
        <w:ind w:left="0" w:leftChars="0" w:firstLine="720" w:firstLineChars="0"/>
        <w:rPr>
          <w:rFonts w:eastAsia="楷体_GB2312"/>
          <w:b/>
          <w:sz w:val="32"/>
          <w:szCs w:val="32"/>
          <w:lang w:val="zh-CN"/>
        </w:rPr>
      </w:pPr>
      <w:r>
        <w:rPr>
          <w:rFonts w:eastAsia="楷体_GB2312"/>
          <w:b/>
          <w:sz w:val="32"/>
          <w:szCs w:val="32"/>
          <w:lang w:val="zh-CN"/>
        </w:rPr>
        <w:t>项目效益情况。</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本项目通过实施，可以提高项目成员的研发能力，推动当地经济社会的发展。本研究发表的学术论文和申请的发明专利可为相关研究提供借鉴，促进科技进步。</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540" w:lineRule="exact"/>
        <w:ind w:firstLine="640" w:firstLineChars="200"/>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本项目通过实施，将填补为工业关键部件修复及再制造研发、生产专用含钒钛熔覆粉体材料的空白，首次在本地通过激光修复型材轧制关键部件锻钢轧辊，使其成本低于目前采用埋弧堆焊技术的修复成本，解决现有修复方法中存在的周期长、能耗高、作业环境不友好等问题，更重要的是还可降低碳排放，还可以本项目研究成果作为基础，继续研发其它类型工业关键修复及再制造所需的专用含钒钛粉体材料。因此，实施本项目意义重大。</w:t>
      </w:r>
    </w:p>
    <w:p>
      <w:pPr>
        <w:numPr>
          <w:ilvl w:val="0"/>
          <w:numId w:val="9"/>
        </w:numPr>
        <w:adjustRightInd w:val="0"/>
        <w:snapToGrid w:val="0"/>
        <w:spacing w:line="600" w:lineRule="exact"/>
        <w:ind w:firstLine="720"/>
        <w:rPr>
          <w:rFonts w:eastAsia="楷体_GB2312"/>
          <w:b/>
          <w:sz w:val="32"/>
          <w:szCs w:val="32"/>
          <w:lang w:val="zh-CN"/>
        </w:rPr>
      </w:pPr>
      <w:r>
        <w:rPr>
          <w:rFonts w:eastAsia="楷体_GB2312"/>
          <w:b/>
          <w:sz w:val="32"/>
          <w:szCs w:val="32"/>
          <w:lang w:val="zh-CN"/>
        </w:rPr>
        <w:t>存在的问题。</w:t>
      </w:r>
    </w:p>
    <w:p>
      <w:pPr>
        <w:adjustRightInd w:val="0"/>
        <w:snapToGrid w:val="0"/>
        <w:spacing w:line="540" w:lineRule="exact"/>
        <w:ind w:firstLine="640" w:firstLineChars="200"/>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本项目实验室研究工作按年度计划正常开展，2022年新冠疫情假期实验室诸多检测设备不开放，学生不能在学校推进试样研究，对实验进度有一定的影响，目前开展的工作中以计算机模拟部分居多。</w:t>
      </w:r>
    </w:p>
    <w:p>
      <w:pPr>
        <w:numPr>
          <w:ilvl w:val="0"/>
          <w:numId w:val="0"/>
        </w:numPr>
        <w:adjustRightInd w:val="0"/>
        <w:snapToGrid w:val="0"/>
        <w:spacing w:line="600" w:lineRule="exact"/>
        <w:rPr>
          <w:rFonts w:hint="eastAsia" w:eastAsia="楷体_GB2312"/>
          <w:b/>
          <w:sz w:val="32"/>
          <w:szCs w:val="32"/>
          <w:lang w:val="zh-CN" w:eastAsia="zh-CN"/>
        </w:rPr>
      </w:pPr>
      <w:r>
        <w:rPr>
          <w:rFonts w:hint="eastAsia" w:eastAsia="楷体_GB2312"/>
          <w:b/>
          <w:sz w:val="32"/>
          <w:szCs w:val="32"/>
          <w:lang w:val="en-US" w:eastAsia="zh-CN"/>
        </w:rPr>
        <w:t xml:space="preserve">    </w:t>
      </w:r>
      <w:r>
        <w:rPr>
          <w:rFonts w:hint="eastAsia" w:eastAsia="楷体_GB2312"/>
          <w:b/>
          <w:sz w:val="32"/>
          <w:szCs w:val="32"/>
          <w:lang w:val="zh-CN" w:eastAsia="zh-CN"/>
        </w:rPr>
        <w:t>（三）相关建议。</w:t>
      </w:r>
    </w:p>
    <w:p>
      <w:pPr>
        <w:rPr>
          <w:rFonts w:hint="default" w:ascii="方正小标宋简体" w:hAnsi="方正小标宋简体" w:eastAsia="方正小标宋简体" w:cs="方正小标宋简体"/>
          <w:color w:val="auto"/>
          <w:kern w:val="2"/>
          <w:sz w:val="32"/>
          <w:szCs w:val="32"/>
          <w:lang w:val="en-US" w:eastAsia="zh-CN"/>
        </w:rPr>
      </w:pPr>
      <w:r>
        <w:rPr>
          <w:rFonts w:hint="default"/>
          <w:sz w:val="32"/>
          <w:szCs w:val="32"/>
          <w:lang w:val="en"/>
        </w:rPr>
        <w:t xml:space="preserve">    </w:t>
      </w:r>
      <w:r>
        <w:rPr>
          <w:rFonts w:hint="eastAsia"/>
          <w:sz w:val="32"/>
          <w:szCs w:val="32"/>
          <w:lang w:val="en" w:eastAsia="zh-CN"/>
        </w:rPr>
        <w:t>无。</w:t>
      </w:r>
    </w:p>
    <w:p>
      <w:pPr>
        <w:adjustRightInd w:val="0"/>
        <w:snapToGrid w:val="0"/>
        <w:spacing w:line="578" w:lineRule="exact"/>
        <w:ind w:firstLine="720"/>
        <w:rPr>
          <w:rFonts w:hint="eastAsia" w:ascii="黑体" w:hAnsi="宋体" w:eastAsia="黑体"/>
          <w:sz w:val="32"/>
          <w:szCs w:val="32"/>
        </w:rPr>
      </w:pPr>
    </w:p>
    <w:p>
      <w:r>
        <w:br w:type="page"/>
      </w:r>
    </w:p>
    <w:p>
      <w:pPr>
        <w:pStyle w:val="38"/>
        <w:spacing w:line="578" w:lineRule="exact"/>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jc w:val="center"/>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（干部教育培训）</w:t>
      </w:r>
    </w:p>
    <w:p>
      <w:pPr>
        <w:keepNext w:val="0"/>
        <w:keepLines w:val="0"/>
        <w:pageBreakBefore w:val="0"/>
        <w:kinsoku/>
        <w:wordWrap/>
        <w:overflowPunct/>
        <w:topLinePunct w:val="0"/>
        <w:bidi w:val="0"/>
        <w:adjustRightInd w:val="0"/>
        <w:snapToGrid w:val="0"/>
        <w:spacing w:line="560" w:lineRule="exact"/>
        <w:ind w:firstLine="720"/>
        <w:rPr>
          <w:rFonts w:hint="eastAsia" w:ascii="黑体" w:eastAsia="黑体"/>
          <w:sz w:val="32"/>
          <w:szCs w:val="32"/>
        </w:rPr>
      </w:pPr>
    </w:p>
    <w:p>
      <w:pPr>
        <w:keepNext w:val="0"/>
        <w:keepLines w:val="0"/>
        <w:pageBreakBefore w:val="0"/>
        <w:kinsoku/>
        <w:wordWrap/>
        <w:overflowPunct/>
        <w:topLinePunct w:val="0"/>
        <w:bidi w:val="0"/>
        <w:adjustRightInd w:val="0"/>
        <w:snapToGrid w:val="0"/>
        <w:spacing w:line="560" w:lineRule="exact"/>
        <w:ind w:firstLine="720"/>
        <w:rPr>
          <w:rFonts w:ascii="黑体" w:eastAsia="黑体"/>
          <w:sz w:val="32"/>
          <w:szCs w:val="32"/>
          <w:lang w:val="zh-CN"/>
        </w:rPr>
      </w:pPr>
      <w:r>
        <w:rPr>
          <w:rFonts w:hint="eastAsia" w:ascii="黑体" w:eastAsia="黑体"/>
          <w:sz w:val="32"/>
          <w:szCs w:val="32"/>
        </w:rPr>
        <w:t>一、</w:t>
      </w:r>
      <w:r>
        <w:rPr>
          <w:rFonts w:hint="eastAsia" w:ascii="黑体" w:eastAsia="黑体"/>
          <w:sz w:val="32"/>
          <w:szCs w:val="32"/>
          <w:lang w:val="zh-CN"/>
        </w:rPr>
        <w:t>项目概况</w:t>
      </w:r>
    </w:p>
    <w:p>
      <w:pPr>
        <w:keepNext w:val="0"/>
        <w:keepLines w:val="0"/>
        <w:pageBreakBefore w:val="0"/>
        <w:kinsoku/>
        <w:wordWrap/>
        <w:overflowPunct/>
        <w:topLinePunct w:val="0"/>
        <w:bidi w:val="0"/>
        <w:adjustRightInd w:val="0"/>
        <w:snapToGrid w:val="0"/>
        <w:spacing w:line="560" w:lineRule="exact"/>
        <w:ind w:firstLine="720"/>
        <w:rPr>
          <w:rFonts w:ascii="仿宋_GB2312"/>
          <w:sz w:val="32"/>
          <w:szCs w:val="32"/>
          <w:lang w:val="zh-CN"/>
        </w:rPr>
      </w:pPr>
      <w:r>
        <w:rPr>
          <w:rFonts w:hint="eastAsia" w:ascii="仿宋_GB2312"/>
          <w:sz w:val="32"/>
          <w:szCs w:val="32"/>
          <w:lang w:val="zh-CN"/>
        </w:rPr>
        <w:t>介绍项目基本情况，重点说明以下内容：</w:t>
      </w:r>
    </w:p>
    <w:p>
      <w:pPr>
        <w:keepNext w:val="0"/>
        <w:keepLines w:val="0"/>
        <w:pageBreakBefore w:val="0"/>
        <w:numPr>
          <w:ilvl w:val="0"/>
          <w:numId w:val="10"/>
        </w:numPr>
        <w:kinsoku/>
        <w:wordWrap/>
        <w:overflowPunct/>
        <w:topLinePunct w:val="0"/>
        <w:autoSpaceDE w:val="0"/>
        <w:autoSpaceDN w:val="0"/>
        <w:bidi w:val="0"/>
        <w:adjustRightInd w:val="0"/>
        <w:spacing w:line="560" w:lineRule="exact"/>
        <w:ind w:left="0" w:firstLine="642" w:firstLineChars="200"/>
        <w:jc w:val="left"/>
        <w:rPr>
          <w:rFonts w:hint="eastAsia" w:ascii="楷体_GB2312" w:eastAsia="楷体_GB2312"/>
          <w:b/>
          <w:sz w:val="32"/>
          <w:szCs w:val="32"/>
          <w:lang w:val="zh-CN"/>
        </w:rPr>
      </w:pPr>
      <w:r>
        <w:rPr>
          <w:rFonts w:hint="eastAsia" w:ascii="楷体_GB2312" w:eastAsia="楷体_GB2312"/>
          <w:b/>
          <w:sz w:val="32"/>
          <w:szCs w:val="32"/>
          <w:lang w:val="zh-CN"/>
        </w:rPr>
        <w:t>项目资金申报及批复情况。</w:t>
      </w:r>
    </w:p>
    <w:p>
      <w:pPr>
        <w:keepNext w:val="0"/>
        <w:keepLines w:val="0"/>
        <w:pageBreakBefore w:val="0"/>
        <w:kinsoku/>
        <w:wordWrap/>
        <w:overflowPunct/>
        <w:topLinePunct w:val="0"/>
        <w:autoSpaceDE w:val="0"/>
        <w:autoSpaceDN w:val="0"/>
        <w:bidi w:val="0"/>
        <w:adjustRightInd w:val="0"/>
        <w:spacing w:line="560" w:lineRule="exact"/>
        <w:jc w:val="left"/>
        <w:rPr>
          <w:rFonts w:ascii="仿宋_GB2312"/>
          <w:sz w:val="32"/>
          <w:szCs w:val="32"/>
          <w:lang w:val="zh-CN"/>
        </w:rPr>
      </w:pPr>
      <w:r>
        <w:rPr>
          <w:rFonts w:hint="eastAsia" w:cs="Times New Roman"/>
          <w:kern w:val="0"/>
          <w:sz w:val="32"/>
          <w:szCs w:val="32"/>
          <w:lang w:val="en-US" w:eastAsia="zh-CN"/>
        </w:rPr>
        <w:t xml:space="preserve">     市科技局2021年干部教育培训项目预算资金申报12万元，批复数12万元</w:t>
      </w:r>
      <w:r>
        <w:rPr>
          <w:rFonts w:hint="eastAsia" w:eastAsia="仿宋_GB2312"/>
          <w:color w:val="000000"/>
          <w:kern w:val="0"/>
          <w:sz w:val="32"/>
          <w:szCs w:val="32"/>
          <w:lang w:val="en-US" w:eastAsia="zh-CN"/>
        </w:rPr>
        <w:t>。</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Chars="200"/>
        <w:jc w:val="left"/>
        <w:rPr>
          <w:rFonts w:ascii="Times New Roman" w:hAnsi="Times New Roman" w:eastAsia="仿宋_GB2312"/>
          <w:kern w:val="0"/>
          <w:sz w:val="32"/>
          <w:szCs w:val="32"/>
        </w:rPr>
      </w:pPr>
      <w:r>
        <w:rPr>
          <w:rFonts w:hint="eastAsia" w:ascii="楷体_GB2312" w:eastAsia="楷体_GB2312"/>
          <w:b/>
          <w:sz w:val="32"/>
          <w:szCs w:val="32"/>
          <w:lang w:val="zh-CN"/>
        </w:rPr>
        <w:t>（二）项目绩效目标</w:t>
      </w:r>
    </w:p>
    <w:p>
      <w:pPr>
        <w:keepNext w:val="0"/>
        <w:keepLines w:val="0"/>
        <w:pageBreakBefore w:val="0"/>
        <w:numPr>
          <w:ilvl w:val="0"/>
          <w:numId w:val="0"/>
        </w:numPr>
        <w:kinsoku/>
        <w:wordWrap/>
        <w:overflowPunct/>
        <w:topLinePunct w:val="0"/>
        <w:autoSpaceDE w:val="0"/>
        <w:autoSpaceDN w:val="0"/>
        <w:bidi w:val="0"/>
        <w:adjustRightInd w:val="0"/>
        <w:spacing w:line="560" w:lineRule="exact"/>
        <w:ind w:left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项目主要内容。</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lang w:eastAsia="zh-CN"/>
        </w:rPr>
        <w:t>该项目用做干部教育培训</w:t>
      </w:r>
      <w:r>
        <w:rPr>
          <w:rFonts w:hint="eastAsia"/>
          <w:kern w:val="0"/>
          <w:sz w:val="32"/>
          <w:szCs w:val="32"/>
          <w:lang w:eastAsia="zh-CN"/>
        </w:rPr>
        <w:t>活动</w:t>
      </w:r>
      <w:r>
        <w:rPr>
          <w:rFonts w:hint="eastAsia" w:ascii="Times New Roman" w:hAnsi="Times New Roman" w:eastAsia="仿宋_GB2312"/>
          <w:kern w:val="0"/>
          <w:sz w:val="32"/>
          <w:szCs w:val="32"/>
          <w:lang w:eastAsia="zh-CN"/>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2．项目应实现的具体绩效目标，包括目标的量化、细化情况以及项目实施进度计划等。</w:t>
      </w:r>
    </w:p>
    <w:p>
      <w:pPr>
        <w:keepNext w:val="0"/>
        <w:keepLines w:val="0"/>
        <w:pageBreakBefore w:val="0"/>
        <w:kinsoku/>
        <w:wordWrap/>
        <w:overflowPunct/>
        <w:topLinePunct w:val="0"/>
        <w:autoSpaceDE w:val="0"/>
        <w:autoSpaceDN w:val="0"/>
        <w:bidi w:val="0"/>
        <w:adjustRightInd w:val="0"/>
        <w:spacing w:line="560" w:lineRule="exact"/>
        <w:ind w:left="0" w:firstLine="640" w:firstLineChars="200"/>
        <w:jc w:val="left"/>
        <w:rPr>
          <w:rFonts w:ascii="仿宋_GB2312"/>
          <w:sz w:val="32"/>
          <w:szCs w:val="32"/>
          <w:lang w:val="zh-CN"/>
        </w:rPr>
      </w:pPr>
      <w:r>
        <w:rPr>
          <w:rFonts w:hint="eastAsia"/>
          <w:kern w:val="0"/>
          <w:sz w:val="32"/>
          <w:szCs w:val="32"/>
          <w:lang w:val="en-US" w:eastAsia="zh-CN"/>
        </w:rPr>
        <w:t>按照活动方案，</w:t>
      </w:r>
      <w:r>
        <w:rPr>
          <w:rFonts w:hint="eastAsia" w:ascii="Times New Roman" w:hAnsi="Times New Roman" w:eastAsia="仿宋_GB2312"/>
          <w:kern w:val="0"/>
          <w:sz w:val="32"/>
          <w:szCs w:val="32"/>
          <w:lang w:val="en-US" w:eastAsia="zh-CN"/>
        </w:rPr>
        <w:t>项目包括调研费、课程费、讲义费、照相费、教学管理费、开学典礼费、茶歇费、证书费、固定设施使用费、现场教学费及相关交通费等与教学相关的费用，2.3万元/天，5天培训共计11.5万元，其他费用0.5万元，培训费统一由局机关专项经费支出。</w:t>
      </w:r>
    </w:p>
    <w:p>
      <w:pPr>
        <w:keepNext w:val="0"/>
        <w:keepLines w:val="0"/>
        <w:pageBreakBefore w:val="0"/>
        <w:kinsoku/>
        <w:wordWrap/>
        <w:overflowPunct/>
        <w:topLinePunct w:val="0"/>
        <w:autoSpaceDE w:val="0"/>
        <w:autoSpaceDN w:val="0"/>
        <w:bidi w:val="0"/>
        <w:adjustRightInd w:val="0"/>
        <w:spacing w:line="560" w:lineRule="exact"/>
        <w:ind w:firstLine="642" w:firstLineChars="200"/>
        <w:jc w:val="left"/>
        <w:rPr>
          <w:rFonts w:ascii="仿宋_GB2312"/>
          <w:sz w:val="32"/>
          <w:szCs w:val="32"/>
          <w:lang w:val="zh-CN"/>
        </w:rPr>
      </w:pPr>
      <w:r>
        <w:rPr>
          <w:rFonts w:hint="eastAsia" w:ascii="楷体_GB2312" w:eastAsia="楷体_GB2312"/>
          <w:b/>
          <w:sz w:val="32"/>
          <w:szCs w:val="32"/>
          <w:lang w:val="zh-CN"/>
        </w:rPr>
        <w:t>（三）项目资金申报相符性。</w:t>
      </w:r>
      <w:r>
        <w:rPr>
          <w:rFonts w:eastAsia="仿宋_GB2312"/>
          <w:kern w:val="0"/>
          <w:sz w:val="32"/>
          <w:szCs w:val="32"/>
        </w:rPr>
        <w:t>申报内容与具体实施内容相符、申报目标合理可行。</w:t>
      </w:r>
    </w:p>
    <w:p>
      <w:pPr>
        <w:keepNext w:val="0"/>
        <w:keepLines w:val="0"/>
        <w:pageBreakBefore w:val="0"/>
        <w:kinsoku/>
        <w:wordWrap/>
        <w:overflowPunct/>
        <w:topLinePunct w:val="0"/>
        <w:bidi w:val="0"/>
        <w:adjustRightInd w:val="0"/>
        <w:snapToGrid w:val="0"/>
        <w:spacing w:line="560" w:lineRule="exact"/>
        <w:ind w:firstLine="720"/>
        <w:rPr>
          <w:rFonts w:ascii="黑体" w:eastAsia="黑体"/>
          <w:sz w:val="32"/>
          <w:szCs w:val="32"/>
        </w:rPr>
      </w:pPr>
      <w:r>
        <w:rPr>
          <w:rFonts w:hint="eastAsia" w:ascii="黑体" w:eastAsia="黑体"/>
          <w:sz w:val="32"/>
          <w:szCs w:val="32"/>
        </w:rPr>
        <w:t>二、项目实施及管理情况</w:t>
      </w:r>
    </w:p>
    <w:p>
      <w:pPr>
        <w:keepNext w:val="0"/>
        <w:keepLines w:val="0"/>
        <w:pageBreakBefore w:val="0"/>
        <w:kinsoku/>
        <w:wordWrap/>
        <w:overflowPunct/>
        <w:topLinePunct w:val="0"/>
        <w:bidi w:val="0"/>
        <w:adjustRightInd w:val="0"/>
        <w:snapToGrid w:val="0"/>
        <w:spacing w:line="560" w:lineRule="exact"/>
        <w:ind w:firstLine="720"/>
        <w:rPr>
          <w:rFonts w:ascii="楷体_GB2312" w:eastAsia="楷体_GB2312"/>
          <w:b/>
          <w:sz w:val="32"/>
          <w:szCs w:val="32"/>
          <w:lang w:val="zh-CN"/>
        </w:rPr>
      </w:pPr>
      <w:r>
        <w:rPr>
          <w:rFonts w:hint="eastAsia" w:ascii="仿宋_GB2312"/>
          <w:sz w:val="32"/>
          <w:szCs w:val="32"/>
          <w:lang w:val="zh-CN"/>
        </w:rPr>
        <w:tab/>
      </w:r>
      <w:r>
        <w:rPr>
          <w:rFonts w:hint="eastAsia" w:ascii="楷体_GB2312" w:eastAsia="楷体_GB2312"/>
          <w:b/>
          <w:sz w:val="32"/>
          <w:szCs w:val="32"/>
          <w:lang w:val="zh-CN"/>
        </w:rPr>
        <w:t>（一）资金计划、到位及使用情况。</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1．资金计划。</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eastAsia="zh-CN" w:bidi="ar-SA"/>
        </w:rPr>
        <w:t>市科技局</w:t>
      </w:r>
      <w:r>
        <w:rPr>
          <w:rFonts w:ascii="Times New Roman" w:hAnsi="Times New Roman" w:eastAsia="仿宋_GB2312" w:cs="Times New Roman"/>
          <w:kern w:val="0"/>
          <w:sz w:val="32"/>
          <w:szCs w:val="32"/>
          <w:lang w:bidi="ar-SA"/>
        </w:rPr>
        <w:t>干部教育培训项目</w:t>
      </w:r>
      <w:r>
        <w:rPr>
          <w:rFonts w:hint="eastAsia" w:ascii="Times New Roman" w:hAnsi="Times New Roman" w:eastAsia="仿宋_GB2312"/>
          <w:kern w:val="0"/>
          <w:sz w:val="32"/>
          <w:szCs w:val="32"/>
          <w:lang w:eastAsia="zh-CN"/>
        </w:rPr>
        <w:t>主要用途</w:t>
      </w:r>
      <w:r>
        <w:rPr>
          <w:rFonts w:hint="eastAsia" w:ascii="仿宋_GB2312" w:eastAsia="仿宋_GB2312"/>
          <w:sz w:val="32"/>
          <w:szCs w:val="32"/>
        </w:rPr>
        <w:t>2021年“科技创新驱动高质量发展”专题研讨班培训</w:t>
      </w:r>
      <w:r>
        <w:rPr>
          <w:rFonts w:hint="eastAsia" w:ascii="Times New Roman" w:hAnsi="Times New Roman" w:eastAsia="仿宋_GB2312"/>
          <w:kern w:val="0"/>
          <w:sz w:val="32"/>
          <w:szCs w:val="32"/>
          <w:lang w:eastAsia="zh-CN"/>
        </w:rPr>
        <w:t>工作</w:t>
      </w:r>
      <w:r>
        <w:rPr>
          <w:rFonts w:ascii="Times New Roman" w:hAnsi="Times New Roman" w:eastAsia="仿宋_GB2312" w:cs="Times New Roman"/>
          <w:kern w:val="0"/>
          <w:sz w:val="32"/>
          <w:szCs w:val="32"/>
          <w:lang w:val="en-US" w:eastAsia="zh-CN" w:bidi="ar-SA"/>
        </w:rPr>
        <w:t>。</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2．资金到位。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hint="eastAsia" w:ascii="Times New Roman" w:hAnsi="Times New Roman" w:eastAsia="仿宋_GB2312" w:cs="Times New Roman"/>
          <w:kern w:val="0"/>
          <w:sz w:val="32"/>
          <w:szCs w:val="32"/>
          <w:lang w:eastAsia="zh-CN" w:bidi="ar-SA"/>
        </w:rPr>
      </w:pPr>
      <w:r>
        <w:rPr>
          <w:rFonts w:hint="eastAsia" w:ascii="Times New Roman" w:hAnsi="Times New Roman" w:eastAsia="仿宋_GB2312" w:cs="Times New Roman"/>
          <w:kern w:val="0"/>
          <w:sz w:val="32"/>
          <w:szCs w:val="32"/>
          <w:lang w:eastAsia="zh-CN" w:bidi="ar-SA"/>
        </w:rPr>
        <w:t>根据(攀财资教〔202</w:t>
      </w: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eastAsia="zh-CN" w:bidi="ar-SA"/>
        </w:rPr>
        <w:t>〕</w:t>
      </w:r>
      <w:r>
        <w:rPr>
          <w:rFonts w:hint="default" w:ascii="Times New Roman" w:hAnsi="Times New Roman" w:eastAsia="仿宋_GB2312" w:cs="Times New Roman"/>
          <w:kern w:val="0"/>
          <w:sz w:val="32"/>
          <w:szCs w:val="32"/>
          <w:lang w:val="en" w:eastAsia="zh-CN" w:bidi="ar-SA"/>
        </w:rPr>
        <w:t>14</w:t>
      </w:r>
      <w:r>
        <w:rPr>
          <w:rFonts w:hint="eastAsia" w:ascii="Times New Roman" w:hAnsi="Times New Roman" w:eastAsia="仿宋_GB2312" w:cs="Times New Roman"/>
          <w:kern w:val="0"/>
          <w:sz w:val="32"/>
          <w:szCs w:val="32"/>
          <w:lang w:eastAsia="zh-CN" w:bidi="ar-SA"/>
        </w:rPr>
        <w:t>号),于2022年</w:t>
      </w:r>
      <w:r>
        <w:rPr>
          <w:rFonts w:hint="eastAsia" w:ascii="Times New Roman" w:hAnsi="Times New Roman" w:eastAsia="仿宋_GB2312" w:cs="Times New Roman"/>
          <w:kern w:val="0"/>
          <w:sz w:val="32"/>
          <w:szCs w:val="32"/>
          <w:lang w:val="en-US" w:eastAsia="zh-CN" w:bidi="ar-SA"/>
        </w:rPr>
        <w:t>4</w:t>
      </w:r>
      <w:r>
        <w:rPr>
          <w:rFonts w:hint="eastAsia" w:ascii="Times New Roman" w:hAnsi="Times New Roman" w:eastAsia="仿宋_GB2312" w:cs="Times New Roman"/>
          <w:kern w:val="0"/>
          <w:sz w:val="32"/>
          <w:szCs w:val="32"/>
          <w:lang w:eastAsia="zh-CN" w:bidi="ar-SA"/>
        </w:rPr>
        <w:t>月，计划资金全部到位，共计</w:t>
      </w:r>
      <w:r>
        <w:rPr>
          <w:rFonts w:hint="eastAsia" w:ascii="Times New Roman" w:hAnsi="Times New Roman" w:eastAsia="仿宋_GB2312" w:cs="Times New Roman"/>
          <w:kern w:val="0"/>
          <w:sz w:val="32"/>
          <w:szCs w:val="32"/>
          <w:lang w:val="en-US" w:eastAsia="zh-CN" w:bidi="ar-SA"/>
        </w:rPr>
        <w:t>12</w:t>
      </w:r>
      <w:r>
        <w:rPr>
          <w:rFonts w:hint="eastAsia" w:ascii="Times New Roman" w:hAnsi="Times New Roman" w:eastAsia="仿宋_GB2312" w:cs="Times New Roman"/>
          <w:kern w:val="0"/>
          <w:sz w:val="32"/>
          <w:szCs w:val="32"/>
          <w:lang w:eastAsia="zh-CN" w:bidi="ar-SA"/>
        </w:rPr>
        <w:t>万元。</w:t>
      </w:r>
    </w:p>
    <w:p>
      <w:pPr>
        <w:keepNext w:val="0"/>
        <w:keepLines w:val="0"/>
        <w:pageBreakBefore w:val="0"/>
        <w:numPr>
          <w:ilvl w:val="0"/>
          <w:numId w:val="11"/>
        </w:numPr>
        <w:kinsoku/>
        <w:wordWrap/>
        <w:overflowPunct/>
        <w:topLinePunct w:val="0"/>
        <w:autoSpaceDE w:val="0"/>
        <w:autoSpaceDN w:val="0"/>
        <w:bidi w:val="0"/>
        <w:adjustRightInd w:val="0"/>
        <w:spacing w:line="560" w:lineRule="exact"/>
        <w:ind w:left="0"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资金使用。</w:t>
      </w:r>
    </w:p>
    <w:tbl>
      <w:tblPr>
        <w:tblStyle w:val="18"/>
        <w:tblpPr w:leftFromText="180" w:rightFromText="180" w:vertAnchor="text" w:horzAnchor="page" w:tblpX="1590" w:tblpY="547"/>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2610"/>
        <w:gridCol w:w="27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0"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suppressLineNumbers w:val="0"/>
              <w:kinsoku/>
              <w:wordWrap/>
              <w:overflowPunct/>
              <w:topLinePunct w:val="0"/>
              <w:autoSpaceDE w:val="0"/>
              <w:autoSpaceDN w:val="0"/>
              <w:bidi w:val="0"/>
              <w:adjustRightInd w:val="0"/>
              <w:spacing w:line="560" w:lineRule="exact"/>
              <w:jc w:val="center"/>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bidi="ar-SA"/>
              </w:rPr>
              <w:t>干部教育培训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560" w:lineRule="exact"/>
              <w:jc w:val="center"/>
              <w:rPr>
                <w:rFonts w:ascii="Times New Roman" w:hAnsi="Times New Roman" w:eastAsia="仿宋_GB2312"/>
                <w:kern w:val="0"/>
                <w:sz w:val="32"/>
                <w:szCs w:val="32"/>
                <w:vertAlign w:val="baseline"/>
                <w:lang w:val="en-US" w:eastAsia="zh-CN"/>
              </w:rPr>
            </w:pPr>
            <w:r>
              <w:rPr>
                <w:rFonts w:hint="eastAsia" w:ascii="Times New Roman" w:hAnsi="Times New Roman" w:eastAsia="仿宋_GB2312"/>
                <w:kern w:val="0"/>
                <w:sz w:val="32"/>
                <w:szCs w:val="32"/>
                <w:vertAlign w:val="baseline"/>
                <w:lang w:val="en-US" w:eastAsia="zh-CN"/>
              </w:rPr>
              <w:t>资金计划（万元）</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560" w:lineRule="exact"/>
              <w:jc w:val="center"/>
              <w:rPr>
                <w:rFonts w:ascii="Times New Roman" w:hAnsi="Times New Roman" w:eastAsia="仿宋_GB2312"/>
                <w:kern w:val="0"/>
                <w:sz w:val="32"/>
                <w:szCs w:val="32"/>
                <w:vertAlign w:val="baseline"/>
                <w:lang w:val="en-US" w:eastAsia="zh-CN"/>
              </w:rPr>
            </w:pPr>
            <w:r>
              <w:rPr>
                <w:rFonts w:hint="eastAsia" w:ascii="Times New Roman" w:hAnsi="Times New Roman" w:eastAsia="仿宋_GB2312"/>
                <w:kern w:val="0"/>
                <w:sz w:val="32"/>
                <w:szCs w:val="32"/>
                <w:vertAlign w:val="baseline"/>
                <w:lang w:val="en-US" w:eastAsia="zh-CN"/>
              </w:rPr>
              <w:t>资金到位（万元）</w:t>
            </w:r>
          </w:p>
        </w:tc>
        <w:tc>
          <w:tcPr>
            <w:tcW w:w="392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560" w:lineRule="exact"/>
              <w:jc w:val="center"/>
              <w:textAlignment w:val="auto"/>
              <w:rPr>
                <w:rFonts w:hint="eastAsia" w:ascii="Times New Roman" w:hAnsi="Times New Roman" w:eastAsia="仿宋_GB2312" w:cs="Times New Roman"/>
                <w:i w:val="0"/>
                <w:iCs w:val="0"/>
                <w:color w:val="000000"/>
                <w:kern w:val="0"/>
                <w:sz w:val="32"/>
                <w:szCs w:val="32"/>
                <w:u w:val="none"/>
                <w:lang w:val="en-US" w:eastAsia="zh-CN"/>
              </w:rPr>
            </w:pPr>
            <w:r>
              <w:rPr>
                <w:rFonts w:hint="eastAsia" w:ascii="Times New Roman" w:hAnsi="Times New Roman" w:eastAsia="仿宋_GB2312" w:cs="Times New Roman"/>
                <w:i w:val="0"/>
                <w:iCs w:val="0"/>
                <w:color w:val="000000"/>
                <w:kern w:val="0"/>
                <w:sz w:val="32"/>
                <w:szCs w:val="32"/>
                <w:u w:val="none"/>
                <w:lang w:val="en-US" w:eastAsia="zh-CN"/>
              </w:rPr>
              <w:t>资金使用（万元）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266" w:type="dxa"/>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560" w:lineRule="exact"/>
              <w:jc w:val="center"/>
              <w:rPr>
                <w:rFonts w:ascii="Times New Roman" w:hAnsi="Times New Roman" w:eastAsia="仿宋_GB2312"/>
                <w:kern w:val="0"/>
                <w:sz w:val="32"/>
                <w:szCs w:val="32"/>
                <w:vertAlign w:val="baseline"/>
                <w:lang w:val="en-US" w:eastAsia="zh-CN"/>
              </w:rPr>
            </w:pPr>
            <w:r>
              <w:rPr>
                <w:rFonts w:hint="eastAsia" w:cs="Times New Roman"/>
                <w:kern w:val="0"/>
                <w:sz w:val="32"/>
                <w:szCs w:val="32"/>
                <w:lang w:val="en-US" w:eastAsia="zh-CN"/>
              </w:rPr>
              <w:t>12</w:t>
            </w:r>
          </w:p>
        </w:tc>
        <w:tc>
          <w:tcPr>
            <w:tcW w:w="2610" w:type="dxa"/>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pacing w:line="560" w:lineRule="exact"/>
              <w:jc w:val="center"/>
              <w:rPr>
                <w:rFonts w:ascii="Times New Roman" w:hAnsi="Times New Roman" w:eastAsia="仿宋_GB2312"/>
                <w:kern w:val="0"/>
                <w:sz w:val="32"/>
                <w:szCs w:val="32"/>
                <w:vertAlign w:val="baseline"/>
                <w:lang w:val="en-US" w:eastAsia="zh-CN"/>
              </w:rPr>
            </w:pPr>
            <w:r>
              <w:rPr>
                <w:rFonts w:hint="eastAsia" w:cs="Times New Roman"/>
                <w:kern w:val="0"/>
                <w:sz w:val="32"/>
                <w:szCs w:val="32"/>
                <w:lang w:val="en-US" w:eastAsia="zh-CN"/>
              </w:rPr>
              <w:t>12</w:t>
            </w:r>
          </w:p>
        </w:tc>
        <w:tc>
          <w:tcPr>
            <w:tcW w:w="2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eastAsia="仿宋_GB2312" w:cs="仿宋_GB2312"/>
                <w:kern w:val="0"/>
                <w:sz w:val="32"/>
                <w:szCs w:val="32"/>
                <w:vertAlign w:val="baseline"/>
                <w:lang w:val="en-US" w:eastAsia="zh-CN"/>
              </w:rPr>
            </w:pPr>
            <w:r>
              <w:rPr>
                <w:rFonts w:hint="eastAsia" w:ascii="仿宋_GB2312" w:eastAsia="仿宋_GB2312" w:cs="仿宋_GB2312"/>
                <w:kern w:val="0"/>
                <w:sz w:val="32"/>
                <w:szCs w:val="32"/>
                <w:vertAlign w:val="baseline"/>
                <w:lang w:val="en-US" w:eastAsia="zh-CN"/>
              </w:rPr>
              <w:t>“科技创新驱动高质量发展”专题研讨班培训费</w:t>
            </w:r>
          </w:p>
        </w:tc>
        <w:tc>
          <w:tcPr>
            <w:tcW w:w="11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ascii="仿宋_GB2312" w:eastAsia="仿宋_GB2312" w:cs="仿宋_GB2312"/>
                <w:kern w:val="0"/>
                <w:sz w:val="32"/>
                <w:szCs w:val="32"/>
                <w:vertAlign w:val="baseline"/>
                <w:lang w:val="en-US" w:eastAsia="zh-CN"/>
              </w:rPr>
            </w:pPr>
            <w:r>
              <w:rPr>
                <w:rFonts w:hint="eastAsia" w:ascii="仿宋_GB2312" w:cs="仿宋_GB2312"/>
                <w:kern w:val="0"/>
                <w:sz w:val="32"/>
                <w:szCs w:val="32"/>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266"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sz w:val="32"/>
                <w:szCs w:val="32"/>
              </w:rPr>
            </w:pPr>
          </w:p>
        </w:tc>
        <w:tc>
          <w:tcPr>
            <w:tcW w:w="2610"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sz w:val="32"/>
                <w:szCs w:val="32"/>
              </w:rPr>
            </w:pPr>
          </w:p>
        </w:tc>
        <w:tc>
          <w:tcPr>
            <w:tcW w:w="2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eastAsia="仿宋_GB2312" w:cs="仿宋_GB2312"/>
                <w:kern w:val="0"/>
                <w:sz w:val="32"/>
                <w:szCs w:val="32"/>
                <w:vertAlign w:val="baseline"/>
                <w:lang w:val="en-US" w:eastAsia="zh-CN"/>
              </w:rPr>
            </w:pPr>
            <w:r>
              <w:rPr>
                <w:rFonts w:hint="eastAsia" w:ascii="仿宋_GB2312" w:cs="仿宋_GB2312"/>
                <w:kern w:val="0"/>
                <w:sz w:val="32"/>
                <w:szCs w:val="32"/>
                <w:vertAlign w:val="baseline"/>
                <w:lang w:val="en-US" w:eastAsia="zh-CN"/>
              </w:rPr>
              <w:t>培训资料印制费</w:t>
            </w:r>
          </w:p>
        </w:tc>
        <w:tc>
          <w:tcPr>
            <w:tcW w:w="11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default" w:ascii="仿宋_GB2312" w:eastAsia="仿宋_GB2312" w:cs="仿宋_GB2312"/>
                <w:kern w:val="0"/>
                <w:sz w:val="32"/>
                <w:szCs w:val="32"/>
                <w:vertAlign w:val="baseline"/>
                <w:lang w:val="en-US" w:eastAsia="zh-CN"/>
              </w:rPr>
            </w:pPr>
            <w:r>
              <w:rPr>
                <w:rFonts w:hint="eastAsia" w:ascii="仿宋_GB2312" w:cs="仿宋_GB2312"/>
                <w:kern w:val="0"/>
                <w:sz w:val="32"/>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66" w:type="dxa"/>
            <w:vMerge w:val="continue"/>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bidi w:val="0"/>
              <w:spacing w:line="560" w:lineRule="exact"/>
              <w:rPr>
                <w:sz w:val="32"/>
                <w:szCs w:val="32"/>
              </w:rPr>
            </w:pPr>
          </w:p>
        </w:tc>
        <w:tc>
          <w:tcPr>
            <w:tcW w:w="2610" w:type="dxa"/>
            <w:vMerge w:val="continue"/>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bidi w:val="0"/>
              <w:spacing w:line="560" w:lineRule="exact"/>
              <w:rPr>
                <w:sz w:val="32"/>
                <w:szCs w:val="32"/>
              </w:rPr>
            </w:pPr>
          </w:p>
        </w:tc>
        <w:tc>
          <w:tcPr>
            <w:tcW w:w="27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仿宋_GB2312" w:eastAsia="仿宋_GB2312" w:cs="仿宋_GB2312"/>
                <w:kern w:val="0"/>
                <w:sz w:val="32"/>
                <w:szCs w:val="32"/>
                <w:vertAlign w:val="baseline"/>
                <w:lang w:val="en-US" w:eastAsia="zh-CN"/>
              </w:rPr>
            </w:pPr>
            <w:r>
              <w:rPr>
                <w:rFonts w:hint="eastAsia" w:ascii="仿宋_GB2312" w:eastAsia="仿宋_GB2312" w:cs="仿宋_GB2312"/>
                <w:kern w:val="0"/>
                <w:sz w:val="32"/>
                <w:szCs w:val="32"/>
                <w:vertAlign w:val="baseline"/>
                <w:lang w:val="en-US" w:eastAsia="zh-CN"/>
              </w:rPr>
              <w:t>合计</w:t>
            </w:r>
          </w:p>
        </w:tc>
        <w:tc>
          <w:tcPr>
            <w:tcW w:w="11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ascii="仿宋_GB2312" w:eastAsia="仿宋_GB2312" w:cs="仿宋_GB2312"/>
                <w:kern w:val="0"/>
                <w:sz w:val="32"/>
                <w:szCs w:val="32"/>
                <w:vertAlign w:val="baseline"/>
                <w:lang w:val="en-US" w:eastAsia="zh-CN"/>
              </w:rPr>
            </w:pPr>
            <w:r>
              <w:rPr>
                <w:rFonts w:hint="eastAsia" w:cs="Times New Roman"/>
                <w:kern w:val="0"/>
                <w:sz w:val="32"/>
                <w:szCs w:val="32"/>
                <w:lang w:val="en-US" w:eastAsia="zh-CN"/>
              </w:rPr>
              <w:t>12</w:t>
            </w:r>
          </w:p>
        </w:tc>
      </w:tr>
    </w:tbl>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hint="eastAsia" w:ascii="Calibri" w:hAnsi="Calibri" w:eastAsia="仿宋_GB2312" w:cs="Times New Roman"/>
          <w:color w:val="000000"/>
          <w:kern w:val="0"/>
          <w:sz w:val="32"/>
          <w:szCs w:val="32"/>
        </w:rPr>
      </w:pPr>
      <w:r>
        <w:rPr>
          <w:rFonts w:ascii="Times New Roman" w:hAnsi="Times New Roman" w:eastAsia="仿宋_GB2312" w:cs="Times New Roman"/>
          <w:kern w:val="0"/>
          <w:sz w:val="32"/>
          <w:szCs w:val="32"/>
          <w:lang w:eastAsia="zh-CN"/>
        </w:rPr>
        <w:t>市科技局干部教育培训项目计划财政资金12万元，资金到位12万元，到位率100%，全年资金使用12万元，完全按照资金计划标准支付，与预算完全相符，支付依据等合规合法。</w:t>
      </w:r>
    </w:p>
    <w:p>
      <w:pPr>
        <w:keepNext w:val="0"/>
        <w:keepLines w:val="0"/>
        <w:pageBreakBefore w:val="0"/>
        <w:kinsoku/>
        <w:wordWrap/>
        <w:overflowPunct/>
        <w:topLinePunct w:val="0"/>
        <w:bidi w:val="0"/>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（二）项目财务管理情况。</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hint="eastAsia" w:ascii="仿宋_GB2312" w:eastAsia="仿宋_GB2312" w:cs="仿宋_GB2312"/>
          <w:color w:val="000000"/>
          <w:kern w:val="0"/>
          <w:sz w:val="32"/>
          <w:szCs w:val="32"/>
        </w:rPr>
      </w:pPr>
      <w:r>
        <w:rPr>
          <w:rFonts w:hint="eastAsia" w:cs="Times New Roman"/>
          <w:kern w:val="0"/>
          <w:sz w:val="32"/>
          <w:szCs w:val="32"/>
          <w:lang w:eastAsia="zh-CN"/>
        </w:rPr>
        <w:t>项目费用</w:t>
      </w:r>
      <w:r>
        <w:rPr>
          <w:rFonts w:hint="eastAsia" w:ascii="仿宋_GB2312" w:eastAsia="仿宋_GB2312"/>
          <w:kern w:val="0"/>
          <w:sz w:val="32"/>
          <w:szCs w:val="32"/>
          <w:lang w:eastAsia="zh-CN"/>
        </w:rPr>
        <w:t>使用范围符合项目规定，</w:t>
      </w:r>
      <w:r>
        <w:rPr>
          <w:rFonts w:hint="eastAsia" w:ascii="仿宋_GB2312" w:eastAsia="仿宋_GB2312"/>
          <w:kern w:val="0"/>
          <w:sz w:val="32"/>
          <w:szCs w:val="32"/>
        </w:rPr>
        <w:t>采取授权支付形式，严格按照项目资金管理办法对资金进行计划申请、划拨、使用，</w:t>
      </w:r>
      <w:r>
        <w:rPr>
          <w:rFonts w:hint="eastAsia" w:ascii="仿宋_GB2312" w:eastAsia="仿宋_GB2312" w:cs="仿宋_GB2312"/>
          <w:color w:val="000000"/>
          <w:kern w:val="0"/>
          <w:sz w:val="32"/>
          <w:szCs w:val="32"/>
        </w:rPr>
        <w:t>所有的支付严格按照</w:t>
      </w:r>
      <w:r>
        <w:rPr>
          <w:rFonts w:hint="eastAsia" w:ascii="仿宋_GB2312" w:eastAsia="仿宋_GB2312" w:cs="仿宋_GB2312"/>
          <w:color w:val="000000"/>
          <w:kern w:val="0"/>
          <w:sz w:val="32"/>
          <w:szCs w:val="32"/>
          <w:lang w:eastAsia="zh-CN"/>
        </w:rPr>
        <w:t>预算</w:t>
      </w:r>
      <w:r>
        <w:rPr>
          <w:rFonts w:hint="eastAsia" w:ascii="仿宋_GB2312" w:eastAsia="仿宋_GB2312" w:cs="仿宋_GB2312"/>
          <w:color w:val="000000"/>
          <w:kern w:val="0"/>
          <w:sz w:val="32"/>
          <w:szCs w:val="32"/>
        </w:rPr>
        <w:t>安排的资金执行，账务处理及时，会计核算规范。</w:t>
      </w:r>
    </w:p>
    <w:p>
      <w:pPr>
        <w:keepNext w:val="0"/>
        <w:keepLines w:val="0"/>
        <w:pageBreakBefore w:val="0"/>
        <w:kinsoku/>
        <w:wordWrap/>
        <w:overflowPunct/>
        <w:topLinePunct w:val="0"/>
        <w:bidi w:val="0"/>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（三）项目组织实施情况。</w:t>
      </w:r>
    </w:p>
    <w:p>
      <w:pPr>
        <w:keepNext w:val="0"/>
        <w:keepLines w:val="0"/>
        <w:pageBreakBefore w:val="0"/>
        <w:kinsoku/>
        <w:wordWrap/>
        <w:overflowPunct/>
        <w:topLinePunct w:val="0"/>
        <w:bidi w:val="0"/>
        <w:adjustRightInd w:val="0"/>
        <w:snapToGrid w:val="0"/>
        <w:spacing w:line="560" w:lineRule="exact"/>
        <w:ind w:firstLine="720"/>
        <w:rPr>
          <w:rFonts w:ascii="Times New Roman" w:hAnsi="Times New Roman" w:eastAsia="仿宋_GB2312" w:cs="Times New Roman"/>
          <w:color w:val="auto"/>
          <w:kern w:val="0"/>
          <w:sz w:val="32"/>
          <w:szCs w:val="32"/>
          <w:lang w:eastAsia="zh-CN" w:bidi="ar-SA"/>
        </w:rPr>
      </w:pPr>
      <w:r>
        <w:rPr>
          <w:rFonts w:ascii="Times New Roman" w:hAnsi="Times New Roman" w:eastAsia="仿宋_GB2312" w:cs="Times New Roman"/>
          <w:color w:val="auto"/>
          <w:kern w:val="0"/>
          <w:sz w:val="32"/>
          <w:szCs w:val="32"/>
          <w:lang w:eastAsia="zh-CN" w:bidi="ar-SA"/>
        </w:rPr>
        <w:t>制定了项目培训方案，严格按照方案流程和要求开展培训工作。</w:t>
      </w:r>
    </w:p>
    <w:p>
      <w:pPr>
        <w:keepNext w:val="0"/>
        <w:keepLines w:val="0"/>
        <w:pageBreakBefore w:val="0"/>
        <w:kinsoku/>
        <w:wordWrap/>
        <w:overflowPunct/>
        <w:topLinePunct w:val="0"/>
        <w:bidi w:val="0"/>
        <w:adjustRightInd w:val="0"/>
        <w:snapToGrid w:val="0"/>
        <w:spacing w:line="560" w:lineRule="exact"/>
        <w:ind w:firstLine="720"/>
        <w:rPr>
          <w:rFonts w:ascii="仿宋_GB2312" w:eastAsia="仿宋_GB2312"/>
          <w:sz w:val="32"/>
          <w:szCs w:val="32"/>
        </w:rPr>
      </w:pPr>
      <w:r>
        <w:rPr>
          <w:rFonts w:hint="eastAsia" w:ascii="Times New Roman" w:hAnsi="Times New Roman" w:eastAsia="仿宋_GB2312" w:cs="Times New Roman"/>
          <w:color w:val="000000"/>
          <w:kern w:val="0"/>
          <w:sz w:val="32"/>
          <w:szCs w:val="32"/>
          <w:lang w:val="en-US" w:eastAsia="zh-CN" w:bidi="ar-SA"/>
        </w:rPr>
        <w:t>市科技局</w:t>
      </w:r>
      <w:r>
        <w:rPr>
          <w:rFonts w:ascii="Times New Roman" w:hAnsi="Times New Roman" w:eastAsia="仿宋_GB2312" w:cs="Times New Roman"/>
          <w:color w:val="000000"/>
          <w:kern w:val="0"/>
          <w:sz w:val="32"/>
          <w:szCs w:val="32"/>
          <w:lang w:val="en-US" w:eastAsia="zh-CN" w:bidi="ar-SA"/>
        </w:rPr>
        <w:t>干部教育培训工作</w:t>
      </w:r>
      <w:r>
        <w:rPr>
          <w:rFonts w:hint="eastAsia" w:ascii="Times New Roman" w:hAnsi="Times New Roman" w:eastAsia="仿宋_GB2312" w:cs="Times New Roman"/>
          <w:color w:val="000000"/>
          <w:kern w:val="0"/>
          <w:sz w:val="32"/>
          <w:szCs w:val="32"/>
          <w:lang w:val="en-US" w:eastAsia="zh-CN" w:bidi="ar-SA"/>
        </w:rPr>
        <w:t>由局人事科负责，</w:t>
      </w:r>
      <w:r>
        <w:rPr>
          <w:rFonts w:hint="eastAsia" w:ascii="仿宋_GB2312" w:eastAsia="仿宋_GB2312"/>
          <w:sz w:val="32"/>
          <w:szCs w:val="32"/>
        </w:rPr>
        <w:t>培训过程中，参训学员严格服从主办单位的统一管理，严格执行中央、省市委关于加强学员管理的相关规定，遵守纪律，强化学风建设</w:t>
      </w:r>
      <w:r>
        <w:rPr>
          <w:rFonts w:hint="eastAsia" w:ascii="Times New Roman" w:hAnsi="Times New Roman" w:eastAsia="仿宋_GB2312" w:cs="Times New Roman"/>
          <w:color w:val="000000"/>
          <w:kern w:val="0"/>
          <w:sz w:val="32"/>
          <w:szCs w:val="32"/>
          <w:lang w:val="en-US" w:eastAsia="zh-CN" w:bidi="ar-SA"/>
        </w:rPr>
        <w:t>。</w:t>
      </w:r>
      <w:r>
        <w:rPr>
          <w:rFonts w:ascii="Times New Roman" w:hAnsi="Times New Roman" w:eastAsia="仿宋_GB2312" w:cs="Times New Roman"/>
          <w:color w:val="000000"/>
          <w:kern w:val="0"/>
          <w:sz w:val="32"/>
          <w:szCs w:val="32"/>
          <w:lang w:val="en-US" w:eastAsia="zh-CN" w:bidi="ar-SA"/>
        </w:rPr>
        <w:t>培训完成后</w:t>
      </w:r>
      <w:r>
        <w:rPr>
          <w:rFonts w:hint="eastAsia" w:ascii="仿宋_GB2312" w:eastAsia="仿宋_GB2312"/>
          <w:sz w:val="32"/>
          <w:szCs w:val="32"/>
        </w:rPr>
        <w:t>培训费统一由局机关专项经费支出</w:t>
      </w:r>
      <w:r>
        <w:rPr>
          <w:rFonts w:ascii="仿宋_GB2312" w:eastAsia="仿宋_GB2312"/>
          <w:sz w:val="32"/>
          <w:szCs w:val="32"/>
        </w:rPr>
        <w:t>。</w:t>
      </w:r>
    </w:p>
    <w:p>
      <w:pPr>
        <w:keepNext w:val="0"/>
        <w:keepLines w:val="0"/>
        <w:pageBreakBefore w:val="0"/>
        <w:kinsoku/>
        <w:wordWrap/>
        <w:overflowPunct/>
        <w:topLinePunct w:val="0"/>
        <w:bidi w:val="0"/>
        <w:adjustRightInd w:val="0"/>
        <w:snapToGrid w:val="0"/>
        <w:spacing w:line="560" w:lineRule="exact"/>
        <w:ind w:firstLine="720"/>
        <w:rPr>
          <w:rFonts w:ascii="仿宋_GB2312"/>
          <w:sz w:val="32"/>
          <w:szCs w:val="32"/>
          <w:lang w:val="zh-CN"/>
        </w:rPr>
      </w:pPr>
      <w:r>
        <w:rPr>
          <w:rFonts w:hint="eastAsia" w:ascii="仿宋_GB2312" w:eastAsia="仿宋_GB2312" w:cs="仿宋_GB2312"/>
          <w:kern w:val="0"/>
          <w:sz w:val="32"/>
          <w:szCs w:val="32"/>
          <w:lang w:bidi="ar-SA"/>
        </w:rPr>
        <w:t>项目实施过程中，</w:t>
      </w:r>
      <w:r>
        <w:rPr>
          <w:rFonts w:hint="eastAsia" w:ascii="仿宋_GB2312" w:eastAsia="仿宋_GB2312" w:cs="仿宋_GB2312"/>
          <w:kern w:val="0"/>
          <w:sz w:val="32"/>
          <w:szCs w:val="32"/>
          <w:lang w:eastAsia="zh-CN" w:bidi="ar-SA"/>
        </w:rPr>
        <w:t>市科技局</w:t>
      </w:r>
      <w:r>
        <w:rPr>
          <w:rFonts w:hint="eastAsia" w:ascii="仿宋_GB2312" w:eastAsia="仿宋_GB2312" w:cs="仿宋_GB2312"/>
          <w:kern w:val="0"/>
          <w:sz w:val="32"/>
          <w:szCs w:val="32"/>
          <w:lang w:bidi="ar-SA"/>
        </w:rPr>
        <w:t>对项目的完成时效、质量</w:t>
      </w:r>
      <w:r>
        <w:rPr>
          <w:rFonts w:hint="eastAsia" w:ascii="仿宋_GB2312" w:eastAsia="仿宋_GB2312" w:cs="仿宋_GB2312"/>
          <w:kern w:val="0"/>
          <w:sz w:val="32"/>
          <w:szCs w:val="32"/>
          <w:lang w:eastAsia="zh-CN" w:bidi="ar-SA"/>
        </w:rPr>
        <w:t>进行</w:t>
      </w:r>
      <w:r>
        <w:rPr>
          <w:rFonts w:hint="eastAsia" w:ascii="仿宋_GB2312" w:eastAsia="仿宋_GB2312" w:cs="仿宋_GB2312"/>
          <w:kern w:val="0"/>
          <w:sz w:val="32"/>
          <w:szCs w:val="32"/>
          <w:lang w:bidi="ar-SA"/>
        </w:rPr>
        <w:t>全程监督，</w:t>
      </w:r>
      <w:r>
        <w:rPr>
          <w:rFonts w:hint="eastAsia" w:ascii="仿宋_GB2312" w:eastAsia="仿宋_GB2312" w:cs="仿宋_GB2312"/>
          <w:kern w:val="0"/>
          <w:sz w:val="32"/>
          <w:szCs w:val="32"/>
          <w:lang w:eastAsia="zh-CN" w:bidi="ar-SA"/>
        </w:rPr>
        <w:t>确保项目资金使用合理规范，</w:t>
      </w:r>
      <w:r>
        <w:rPr>
          <w:rFonts w:hint="eastAsia" w:ascii="仿宋_GB2312" w:eastAsia="仿宋_GB2312" w:cs="仿宋_GB2312"/>
          <w:kern w:val="0"/>
          <w:sz w:val="32"/>
          <w:szCs w:val="32"/>
          <w:lang w:bidi="ar-SA"/>
        </w:rPr>
        <w:t>在项目周期内圆满完成。</w:t>
      </w:r>
    </w:p>
    <w:p>
      <w:pPr>
        <w:keepNext w:val="0"/>
        <w:keepLines w:val="0"/>
        <w:pageBreakBefore w:val="0"/>
        <w:kinsoku/>
        <w:wordWrap/>
        <w:overflowPunct/>
        <w:topLinePunct w:val="0"/>
        <w:bidi w:val="0"/>
        <w:adjustRightInd w:val="0"/>
        <w:snapToGrid w:val="0"/>
        <w:spacing w:line="560" w:lineRule="exact"/>
        <w:ind w:firstLine="720"/>
        <w:rPr>
          <w:rFonts w:ascii="仿宋_GB2312"/>
          <w:sz w:val="32"/>
          <w:szCs w:val="32"/>
          <w:lang w:val="zh-CN"/>
        </w:rPr>
      </w:pPr>
      <w:r>
        <w:rPr>
          <w:rFonts w:hint="eastAsia" w:ascii="黑体" w:eastAsia="黑体"/>
          <w:sz w:val="32"/>
          <w:szCs w:val="32"/>
        </w:rPr>
        <w:t>三、项目绩效情况</w:t>
      </w:r>
      <w:r>
        <w:rPr>
          <w:rFonts w:hint="eastAsia" w:ascii="仿宋_GB2312"/>
          <w:sz w:val="32"/>
          <w:szCs w:val="32"/>
          <w:lang w:val="zh-CN"/>
        </w:rPr>
        <w:tab/>
      </w:r>
    </w:p>
    <w:p>
      <w:pPr>
        <w:keepNext w:val="0"/>
        <w:keepLines w:val="0"/>
        <w:pageBreakBefore w:val="0"/>
        <w:kinsoku/>
        <w:wordWrap/>
        <w:overflowPunct/>
        <w:topLinePunct w:val="0"/>
        <w:bidi w:val="0"/>
        <w:adjustRightInd w:val="0"/>
        <w:snapToGrid w:val="0"/>
        <w:spacing w:line="560" w:lineRule="exact"/>
        <w:ind w:firstLine="720"/>
        <w:rPr>
          <w:rFonts w:ascii="楷体_GB2312" w:eastAsia="楷体_GB2312"/>
          <w:b/>
          <w:sz w:val="32"/>
          <w:szCs w:val="32"/>
          <w:lang w:val="zh-CN"/>
        </w:rPr>
      </w:pPr>
      <w:r>
        <w:rPr>
          <w:rFonts w:hint="eastAsia" w:ascii="楷体_GB2312" w:eastAsia="楷体_GB2312"/>
          <w:b/>
          <w:sz w:val="32"/>
          <w:szCs w:val="32"/>
          <w:lang w:val="zh-CN"/>
        </w:rPr>
        <w:t>（一）项目完成情况。</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rPr>
          <w:rFonts w:ascii="Times New Roman" w:hAnsi="Times New Roman" w:eastAsia="楷体_GB2312"/>
          <w:kern w:val="0"/>
          <w:sz w:val="32"/>
          <w:szCs w:val="32"/>
        </w:rPr>
      </w:pPr>
      <w:r>
        <w:rPr>
          <w:rFonts w:hint="eastAsia" w:ascii="Times New Roman" w:hAnsi="Times New Roman" w:eastAsia="仿宋_GB2312"/>
          <w:kern w:val="0"/>
          <w:sz w:val="32"/>
          <w:szCs w:val="32"/>
          <w:lang w:eastAsia="zh-CN"/>
        </w:rPr>
        <w:t>2021年10月，由市科技局组织市科技局系统有关领导及干部，市级相关部门分管领导或有关业务科室负责人，县（区）分管领导或相关部门负责人，以及全市主要科研院所、高校等有关管理人员共51人，在上海大学(新闸路校区)进行为期5天的专题培训工作，严格培训实施方案</w:t>
      </w:r>
      <w:r>
        <w:rPr>
          <w:rFonts w:ascii="Times New Roman" w:hAnsi="Times New Roman" w:eastAsia="仿宋_GB2312"/>
          <w:kern w:val="0"/>
          <w:sz w:val="32"/>
          <w:szCs w:val="32"/>
          <w:lang w:eastAsia="zh-CN"/>
        </w:rPr>
        <w:t>，并</w:t>
      </w:r>
      <w:r>
        <w:rPr>
          <w:rFonts w:hint="eastAsia" w:ascii="Times New Roman" w:hAnsi="Times New Roman" w:eastAsia="仿宋_GB2312"/>
          <w:kern w:val="0"/>
          <w:sz w:val="32"/>
          <w:szCs w:val="32"/>
          <w:lang w:eastAsia="zh-CN"/>
        </w:rPr>
        <w:t>保</w:t>
      </w:r>
      <w:r>
        <w:rPr>
          <w:rFonts w:ascii="Times New Roman" w:hAnsi="Times New Roman" w:eastAsia="仿宋_GB2312"/>
          <w:kern w:val="0"/>
          <w:sz w:val="32"/>
          <w:szCs w:val="32"/>
          <w:lang w:eastAsia="zh-CN"/>
        </w:rPr>
        <w:t>质</w:t>
      </w:r>
      <w:r>
        <w:rPr>
          <w:rFonts w:hint="eastAsia" w:ascii="Times New Roman" w:hAnsi="Times New Roman" w:eastAsia="仿宋_GB2312"/>
          <w:kern w:val="0"/>
          <w:sz w:val="32"/>
          <w:szCs w:val="32"/>
          <w:lang w:eastAsia="zh-CN"/>
        </w:rPr>
        <w:t>保量完成</w:t>
      </w:r>
      <w:r>
        <w:rPr>
          <w:rFonts w:ascii="Times New Roman" w:hAnsi="Times New Roman" w:eastAsia="仿宋_GB2312"/>
          <w:kern w:val="0"/>
          <w:sz w:val="32"/>
          <w:szCs w:val="32"/>
          <w:lang w:eastAsia="zh-CN"/>
        </w:rPr>
        <w:t>了培训工作</w:t>
      </w:r>
      <w:r>
        <w:rPr>
          <w:rFonts w:hint="eastAsia" w:ascii="Times New Roman" w:hAnsi="Times New Roman" w:eastAsia="仿宋_GB2312"/>
          <w:kern w:val="0"/>
          <w:sz w:val="32"/>
          <w:szCs w:val="32"/>
          <w:lang w:eastAsia="zh-CN"/>
        </w:rPr>
        <w:t>。</w:t>
      </w:r>
    </w:p>
    <w:p>
      <w:pPr>
        <w:keepNext w:val="0"/>
        <w:keepLines w:val="0"/>
        <w:pageBreakBefore w:val="0"/>
        <w:kinsoku/>
        <w:wordWrap/>
        <w:overflowPunct/>
        <w:topLinePunct w:val="0"/>
        <w:autoSpaceDE w:val="0"/>
        <w:autoSpaceDN w:val="0"/>
        <w:bidi w:val="0"/>
        <w:adjustRightInd w:val="0"/>
        <w:spacing w:line="560" w:lineRule="exact"/>
        <w:ind w:left="420" w:leftChars="200"/>
        <w:jc w:val="left"/>
        <w:rPr>
          <w:rFonts w:hint="eastAsia" w:ascii="楷体_GB2312" w:eastAsia="楷体_GB2312"/>
          <w:b/>
          <w:sz w:val="32"/>
          <w:szCs w:val="32"/>
          <w:lang w:val="zh-CN"/>
        </w:rPr>
      </w:pPr>
      <w:r>
        <w:rPr>
          <w:rFonts w:hint="eastAsia" w:ascii="楷体_GB2312" w:eastAsia="楷体_GB2312"/>
          <w:b/>
          <w:sz w:val="32"/>
          <w:szCs w:val="32"/>
          <w:lang w:val="zh-CN"/>
        </w:rPr>
        <w:t>（二）项目效益情况。</w:t>
      </w:r>
    </w:p>
    <w:p>
      <w:pPr>
        <w:keepNext w:val="0"/>
        <w:keepLines w:val="0"/>
        <w:pageBreakBefore w:val="0"/>
        <w:kinsoku/>
        <w:wordWrap/>
        <w:overflowPunct/>
        <w:topLinePunct w:val="0"/>
        <w:autoSpaceDE w:val="0"/>
        <w:autoSpaceDN w:val="0"/>
        <w:bidi w:val="0"/>
        <w:adjustRightInd w:val="0"/>
        <w:spacing w:line="560" w:lineRule="exact"/>
        <w:rPr>
          <w:rFonts w:ascii="楷体_GB2312" w:eastAsia="楷体_GB2312"/>
          <w:b/>
          <w:sz w:val="32"/>
          <w:szCs w:val="32"/>
          <w:lang w:val="zh-CN"/>
        </w:rPr>
      </w:pPr>
      <w:r>
        <w:rPr>
          <w:rFonts w:hint="eastAsia" w:cs="Times New Roman"/>
          <w:kern w:val="0"/>
          <w:sz w:val="32"/>
          <w:szCs w:val="32"/>
          <w:lang w:val="en-US" w:eastAsia="zh-CN"/>
        </w:rPr>
        <w:t xml:space="preserve">    </w:t>
      </w:r>
      <w:r>
        <w:rPr>
          <w:rFonts w:hint="eastAsia" w:ascii="仿宋_GB2312" w:eastAsia="仿宋_GB2312" w:cs="仿宋_GB2312"/>
          <w:kern w:val="0"/>
          <w:sz w:val="32"/>
          <w:szCs w:val="32"/>
          <w:lang w:bidi="ar-SA"/>
        </w:rPr>
        <w:t>通过专题教育培训，</w:t>
      </w:r>
      <w:r>
        <w:rPr>
          <w:rFonts w:hint="eastAsia" w:ascii="仿宋_GB2312" w:eastAsia="仿宋_GB2312"/>
          <w:sz w:val="32"/>
          <w:szCs w:val="32"/>
        </w:rPr>
        <w:t>学习了国内有关创新驱动转型发展、科技成果转化、科技与经济深度融合、构建政产学研用一体化创新体系、“双创”、科技金融、高新技术园区建设等方面的先进理念经验，</w:t>
      </w:r>
      <w:r>
        <w:rPr>
          <w:rFonts w:hint="eastAsia" w:ascii="仿宋_GB2312" w:eastAsia="仿宋_GB2312" w:cs="仿宋_GB2312"/>
          <w:kern w:val="0"/>
          <w:sz w:val="32"/>
          <w:szCs w:val="32"/>
          <w:lang w:bidi="ar-SA"/>
        </w:rPr>
        <w:t>进一步提升了各级干部贯彻落实创新驱动战略推动攀枝花高质量发展的能力。</w:t>
      </w:r>
    </w:p>
    <w:p>
      <w:pPr>
        <w:keepNext w:val="0"/>
        <w:keepLines w:val="0"/>
        <w:pageBreakBefore w:val="0"/>
        <w:kinsoku/>
        <w:wordWrap/>
        <w:overflowPunct/>
        <w:topLinePunct w:val="0"/>
        <w:bidi w:val="0"/>
        <w:adjustRightInd w:val="0"/>
        <w:snapToGrid w:val="0"/>
        <w:spacing w:line="560" w:lineRule="exact"/>
        <w:ind w:firstLine="720"/>
        <w:rPr>
          <w:rFonts w:ascii="黑体" w:eastAsia="黑体"/>
          <w:sz w:val="32"/>
          <w:szCs w:val="32"/>
        </w:rPr>
      </w:pPr>
      <w:r>
        <w:rPr>
          <w:rFonts w:hint="eastAsia" w:ascii="黑体" w:eastAsia="黑体"/>
          <w:sz w:val="32"/>
          <w:szCs w:val="32"/>
        </w:rPr>
        <w:t>四、问题及建议</w:t>
      </w:r>
    </w:p>
    <w:p>
      <w:pPr>
        <w:keepNext w:val="0"/>
        <w:keepLines w:val="0"/>
        <w:pageBreakBefore w:val="0"/>
        <w:kinsoku/>
        <w:wordWrap/>
        <w:overflowPunct/>
        <w:topLinePunct w:val="0"/>
        <w:bidi w:val="0"/>
        <w:adjustRightInd w:val="0"/>
        <w:snapToGrid w:val="0"/>
        <w:spacing w:line="560" w:lineRule="exact"/>
        <w:ind w:firstLine="720"/>
        <w:rPr>
          <w:rFonts w:hint="eastAsia" w:ascii="楷体_GB2312" w:eastAsia="楷体_GB2312"/>
          <w:b/>
          <w:sz w:val="32"/>
          <w:szCs w:val="32"/>
          <w:lang w:val="zh-CN"/>
        </w:rPr>
      </w:pPr>
      <w:r>
        <w:rPr>
          <w:rFonts w:hint="eastAsia" w:ascii="楷体_GB2312" w:eastAsia="楷体_GB2312"/>
          <w:b/>
          <w:sz w:val="32"/>
          <w:szCs w:val="32"/>
          <w:lang w:val="zh-CN"/>
        </w:rPr>
        <w:t>（一）存在的问题。</w:t>
      </w:r>
    </w:p>
    <w:p>
      <w:pPr>
        <w:keepNext w:val="0"/>
        <w:keepLines w:val="0"/>
        <w:pageBreakBefore w:val="0"/>
        <w:kinsoku/>
        <w:wordWrap/>
        <w:overflowPunct/>
        <w:topLinePunct w:val="0"/>
        <w:bidi w:val="0"/>
        <w:adjustRightInd w:val="0"/>
        <w:snapToGrid w:val="0"/>
        <w:spacing w:line="560" w:lineRule="exact"/>
        <w:ind w:firstLine="720"/>
        <w:rPr>
          <w:rFonts w:hint="eastAsia" w:ascii="楷体_GB2312" w:eastAsia="楷体_GB2312"/>
          <w:b w:val="0"/>
          <w:bCs/>
          <w:sz w:val="32"/>
          <w:szCs w:val="32"/>
          <w:lang w:val="zh-CN"/>
        </w:rPr>
      </w:pPr>
      <w:r>
        <w:rPr>
          <w:rFonts w:hint="eastAsia" w:ascii="楷体_GB2312" w:eastAsia="楷体_GB2312"/>
          <w:b w:val="0"/>
          <w:bCs/>
          <w:sz w:val="32"/>
          <w:szCs w:val="32"/>
          <w:lang w:val="zh-CN"/>
        </w:rPr>
        <w:t>无</w:t>
      </w:r>
    </w:p>
    <w:p>
      <w:pPr>
        <w:keepNext w:val="0"/>
        <w:keepLines w:val="0"/>
        <w:pageBreakBefore w:val="0"/>
        <w:kinsoku/>
        <w:wordWrap/>
        <w:overflowPunct/>
        <w:topLinePunct w:val="0"/>
        <w:bidi w:val="0"/>
        <w:adjustRightInd w:val="0"/>
        <w:snapToGrid w:val="0"/>
        <w:spacing w:line="560" w:lineRule="exact"/>
        <w:ind w:firstLine="720"/>
        <w:rPr>
          <w:rFonts w:hint="eastAsia" w:ascii="楷体_GB2312" w:eastAsia="楷体_GB2312"/>
          <w:b/>
          <w:sz w:val="32"/>
          <w:szCs w:val="32"/>
          <w:lang w:val="zh-CN"/>
        </w:rPr>
      </w:pPr>
      <w:r>
        <w:rPr>
          <w:rFonts w:hint="eastAsia" w:ascii="楷体_GB2312" w:eastAsia="楷体_GB2312"/>
          <w:b/>
          <w:sz w:val="32"/>
          <w:szCs w:val="32"/>
          <w:lang w:val="zh-CN"/>
        </w:rPr>
        <w:t>（二）相关建议。</w:t>
      </w:r>
    </w:p>
    <w:p>
      <w:pPr>
        <w:keepNext w:val="0"/>
        <w:keepLines w:val="0"/>
        <w:pageBreakBefore w:val="0"/>
        <w:kinsoku/>
        <w:wordWrap/>
        <w:overflowPunct/>
        <w:topLinePunct w:val="0"/>
        <w:bidi w:val="0"/>
        <w:adjustRightInd w:val="0"/>
        <w:snapToGrid w:val="0"/>
        <w:spacing w:line="560" w:lineRule="exact"/>
        <w:ind w:firstLine="720"/>
        <w:rPr>
          <w:rFonts w:hint="eastAsia" w:ascii="方正小标宋简体" w:hAnsi="方正小标宋简体" w:eastAsia="方正小标宋简体" w:cs="方正小标宋简体"/>
          <w:color w:val="auto"/>
          <w:kern w:val="2"/>
          <w:sz w:val="32"/>
          <w:szCs w:val="32"/>
          <w:lang w:val="en-US"/>
        </w:rPr>
      </w:pPr>
      <w:r>
        <w:rPr>
          <w:rFonts w:hint="eastAsia" w:ascii="仿宋_GB2312"/>
          <w:sz w:val="32"/>
          <w:szCs w:val="32"/>
          <w:lang w:val="zh-CN"/>
        </w:rPr>
        <w:t>无</w:t>
      </w:r>
    </w:p>
    <w:p>
      <w:pPr>
        <w:jc w:val="center"/>
        <w:rPr>
          <w:rFonts w:hint="eastAsia" w:ascii="方正小标宋简体" w:hAnsi="方正小标宋简体" w:eastAsia="方正小标宋简体" w:cs="方正小标宋简体"/>
          <w:color w:val="auto"/>
          <w:kern w:val="2"/>
          <w:sz w:val="32"/>
          <w:szCs w:val="32"/>
          <w:lang w:val="en-US"/>
        </w:rPr>
      </w:pPr>
      <w:r>
        <w:br w:type="page"/>
      </w: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jc w:val="center"/>
        <w:rPr>
          <w:rFonts w:hint="eastAsia" w:ascii="方正小标宋简体" w:hAnsi="方正小标宋简体" w:eastAsia="方正小标宋简体" w:cs="方正小标宋简体"/>
          <w:color w:val="auto"/>
          <w:kern w:val="2"/>
          <w:sz w:val="32"/>
          <w:szCs w:val="32"/>
          <w:lang w:val="en-US" w:eastAsia="zh-CN" w:bidi="ar-SA"/>
        </w:rPr>
      </w:pPr>
      <w:r>
        <w:rPr>
          <w:rFonts w:hint="eastAsia" w:ascii="方正小标宋简体" w:hAnsi="方正小标宋简体" w:eastAsia="方正小标宋简体" w:cs="方正小标宋简体"/>
          <w:color w:val="auto"/>
          <w:kern w:val="2"/>
          <w:sz w:val="32"/>
          <w:szCs w:val="32"/>
          <w:lang w:val="en-US" w:eastAsia="zh-CN" w:bidi="ar-SA"/>
        </w:rPr>
        <w:t>（</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zh-CN" w:eastAsia="zh-CN"/>
        </w:rPr>
        <w:t>攀枝花市“四川科技扶贫在线”平台建设与运行维护</w:t>
      </w:r>
      <w:r>
        <w:rPr>
          <w:rFonts w:hint="eastAsia" w:ascii="方正小标宋简体" w:hAnsi="宋体" w:eastAsia="方正小标宋简体"/>
          <w:sz w:val="32"/>
          <w:szCs w:val="32"/>
          <w:lang w:eastAsia="zh-CN"/>
        </w:rPr>
        <w:t>”</w:t>
      </w:r>
      <w:r>
        <w:rPr>
          <w:rFonts w:hint="eastAsia" w:ascii="方正小标宋简体" w:hAnsi="方正小标宋简体" w:eastAsia="方正小标宋简体" w:cs="方正小标宋简体"/>
          <w:color w:val="auto"/>
          <w:kern w:val="2"/>
          <w:sz w:val="32"/>
          <w:szCs w:val="32"/>
          <w:lang w:val="en-US" w:eastAsia="zh-CN" w:bidi="ar-SA"/>
        </w:rPr>
        <w:t>）</w:t>
      </w:r>
    </w:p>
    <w:p>
      <w:pPr>
        <w:adjustRightInd w:val="0"/>
        <w:snapToGrid w:val="0"/>
        <w:spacing w:line="560" w:lineRule="exact"/>
        <w:ind w:firstLine="720"/>
        <w:rPr>
          <w:rFonts w:hint="eastAsia" w:ascii="黑体" w:hAnsi="宋体" w:eastAsia="黑体"/>
          <w:sz w:val="32"/>
          <w:szCs w:val="32"/>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仿宋_GB2312" w:hAnsi="宋体"/>
          <w:sz w:val="32"/>
          <w:szCs w:val="32"/>
          <w:lang w:val="zh-CN"/>
        </w:rPr>
      </w:pPr>
      <w:r>
        <w:rPr>
          <w:rFonts w:hint="eastAsia" w:ascii="仿宋_GB2312" w:hAnsi="宋体"/>
          <w:sz w:val="32"/>
          <w:szCs w:val="32"/>
          <w:lang w:val="zh-CN"/>
        </w:rPr>
        <w:t>介绍项目基本情况，重点说明以下内容：</w:t>
      </w:r>
    </w:p>
    <w:p>
      <w:pPr>
        <w:numPr>
          <w:ilvl w:val="0"/>
          <w:numId w:val="0"/>
        </w:numPr>
        <w:autoSpaceDE w:val="0"/>
        <w:autoSpaceDN w:val="0"/>
        <w:adjustRightInd w:val="0"/>
        <w:spacing w:line="600" w:lineRule="exact"/>
        <w:ind w:firstLine="642" w:firstLineChars="200"/>
        <w:jc w:val="left"/>
        <w:rPr>
          <w:rFonts w:hint="eastAsia" w:ascii="仿宋_GB2312" w:hAnsi="宋体"/>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sz w:val="32"/>
          <w:szCs w:val="32"/>
          <w:lang w:val="zh-CN"/>
        </w:rPr>
        <w:t>资金项目由市科技局根据《关于下达</w:t>
      </w:r>
      <w:r>
        <w:rPr>
          <w:rFonts w:hint="eastAsia" w:ascii="仿宋_GB2312" w:hAnsi="宋体"/>
          <w:sz w:val="32"/>
          <w:szCs w:val="32"/>
          <w:lang w:val="en-US" w:eastAsia="zh-CN"/>
        </w:rPr>
        <w:t>2022年第二批省级科技计划项目专项资金预算的通知</w:t>
      </w:r>
      <w:r>
        <w:rPr>
          <w:rFonts w:hint="eastAsia" w:ascii="仿宋_GB2312" w:hAnsi="宋体"/>
          <w:sz w:val="32"/>
          <w:szCs w:val="32"/>
          <w:lang w:val="zh-CN"/>
        </w:rPr>
        <w:t>》（川财教</w:t>
      </w:r>
      <w:r>
        <w:rPr>
          <w:rFonts w:hint="eastAsia" w:ascii="仿宋_GB2312" w:hAnsi="宋体"/>
          <w:sz w:val="32"/>
          <w:szCs w:val="32"/>
          <w:lang w:val="zh-CN" w:eastAsia="zh-CN"/>
        </w:rPr>
        <w:t>〔202</w:t>
      </w:r>
      <w:r>
        <w:rPr>
          <w:rFonts w:hint="eastAsia" w:ascii="仿宋_GB2312" w:hAnsi="宋体"/>
          <w:sz w:val="32"/>
          <w:szCs w:val="32"/>
          <w:lang w:val="en-US" w:eastAsia="zh-CN"/>
        </w:rPr>
        <w:t>2</w:t>
      </w:r>
      <w:r>
        <w:rPr>
          <w:rFonts w:hint="eastAsia" w:ascii="仿宋_GB2312" w:hAnsi="宋体"/>
          <w:sz w:val="32"/>
          <w:szCs w:val="32"/>
          <w:lang w:val="zh-CN" w:eastAsia="zh-CN"/>
        </w:rPr>
        <w:t>〕</w:t>
      </w:r>
      <w:r>
        <w:rPr>
          <w:rFonts w:hint="eastAsia" w:ascii="仿宋_GB2312" w:hAnsi="宋体"/>
          <w:sz w:val="32"/>
          <w:szCs w:val="32"/>
          <w:lang w:val="en-US" w:eastAsia="zh-CN"/>
        </w:rPr>
        <w:t>59</w:t>
      </w:r>
      <w:r>
        <w:rPr>
          <w:rFonts w:hint="eastAsia" w:ascii="仿宋_GB2312" w:hAnsi="宋体"/>
          <w:sz w:val="32"/>
          <w:szCs w:val="32"/>
          <w:lang w:val="zh-CN" w:eastAsia="zh-CN"/>
        </w:rPr>
        <w:t>号</w:t>
      </w:r>
      <w:r>
        <w:rPr>
          <w:rFonts w:hint="eastAsia" w:ascii="仿宋_GB2312" w:hAnsi="宋体"/>
          <w:sz w:val="32"/>
          <w:szCs w:val="32"/>
          <w:lang w:val="zh-CN"/>
        </w:rPr>
        <w:t>）文件要求，由市科技局向财政局报送</w:t>
      </w:r>
      <w:r>
        <w:rPr>
          <w:rFonts w:hint="eastAsia" w:ascii="仿宋_GB2312" w:hAnsi="宋体"/>
          <w:sz w:val="32"/>
          <w:szCs w:val="32"/>
          <w:lang w:val="zh-CN" w:eastAsia="zh-CN"/>
        </w:rPr>
        <w:t>《关于商请下达2022年第二批省级科技计划项目专项资金预算的函》（攀科函〔202</w:t>
      </w:r>
      <w:r>
        <w:rPr>
          <w:rFonts w:hint="eastAsia" w:ascii="仿宋_GB2312" w:hAnsi="宋体"/>
          <w:sz w:val="32"/>
          <w:szCs w:val="32"/>
          <w:lang w:val="en-US" w:eastAsia="zh-CN"/>
        </w:rPr>
        <w:t>2</w:t>
      </w:r>
      <w:r>
        <w:rPr>
          <w:rFonts w:hint="eastAsia" w:ascii="仿宋_GB2312" w:hAnsi="宋体"/>
          <w:sz w:val="32"/>
          <w:szCs w:val="32"/>
          <w:lang w:val="zh-CN" w:eastAsia="zh-CN"/>
        </w:rPr>
        <w:t>〕</w:t>
      </w:r>
      <w:r>
        <w:rPr>
          <w:rFonts w:hint="eastAsia" w:ascii="仿宋_GB2312" w:hAnsi="宋体"/>
          <w:sz w:val="32"/>
          <w:szCs w:val="32"/>
          <w:lang w:val="en-US" w:eastAsia="zh-CN"/>
        </w:rPr>
        <w:t>113</w:t>
      </w:r>
      <w:r>
        <w:rPr>
          <w:rFonts w:hint="eastAsia" w:ascii="仿宋_GB2312" w:hAnsi="宋体"/>
          <w:sz w:val="32"/>
          <w:szCs w:val="32"/>
          <w:lang w:val="zh-CN" w:eastAsia="zh-CN"/>
        </w:rPr>
        <w:t>号）</w:t>
      </w:r>
      <w:r>
        <w:rPr>
          <w:rFonts w:hint="eastAsia" w:ascii="仿宋_GB2312" w:hAnsi="宋体"/>
          <w:sz w:val="32"/>
          <w:szCs w:val="32"/>
          <w:lang w:val="zh-CN"/>
        </w:rPr>
        <w:t>，经市政府同意后下达</w:t>
      </w:r>
      <w:r>
        <w:rPr>
          <w:rFonts w:hint="eastAsia" w:ascii="仿宋_GB2312" w:hAnsi="宋体"/>
          <w:sz w:val="32"/>
          <w:szCs w:val="32"/>
          <w:lang w:val="zh-CN" w:eastAsia="zh-CN"/>
        </w:rPr>
        <w:t>我单位</w:t>
      </w:r>
      <w:r>
        <w:rPr>
          <w:rFonts w:hint="eastAsia" w:ascii="仿宋_GB2312" w:hAnsi="宋体"/>
          <w:sz w:val="32"/>
          <w:szCs w:val="32"/>
          <w:lang w:val="zh-CN"/>
        </w:rPr>
        <w:t>项目资金</w:t>
      </w:r>
      <w:r>
        <w:rPr>
          <w:rFonts w:hint="eastAsia" w:ascii="仿宋_GB2312" w:hAnsi="宋体"/>
          <w:sz w:val="32"/>
          <w:szCs w:val="32"/>
          <w:lang w:val="en-US" w:eastAsia="zh-CN"/>
        </w:rPr>
        <w:t>20万</w:t>
      </w:r>
      <w:r>
        <w:rPr>
          <w:rFonts w:hint="eastAsia" w:ascii="仿宋_GB2312" w:hAnsi="宋体"/>
          <w:sz w:val="32"/>
          <w:szCs w:val="32"/>
          <w:lang w:val="zh-CN"/>
        </w:rPr>
        <w:t>。</w:t>
      </w:r>
    </w:p>
    <w:p>
      <w:pPr>
        <w:numPr>
          <w:ilvl w:val="0"/>
          <w:numId w:val="0"/>
        </w:numPr>
        <w:autoSpaceDE w:val="0"/>
        <w:autoSpaceDN w:val="0"/>
        <w:adjustRightInd w:val="0"/>
        <w:spacing w:line="600" w:lineRule="exact"/>
        <w:ind w:firstLine="642" w:firstLineChars="200"/>
        <w:jc w:val="left"/>
        <w:rPr>
          <w:rFonts w:hint="eastAsia" w:ascii="仿宋_GB2312" w:hAnsi="宋体"/>
          <w:sz w:val="32"/>
          <w:szCs w:val="32"/>
          <w:lang w:val="zh-CN"/>
        </w:rPr>
      </w:pPr>
      <w:r>
        <w:rPr>
          <w:rFonts w:hint="eastAsia" w:ascii="楷体_GB2312" w:hAnsi="宋体" w:eastAsia="楷体_GB2312"/>
          <w:b/>
          <w:sz w:val="32"/>
          <w:szCs w:val="32"/>
          <w:lang w:val="zh-CN"/>
        </w:rPr>
        <w:t>（二）项目绩效目标。</w:t>
      </w:r>
      <w:r>
        <w:rPr>
          <w:rFonts w:hint="eastAsia" w:ascii="仿宋_GB2312" w:hAnsi="宋体"/>
          <w:sz w:val="32"/>
          <w:szCs w:val="32"/>
          <w:lang w:val="zh-CN"/>
        </w:rPr>
        <w:t>该</w:t>
      </w:r>
      <w:r>
        <w:rPr>
          <w:rFonts w:hint="eastAsia" w:ascii="仿宋_GB2312" w:hAnsi="宋体"/>
          <w:sz w:val="32"/>
          <w:szCs w:val="32"/>
          <w:lang w:val="zh-CN" w:eastAsia="zh-CN"/>
        </w:rPr>
        <w:t>项目资金主要用于攀</w:t>
      </w:r>
      <w:r>
        <w:rPr>
          <w:rFonts w:hint="eastAsia" w:ascii="仿宋_GB2312" w:hAnsi="宋体"/>
          <w:sz w:val="32"/>
          <w:szCs w:val="32"/>
          <w:lang w:val="zh-CN"/>
        </w:rPr>
        <w:t>枝花市“四川科技扶贫在线”平台建设中涉及到的项目调研、专家评审及聘用人员劳务等费用。</w:t>
      </w:r>
    </w:p>
    <w:p>
      <w:pPr>
        <w:autoSpaceDE w:val="0"/>
        <w:autoSpaceDN w:val="0"/>
        <w:adjustRightInd w:val="0"/>
        <w:spacing w:line="600" w:lineRule="exact"/>
        <w:ind w:firstLine="642" w:firstLineChars="200"/>
        <w:jc w:val="left"/>
        <w:rPr>
          <w:rFonts w:ascii="仿宋_GB2312" w:hAnsi="宋体"/>
          <w:sz w:val="32"/>
          <w:szCs w:val="32"/>
          <w:lang w:val="zh-CN"/>
        </w:rPr>
      </w:pPr>
      <w:r>
        <w:rPr>
          <w:rFonts w:hint="eastAsia" w:ascii="楷体_GB2312" w:hAnsi="宋体" w:eastAsia="楷体_GB2312"/>
          <w:b/>
          <w:sz w:val="32"/>
          <w:szCs w:val="32"/>
          <w:lang w:val="zh-CN"/>
        </w:rPr>
        <w:t>（三）项目资金申报相符性。</w:t>
      </w:r>
      <w:r>
        <w:rPr>
          <w:rFonts w:hint="eastAsia" w:ascii="仿宋_GB2312" w:eastAsia="仿宋_GB2312"/>
          <w:kern w:val="0"/>
          <w:sz w:val="32"/>
          <w:szCs w:val="32"/>
        </w:rPr>
        <w:t>该项目</w:t>
      </w:r>
      <w:r>
        <w:rPr>
          <w:rFonts w:hint="eastAsia" w:ascii="仿宋_GB2312"/>
          <w:kern w:val="0"/>
          <w:sz w:val="32"/>
          <w:szCs w:val="32"/>
          <w:lang w:eastAsia="zh-CN"/>
        </w:rPr>
        <w:t>按照</w:t>
      </w:r>
      <w:r>
        <w:rPr>
          <w:rFonts w:hint="eastAsia" w:ascii="仿宋_GB2312" w:eastAsia="仿宋_GB2312"/>
          <w:kern w:val="0"/>
          <w:sz w:val="32"/>
          <w:szCs w:val="32"/>
        </w:rPr>
        <w:t>《四川省科技计划项目专项资金管理办法》（川财规</w:t>
      </w:r>
      <w:r>
        <w:rPr>
          <w:rFonts w:hint="eastAsia" w:ascii="仿宋_GB2312" w:hAnsi="宋体"/>
          <w:sz w:val="32"/>
          <w:szCs w:val="32"/>
          <w:lang w:val="zh-CN" w:eastAsia="zh-CN"/>
        </w:rPr>
        <w:t>〔20</w:t>
      </w:r>
      <w:r>
        <w:rPr>
          <w:rFonts w:hint="eastAsia" w:ascii="仿宋_GB2312" w:hAnsi="宋体"/>
          <w:sz w:val="32"/>
          <w:szCs w:val="32"/>
          <w:lang w:val="en-US" w:eastAsia="zh-CN"/>
        </w:rPr>
        <w:t>19</w:t>
      </w:r>
      <w:r>
        <w:rPr>
          <w:rFonts w:hint="eastAsia" w:ascii="仿宋_GB2312" w:hAnsi="宋体"/>
          <w:sz w:val="32"/>
          <w:szCs w:val="32"/>
          <w:lang w:val="zh-CN" w:eastAsia="zh-CN"/>
        </w:rPr>
        <w:t>〕</w:t>
      </w:r>
      <w:r>
        <w:rPr>
          <w:rFonts w:hint="eastAsia" w:ascii="仿宋_GB2312" w:eastAsia="仿宋_GB2312"/>
          <w:kern w:val="0"/>
          <w:sz w:val="32"/>
          <w:szCs w:val="32"/>
        </w:rPr>
        <w:t>10号）</w:t>
      </w:r>
      <w:r>
        <w:rPr>
          <w:rFonts w:hint="eastAsia" w:ascii="仿宋_GB2312"/>
          <w:kern w:val="0"/>
          <w:sz w:val="32"/>
          <w:szCs w:val="32"/>
          <w:lang w:eastAsia="zh-CN"/>
        </w:rPr>
        <w:t>文件</w:t>
      </w:r>
      <w:r>
        <w:rPr>
          <w:rFonts w:hint="eastAsia" w:ascii="仿宋_GB2312" w:eastAsia="仿宋_GB2312"/>
          <w:kern w:val="0"/>
          <w:sz w:val="32"/>
          <w:szCs w:val="32"/>
        </w:rPr>
        <w:t>精神，根据项目立项时任务合同</w:t>
      </w:r>
      <w:r>
        <w:rPr>
          <w:rFonts w:hint="eastAsia" w:ascii="仿宋_GB2312"/>
          <w:kern w:val="0"/>
          <w:sz w:val="32"/>
          <w:szCs w:val="32"/>
          <w:lang w:eastAsia="zh-CN"/>
        </w:rPr>
        <w:t>规范资金使用条件和范围，</w:t>
      </w:r>
      <w:r>
        <w:rPr>
          <w:rFonts w:hint="eastAsia" w:ascii="仿宋_GB2312" w:eastAsia="仿宋_GB2312"/>
          <w:kern w:val="0"/>
          <w:sz w:val="32"/>
          <w:szCs w:val="32"/>
        </w:rPr>
        <w:t>进行资金管理</w:t>
      </w:r>
      <w:r>
        <w:rPr>
          <w:rFonts w:hint="eastAsia" w:ascii="仿宋_GB2312"/>
          <w:kern w:val="0"/>
          <w:sz w:val="32"/>
          <w:szCs w:val="32"/>
          <w:lang w:eastAsia="zh-CN"/>
        </w:rPr>
        <w:t>，</w:t>
      </w:r>
      <w:r>
        <w:rPr>
          <w:rFonts w:hint="eastAsia" w:ascii="仿宋_GB2312" w:hAnsi="宋体"/>
          <w:sz w:val="32"/>
          <w:szCs w:val="32"/>
          <w:lang w:val="zh-CN"/>
        </w:rPr>
        <w:t>项目申报内容与具体实施内容相符、申报目标合理可行。</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（一）资金计划、到位及使用情况。</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楷体_GB2312" w:hAnsi="宋体" w:eastAsia="楷体_GB2312"/>
          <w:sz w:val="32"/>
          <w:szCs w:val="32"/>
          <w:lang w:val="zh-CN"/>
        </w:rPr>
        <w:t>1．资金计划及到位。</w:t>
      </w:r>
    </w:p>
    <w:p>
      <w:pPr>
        <w:adjustRightInd w:val="0"/>
        <w:snapToGrid w:val="0"/>
        <w:spacing w:line="560" w:lineRule="exact"/>
        <w:ind w:firstLine="720"/>
        <w:rPr>
          <w:rFonts w:hint="eastAsia" w:ascii="仿宋_GB2312" w:hAnsi="宋体"/>
          <w:sz w:val="32"/>
          <w:szCs w:val="32"/>
          <w:lang w:val="zh-CN"/>
        </w:rPr>
      </w:pPr>
      <w:r>
        <w:rPr>
          <w:rFonts w:hint="eastAsia" w:ascii="仿宋_GB2312" w:hAnsi="黑体" w:eastAsia="仿宋_GB2312"/>
          <w:sz w:val="32"/>
          <w:szCs w:val="32"/>
        </w:rPr>
        <w:t>根据（攀财资教</w:t>
      </w:r>
      <w:r>
        <w:rPr>
          <w:rFonts w:hint="eastAsia" w:ascii="仿宋_GB2312" w:eastAsia="仿宋_GB2312"/>
          <w:color w:val="auto"/>
          <w:kern w:val="0"/>
          <w:sz w:val="32"/>
          <w:szCs w:val="32"/>
          <w:lang w:val="en"/>
        </w:rPr>
        <w:t>〔202</w:t>
      </w:r>
      <w:r>
        <w:rPr>
          <w:rFonts w:hint="eastAsia" w:ascii="仿宋_GB2312"/>
          <w:color w:val="auto"/>
          <w:kern w:val="0"/>
          <w:sz w:val="32"/>
          <w:szCs w:val="32"/>
          <w:lang w:val="en-US" w:eastAsia="zh-CN"/>
        </w:rPr>
        <w:t>2</w:t>
      </w:r>
      <w:r>
        <w:rPr>
          <w:rFonts w:hint="eastAsia" w:ascii="仿宋_GB2312" w:eastAsia="仿宋_GB2312"/>
          <w:color w:val="auto"/>
          <w:kern w:val="0"/>
          <w:sz w:val="32"/>
          <w:szCs w:val="32"/>
          <w:lang w:val="en"/>
        </w:rPr>
        <w:t>〕</w:t>
      </w:r>
      <w:r>
        <w:rPr>
          <w:rFonts w:hint="eastAsia" w:ascii="仿宋_GB2312" w:hAnsi="黑体" w:eastAsia="仿宋_GB2312"/>
          <w:sz w:val="32"/>
          <w:szCs w:val="32"/>
        </w:rPr>
        <w:t>50号）</w:t>
      </w:r>
      <w:r>
        <w:rPr>
          <w:rFonts w:hint="eastAsia" w:ascii="仿宋_GB2312" w:hAnsi="黑体"/>
          <w:sz w:val="32"/>
          <w:szCs w:val="32"/>
          <w:lang w:eastAsia="zh-CN"/>
        </w:rPr>
        <w:t>，</w:t>
      </w:r>
      <w:r>
        <w:rPr>
          <w:rFonts w:hint="eastAsia" w:ascii="仿宋_GB2312" w:hAnsi="黑体" w:eastAsia="仿宋_GB2312"/>
          <w:sz w:val="32"/>
          <w:szCs w:val="32"/>
        </w:rPr>
        <w:t>于2022年9月</w:t>
      </w:r>
      <w:r>
        <w:rPr>
          <w:rFonts w:hint="eastAsia" w:ascii="仿宋_GB2312" w:hAnsi="黑体"/>
          <w:sz w:val="32"/>
          <w:szCs w:val="32"/>
          <w:lang w:eastAsia="zh-CN"/>
        </w:rPr>
        <w:t>，项目资金全部到位，</w:t>
      </w:r>
      <w:r>
        <w:rPr>
          <w:rFonts w:hint="eastAsia" w:ascii="仿宋_GB2312" w:eastAsia="仿宋_GB2312"/>
          <w:kern w:val="0"/>
          <w:sz w:val="32"/>
          <w:szCs w:val="32"/>
        </w:rPr>
        <w:t>共计</w:t>
      </w:r>
      <w:r>
        <w:rPr>
          <w:rFonts w:hint="eastAsia" w:ascii="仿宋_GB2312" w:eastAsia="仿宋_GB2312"/>
          <w:kern w:val="0"/>
          <w:sz w:val="32"/>
          <w:szCs w:val="32"/>
          <w:lang w:val="en-US" w:eastAsia="zh-CN"/>
        </w:rPr>
        <w:t>2</w:t>
      </w:r>
      <w:r>
        <w:rPr>
          <w:rFonts w:hint="eastAsia" w:ascii="仿宋_GB2312"/>
          <w:kern w:val="0"/>
          <w:sz w:val="32"/>
          <w:szCs w:val="32"/>
          <w:lang w:val="en-US" w:eastAsia="zh-CN"/>
        </w:rPr>
        <w:t>0</w:t>
      </w:r>
      <w:r>
        <w:rPr>
          <w:rFonts w:hint="eastAsia" w:ascii="仿宋_GB2312" w:eastAsia="仿宋_GB2312"/>
          <w:kern w:val="0"/>
          <w:sz w:val="32"/>
          <w:szCs w:val="32"/>
          <w:lang w:val="en" w:eastAsia="zh-CN"/>
        </w:rPr>
        <w:t>万</w:t>
      </w:r>
      <w:r>
        <w:rPr>
          <w:rFonts w:hint="eastAsia" w:ascii="仿宋_GB2312" w:eastAsia="仿宋_GB2312"/>
          <w:kern w:val="0"/>
          <w:sz w:val="32"/>
          <w:szCs w:val="32"/>
        </w:rPr>
        <w:t>元</w:t>
      </w:r>
      <w:r>
        <w:rPr>
          <w:rFonts w:hint="eastAsia" w:ascii="仿宋_GB2312" w:hAnsi="黑体" w:eastAsia="仿宋_GB2312"/>
          <w:sz w:val="32"/>
          <w:szCs w:val="32"/>
        </w:rPr>
        <w:t>。</w:t>
      </w:r>
    </w:p>
    <w:p>
      <w:pPr>
        <w:autoSpaceDE w:val="0"/>
        <w:autoSpaceDN w:val="0"/>
        <w:adjustRightInd w:val="0"/>
        <w:spacing w:line="600" w:lineRule="exact"/>
        <w:ind w:firstLine="640" w:firstLineChars="200"/>
        <w:jc w:val="left"/>
        <w:rPr>
          <w:rFonts w:hint="eastAsia" w:ascii="楷体_GB2312" w:hAnsi="宋体" w:eastAsia="楷体_GB2312"/>
          <w:sz w:val="32"/>
          <w:szCs w:val="32"/>
          <w:lang w:val="zh-CN"/>
        </w:rPr>
      </w:pPr>
      <w:r>
        <w:rPr>
          <w:rFonts w:hint="eastAsia" w:ascii="楷体_GB2312" w:hAnsi="宋体" w:eastAsia="楷体_GB2312"/>
          <w:sz w:val="32"/>
          <w:szCs w:val="32"/>
          <w:lang w:val="zh-CN"/>
        </w:rPr>
        <w:t>2．资金使用。</w:t>
      </w:r>
    </w:p>
    <w:p>
      <w:pPr>
        <w:adjustRightInd w:val="0"/>
        <w:snapToGrid w:val="0"/>
        <w:spacing w:line="560" w:lineRule="exact"/>
        <w:ind w:firstLine="720"/>
        <w:rPr>
          <w:rFonts w:hint="eastAsia" w:ascii="仿宋_GB2312" w:hAnsi="黑体" w:eastAsia="仿宋_GB2312"/>
          <w:sz w:val="32"/>
          <w:szCs w:val="32"/>
          <w:lang w:eastAsia="zh-CN"/>
        </w:rPr>
      </w:pPr>
      <w:r>
        <w:rPr>
          <w:rFonts w:hint="eastAsia" w:ascii="仿宋_GB2312" w:hAnsi="黑体"/>
          <w:sz w:val="32"/>
          <w:szCs w:val="32"/>
          <w:lang w:eastAsia="zh-CN"/>
        </w:rPr>
        <w:t>截止</w:t>
      </w:r>
      <w:r>
        <w:rPr>
          <w:rFonts w:hint="eastAsia" w:ascii="仿宋_GB2312" w:hAnsi="黑体"/>
          <w:sz w:val="32"/>
          <w:szCs w:val="32"/>
          <w:lang w:val="en-US" w:eastAsia="zh-CN"/>
        </w:rPr>
        <w:t>2022年底，项目</w:t>
      </w:r>
      <w:r>
        <w:rPr>
          <w:rFonts w:hint="eastAsia" w:ascii="仿宋_GB2312" w:hAnsi="黑体" w:eastAsia="仿宋_GB2312"/>
          <w:sz w:val="32"/>
          <w:szCs w:val="32"/>
        </w:rPr>
        <w:t>已列支差旅费5334.98元、劳务费12500.37元，小计17835.35元</w:t>
      </w:r>
      <w:r>
        <w:rPr>
          <w:rFonts w:hint="eastAsia" w:ascii="仿宋_GB2312" w:hAnsi="黑体" w:eastAsia="仿宋_GB2312"/>
          <w:sz w:val="32"/>
          <w:szCs w:val="32"/>
          <w:lang w:eastAsia="zh-CN"/>
        </w:rPr>
        <w:t>，</w:t>
      </w:r>
      <w:r>
        <w:rPr>
          <w:rFonts w:hint="eastAsia" w:ascii="仿宋_GB2312" w:hAnsi="黑体"/>
          <w:sz w:val="32"/>
          <w:szCs w:val="32"/>
          <w:lang w:eastAsia="zh-CN"/>
        </w:rPr>
        <w:t>经费支出</w:t>
      </w:r>
      <w:r>
        <w:rPr>
          <w:rFonts w:hint="eastAsia" w:ascii="仿宋_GB2312" w:hAnsi="黑体" w:eastAsia="仿宋_GB2312"/>
          <w:sz w:val="32"/>
          <w:szCs w:val="32"/>
        </w:rPr>
        <w:t>完全按照资金计划标准</w:t>
      </w:r>
      <w:r>
        <w:rPr>
          <w:rFonts w:hint="eastAsia" w:ascii="仿宋_GB2312" w:hAnsi="黑体" w:eastAsia="仿宋_GB2312"/>
          <w:sz w:val="32"/>
          <w:szCs w:val="32"/>
          <w:lang w:eastAsia="zh-CN"/>
        </w:rPr>
        <w:t>，</w:t>
      </w:r>
      <w:r>
        <w:rPr>
          <w:rFonts w:hint="eastAsia" w:ascii="仿宋_GB2312" w:hAnsi="黑体" w:eastAsia="仿宋_GB2312"/>
          <w:sz w:val="32"/>
          <w:szCs w:val="32"/>
        </w:rPr>
        <w:t>与</w:t>
      </w:r>
      <w:r>
        <w:rPr>
          <w:rFonts w:hint="eastAsia" w:ascii="仿宋_GB2312" w:hAnsi="黑体" w:eastAsia="仿宋_GB2312"/>
          <w:sz w:val="32"/>
          <w:szCs w:val="32"/>
          <w:lang w:eastAsia="zh-CN"/>
        </w:rPr>
        <w:t>资金计划</w:t>
      </w:r>
      <w:r>
        <w:rPr>
          <w:rFonts w:hint="eastAsia" w:ascii="仿宋_GB2312" w:hAnsi="黑体" w:eastAsia="仿宋_GB2312"/>
          <w:sz w:val="32"/>
          <w:szCs w:val="32"/>
        </w:rPr>
        <w:t>完全相符，支付依据等合规合法。</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我单位财务管理制度健全，所有项目经费均列“科技成果转化与服务”支出预算科目，同时严格批准预算执行，无擅自调整外拨资金情况。我单位承担项目在预算经费使用时，账务及时处理，会计核算符合规范，没有违反《资金管理办法》与财经纪律的行为发生。</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该项目由项目组人员按照项目负责人负总责，各成员分工负责的方式开展项目实施。</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hint="eastAsia" w:ascii="仿宋_GB2312" w:hAnsi="宋体"/>
          <w:sz w:val="32"/>
          <w:szCs w:val="32"/>
          <w:lang w:val="zh-CN"/>
        </w:rPr>
      </w:pPr>
      <w:r>
        <w:rPr>
          <w:rFonts w:hint="eastAsia" w:ascii="仿宋_GB2312" w:hAnsi="宋体"/>
          <w:sz w:val="32"/>
          <w:szCs w:val="32"/>
          <w:lang w:val="zh-CN"/>
        </w:rPr>
        <w:t>按照《四川省衔接推进乡村振兴科技服务类项目实施细则》（川科农</w:t>
      </w:r>
      <w:r>
        <w:rPr>
          <w:rFonts w:hint="eastAsia" w:ascii="仿宋_GB2312" w:hAnsi="宋体"/>
          <w:sz w:val="32"/>
          <w:szCs w:val="32"/>
          <w:lang w:val="en"/>
        </w:rPr>
        <w:t>〔202</w:t>
      </w:r>
      <w:r>
        <w:rPr>
          <w:rFonts w:hint="eastAsia" w:ascii="仿宋_GB2312" w:hAnsi="宋体"/>
          <w:sz w:val="32"/>
          <w:szCs w:val="32"/>
          <w:lang w:val="en-US" w:eastAsia="zh-CN"/>
        </w:rPr>
        <w:t>1</w:t>
      </w:r>
      <w:r>
        <w:rPr>
          <w:rFonts w:hint="eastAsia" w:ascii="仿宋_GB2312" w:hAnsi="宋体"/>
          <w:sz w:val="32"/>
          <w:szCs w:val="32"/>
          <w:lang w:val="en"/>
        </w:rPr>
        <w:t>〕</w:t>
      </w:r>
      <w:r>
        <w:rPr>
          <w:rFonts w:hint="eastAsia" w:ascii="仿宋_GB2312" w:hAnsi="宋体"/>
          <w:sz w:val="32"/>
          <w:szCs w:val="32"/>
          <w:lang w:val="zh-CN"/>
        </w:rPr>
        <w:t>20号）要求，结合省运管中心月度例会培训实例核实信息员及专家咨询信息的有效性，全年完成有效性咨询判定6323条，其中驳回无效咨询269条</w:t>
      </w:r>
      <w:r>
        <w:rPr>
          <w:rFonts w:hint="eastAsia" w:ascii="仿宋_GB2312" w:hAnsi="宋体"/>
          <w:sz w:val="32"/>
          <w:szCs w:val="32"/>
          <w:lang w:val="zh-CN" w:eastAsia="zh-CN"/>
        </w:rPr>
        <w:t>；</w:t>
      </w:r>
      <w:r>
        <w:rPr>
          <w:rFonts w:hint="eastAsia" w:ascii="仿宋_GB2312" w:hAnsi="宋体"/>
          <w:sz w:val="32"/>
          <w:szCs w:val="32"/>
          <w:lang w:val="zh-CN"/>
        </w:rPr>
        <w:t>市平台共分诊各县区平台信息咨询339条，抽查回访农户231户，开展现场回访20余户。完成2022年度科技兴村服务类项目补助申领收集整理统计上报工作</w:t>
      </w:r>
      <w:r>
        <w:rPr>
          <w:rFonts w:hint="eastAsia" w:ascii="仿宋_GB2312" w:hAnsi="宋体"/>
          <w:sz w:val="32"/>
          <w:szCs w:val="32"/>
          <w:lang w:val="zh-CN" w:eastAsia="zh-CN"/>
        </w:rPr>
        <w:t>，申报</w:t>
      </w:r>
      <w:r>
        <w:rPr>
          <w:rFonts w:hint="eastAsia" w:ascii="仿宋_GB2312" w:hAnsi="宋体"/>
          <w:sz w:val="32"/>
          <w:szCs w:val="32"/>
          <w:lang w:val="zh-CN"/>
        </w:rPr>
        <w:t>信息员</w:t>
      </w:r>
      <w:r>
        <w:rPr>
          <w:rFonts w:hint="eastAsia" w:ascii="仿宋_GB2312" w:hAnsi="宋体"/>
          <w:sz w:val="32"/>
          <w:szCs w:val="32"/>
          <w:lang w:val="zh-CN" w:eastAsia="zh-CN"/>
        </w:rPr>
        <w:t>补助</w:t>
      </w:r>
      <w:r>
        <w:rPr>
          <w:rFonts w:hint="eastAsia" w:ascii="仿宋_GB2312" w:hAnsi="宋体"/>
          <w:sz w:val="32"/>
          <w:szCs w:val="32"/>
          <w:lang w:val="zh-CN"/>
        </w:rPr>
        <w:t>217人</w:t>
      </w:r>
      <w:r>
        <w:rPr>
          <w:rFonts w:hint="eastAsia" w:ascii="仿宋_GB2312" w:hAnsi="宋体"/>
          <w:sz w:val="32"/>
          <w:szCs w:val="32"/>
          <w:lang w:val="zh-CN" w:eastAsia="zh-CN"/>
        </w:rPr>
        <w:t>、</w:t>
      </w:r>
      <w:r>
        <w:rPr>
          <w:rFonts w:hint="eastAsia" w:ascii="仿宋_GB2312" w:hAnsi="宋体"/>
          <w:sz w:val="32"/>
          <w:szCs w:val="32"/>
          <w:lang w:val="en"/>
        </w:rPr>
        <w:t>137210</w:t>
      </w:r>
      <w:r>
        <w:rPr>
          <w:rFonts w:hint="eastAsia" w:ascii="仿宋_GB2312" w:hAnsi="宋体"/>
          <w:sz w:val="32"/>
          <w:szCs w:val="32"/>
          <w:lang w:val="zh-CN"/>
        </w:rPr>
        <w:t>元，</w:t>
      </w:r>
      <w:r>
        <w:rPr>
          <w:rFonts w:hint="eastAsia" w:ascii="仿宋_GB2312" w:hAnsi="宋体"/>
          <w:sz w:val="32"/>
          <w:szCs w:val="32"/>
          <w:lang w:val="zh-CN" w:eastAsia="zh-CN"/>
        </w:rPr>
        <w:t>申报</w:t>
      </w:r>
      <w:r>
        <w:rPr>
          <w:rFonts w:hint="eastAsia" w:ascii="仿宋_GB2312" w:hAnsi="宋体"/>
          <w:sz w:val="32"/>
          <w:szCs w:val="32"/>
          <w:lang w:val="zh-CN"/>
        </w:rPr>
        <w:t>专家补助271人</w:t>
      </w:r>
      <w:r>
        <w:rPr>
          <w:rFonts w:hint="eastAsia" w:ascii="仿宋_GB2312" w:hAnsi="宋体"/>
          <w:sz w:val="32"/>
          <w:szCs w:val="32"/>
          <w:lang w:val="en"/>
        </w:rPr>
        <w:t>/次</w:t>
      </w:r>
      <w:r>
        <w:rPr>
          <w:rFonts w:hint="eastAsia" w:ascii="仿宋_GB2312" w:hAnsi="宋体"/>
          <w:sz w:val="32"/>
          <w:szCs w:val="32"/>
          <w:lang w:val="zh-CN" w:eastAsia="zh-CN"/>
        </w:rPr>
        <w:t>、</w:t>
      </w:r>
      <w:r>
        <w:rPr>
          <w:rFonts w:hint="eastAsia" w:ascii="仿宋_GB2312" w:hAnsi="宋体"/>
          <w:sz w:val="32"/>
          <w:szCs w:val="32"/>
          <w:lang w:val="zh-CN"/>
        </w:rPr>
        <w:t>费用为</w:t>
      </w:r>
      <w:r>
        <w:rPr>
          <w:rFonts w:hint="eastAsia" w:ascii="仿宋_GB2312" w:hAnsi="宋体"/>
          <w:sz w:val="32"/>
          <w:szCs w:val="32"/>
          <w:lang w:val="en"/>
        </w:rPr>
        <w:t>317664</w:t>
      </w:r>
      <w:r>
        <w:rPr>
          <w:rFonts w:hint="eastAsia" w:ascii="仿宋_GB2312" w:hAnsi="宋体"/>
          <w:sz w:val="32"/>
          <w:szCs w:val="32"/>
          <w:lang w:val="zh-CN"/>
        </w:rPr>
        <w:t>元，其中省平台分摊</w:t>
      </w:r>
      <w:r>
        <w:rPr>
          <w:rFonts w:hint="eastAsia" w:ascii="仿宋_GB2312" w:hAnsi="宋体"/>
          <w:sz w:val="32"/>
          <w:szCs w:val="32"/>
          <w:lang w:val="en"/>
        </w:rPr>
        <w:t>267412</w:t>
      </w:r>
      <w:r>
        <w:rPr>
          <w:rFonts w:hint="eastAsia" w:ascii="仿宋_GB2312" w:hAnsi="宋体"/>
          <w:sz w:val="32"/>
          <w:szCs w:val="32"/>
          <w:lang w:val="zh-CN"/>
        </w:rPr>
        <w:t>元，市平台分摊</w:t>
      </w:r>
      <w:r>
        <w:rPr>
          <w:rFonts w:hint="eastAsia" w:ascii="仿宋_GB2312" w:hAnsi="宋体"/>
          <w:sz w:val="32"/>
          <w:szCs w:val="32"/>
          <w:lang w:val="en"/>
        </w:rPr>
        <w:t>136463</w:t>
      </w:r>
      <w:r>
        <w:rPr>
          <w:rFonts w:hint="eastAsia" w:ascii="仿宋_GB2312" w:hAnsi="宋体"/>
          <w:sz w:val="32"/>
          <w:szCs w:val="32"/>
          <w:lang w:val="zh-CN"/>
        </w:rPr>
        <w:t>元，</w:t>
      </w:r>
      <w:r>
        <w:rPr>
          <w:rFonts w:hint="eastAsia" w:ascii="仿宋_GB2312" w:hAnsi="宋体"/>
          <w:sz w:val="32"/>
          <w:szCs w:val="32"/>
          <w:lang w:val="en"/>
        </w:rPr>
        <w:t>县级</w:t>
      </w:r>
      <w:r>
        <w:rPr>
          <w:rFonts w:hint="eastAsia" w:ascii="仿宋_GB2312" w:hAnsi="宋体"/>
          <w:sz w:val="32"/>
          <w:szCs w:val="32"/>
          <w:lang w:val="zh-CN"/>
        </w:rPr>
        <w:t>分摊50999元。市平台先后在盐边县、东区、西区运管中心开展培训5次，召开“四川科技兴村在线”攀枝花平台工作会1次，培训信息员、专家和分诊员140余人。</w:t>
      </w:r>
    </w:p>
    <w:p>
      <w:pPr>
        <w:adjustRightInd w:val="0"/>
        <w:snapToGrid w:val="0"/>
        <w:spacing w:line="560" w:lineRule="exact"/>
        <w:ind w:firstLine="720"/>
        <w:rPr>
          <w:rFonts w:hint="eastAsia" w:ascii="仿宋_GB2312" w:hAnsi="宋体"/>
          <w:sz w:val="32"/>
          <w:szCs w:val="32"/>
          <w:lang w:val="zh-CN"/>
        </w:rPr>
      </w:pPr>
      <w:r>
        <w:rPr>
          <w:rFonts w:hint="eastAsia" w:ascii="仿宋_GB2312" w:hAnsi="宋体"/>
          <w:sz w:val="32"/>
          <w:szCs w:val="32"/>
          <w:lang w:val="zh-CN"/>
        </w:rPr>
        <w:t>截止目前，全市平台运管中心入库专家503人，入库信息员812人，分诊员29人。2022年专家在线咨询服务4231条，录入成果转化、产业支撑、供销对接20项；服务农户1664户，种植规模23811亩，养殖规模17405头/只；服务新型农业经营主体70个，种植规模共3785亩，养殖规模3150头/只；产生经济效益8408万元，挽回经济损失836万元，为科技助力乡村振兴提供了抓手，为农村产业发展、农民增收做出了贡献。</w:t>
      </w:r>
    </w:p>
    <w:p>
      <w:pPr>
        <w:spacing w:line="560" w:lineRule="exact"/>
        <w:ind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0" w:firstLineChars="200"/>
        <w:rPr>
          <w:rFonts w:hint="eastAsia" w:ascii="楷体_GB2312" w:hAnsi="宋体" w:eastAsia="楷体_GB2312"/>
          <w:b/>
          <w:sz w:val="32"/>
          <w:szCs w:val="32"/>
          <w:lang w:val="zh-CN"/>
        </w:rPr>
      </w:pPr>
      <w:r>
        <w:rPr>
          <w:rFonts w:hint="eastAsia" w:ascii="仿宋_GB2312" w:hAnsi="仿宋_GB2312" w:eastAsia="仿宋_GB2312" w:cs="仿宋_GB2312"/>
          <w:sz w:val="32"/>
          <w:szCs w:val="32"/>
        </w:rPr>
        <w:t>2022年按照“六有”（有机构、有职能、有人员、有场地、有条件、有经费）标准建成了盐边县、西区平台运管中心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实现了“四川科技兴村在线”</w:t>
      </w:r>
      <w:r>
        <w:rPr>
          <w:rFonts w:hint="eastAsia" w:ascii="仿宋_GB2312" w:hAnsi="仿宋_GB2312" w:cs="仿宋_GB2312"/>
          <w:sz w:val="32"/>
          <w:szCs w:val="32"/>
          <w:lang w:eastAsia="zh-CN"/>
        </w:rPr>
        <w:t>全市</w:t>
      </w:r>
      <w:r>
        <w:rPr>
          <w:rFonts w:hint="eastAsia" w:ascii="仿宋_GB2312" w:hAnsi="仿宋_GB2312" w:eastAsia="仿宋_GB2312" w:cs="仿宋_GB2312"/>
          <w:sz w:val="32"/>
          <w:szCs w:val="32"/>
        </w:rPr>
        <w:t>覆盖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县两级平台</w:t>
      </w:r>
      <w:r>
        <w:rPr>
          <w:rFonts w:hint="eastAsia" w:ascii="Times New Roman" w:hAnsi="Times New Roman" w:eastAsia="仿宋_GB2312"/>
          <w:sz w:val="32"/>
          <w:szCs w:val="32"/>
        </w:rPr>
        <w:t>工作按照专人报送、专业分诊、专家解答、专家答复有序推进“线上线下”咨询服务，根据“一具体”“两性”“三精准”原则判定信息有效性，确保了平台高质高效运行。</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720"/>
        <w:rPr>
          <w:rFonts w:hint="eastAsia" w:ascii="仿宋_GB2312" w:hAnsi="宋体"/>
          <w:sz w:val="32"/>
          <w:szCs w:val="32"/>
          <w:lang w:val="zh-CN"/>
        </w:rPr>
      </w:pPr>
      <w:r>
        <w:rPr>
          <w:rFonts w:hint="eastAsia" w:ascii="仿宋_GB2312" w:hAnsi="宋体"/>
          <w:sz w:val="32"/>
          <w:szCs w:val="32"/>
          <w:lang w:val="zh-CN"/>
        </w:rPr>
        <w:t>无。</w:t>
      </w:r>
    </w:p>
    <w:p>
      <w:p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720"/>
        <w:rPr>
          <w:rFonts w:hint="eastAsia" w:ascii="仿宋_GB2312" w:hAnsi="宋体"/>
          <w:sz w:val="32"/>
          <w:szCs w:val="32"/>
          <w:lang w:val="zh-CN"/>
        </w:rPr>
      </w:pPr>
      <w:r>
        <w:rPr>
          <w:rFonts w:hint="eastAsia" w:ascii="仿宋_GB2312" w:hAnsi="宋体"/>
          <w:sz w:val="32"/>
          <w:szCs w:val="32"/>
          <w:lang w:val="zh-CN"/>
        </w:rPr>
        <w:t>无。</w:t>
      </w:r>
      <w:bookmarkStart w:id="62" w:name="_Toc15396618"/>
    </w:p>
    <w:p>
      <w:pPr>
        <w:rPr>
          <w:rFonts w:hint="eastAsia" w:ascii="仿宋_GB2312" w:hAnsi="宋体"/>
          <w:sz w:val="32"/>
          <w:szCs w:val="32"/>
          <w:lang w:val="zh-CN"/>
        </w:rPr>
      </w:pPr>
      <w:r>
        <w:rPr>
          <w:rFonts w:hint="eastAsia" w:ascii="仿宋_GB2312" w:hAnsi="宋体"/>
          <w:sz w:val="32"/>
          <w:szCs w:val="32"/>
          <w:lang w:val="zh-CN"/>
        </w:rPr>
        <w:br w:type="page"/>
      </w:r>
    </w:p>
    <w:p>
      <w:pPr>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jc w:val="center"/>
        <w:rPr>
          <w:rFonts w:hint="eastAsia" w:ascii="方正仿宋_GBK" w:hAnsi="方正仿宋_GBK" w:eastAsia="方正仿宋_GBK" w:cs="方正仿宋_GBK"/>
          <w:b/>
          <w:bCs/>
          <w:color w:val="auto"/>
          <w:kern w:val="2"/>
          <w:sz w:val="32"/>
          <w:szCs w:val="32"/>
          <w:lang w:val="en-US" w:eastAsia="zh-CN"/>
        </w:rPr>
      </w:pPr>
      <w:r>
        <w:rPr>
          <w:rFonts w:hint="eastAsia" w:ascii="方正仿宋_GBK" w:hAnsi="方正仿宋_GBK" w:eastAsia="方正仿宋_GBK" w:cs="方正仿宋_GBK"/>
          <w:b/>
          <w:bCs/>
          <w:color w:val="auto"/>
          <w:kern w:val="2"/>
          <w:sz w:val="32"/>
          <w:szCs w:val="32"/>
          <w:lang w:val="en-US" w:eastAsia="zh-CN"/>
        </w:rPr>
        <w:t>（</w:t>
      </w:r>
      <w:r>
        <w:rPr>
          <w:rFonts w:hint="eastAsia" w:ascii="方正仿宋_GBK" w:hAnsi="方正仿宋_GBK" w:eastAsia="方正仿宋_GBK" w:cs="方正仿宋_GBK"/>
          <w:b/>
          <w:bCs/>
          <w:color w:val="auto"/>
          <w:kern w:val="2"/>
          <w:sz w:val="32"/>
          <w:szCs w:val="32"/>
          <w:lang w:val="en-US"/>
        </w:rPr>
        <w:t>市级科技创新劵</w:t>
      </w:r>
      <w:r>
        <w:rPr>
          <w:rFonts w:hint="eastAsia" w:ascii="方正仿宋_GBK" w:hAnsi="方正仿宋_GBK" w:eastAsia="方正仿宋_GBK" w:cs="方正仿宋_GBK"/>
          <w:b/>
          <w:bCs/>
          <w:color w:val="auto"/>
          <w:kern w:val="2"/>
          <w:sz w:val="32"/>
          <w:szCs w:val="32"/>
          <w:lang w:val="en-US" w:eastAsia="zh-CN"/>
        </w:rPr>
        <w:t>）</w:t>
      </w:r>
    </w:p>
    <w:p>
      <w:pPr>
        <w:adjustRightInd w:val="0"/>
        <w:snapToGrid w:val="0"/>
        <w:spacing w:line="560" w:lineRule="exact"/>
        <w:ind w:firstLine="720"/>
        <w:rPr>
          <w:rFonts w:hint="eastAsia" w:ascii="黑体" w:hAnsi="宋体" w:eastAsia="黑体"/>
          <w:sz w:val="32"/>
          <w:szCs w:val="32"/>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仿宋_GB2312" w:hAnsi="宋体"/>
          <w:sz w:val="32"/>
          <w:szCs w:val="32"/>
          <w:lang w:val="zh-CN"/>
        </w:rPr>
      </w:pPr>
      <w:r>
        <w:rPr>
          <w:rFonts w:hint="eastAsia" w:ascii="仿宋_GB2312" w:hAnsi="宋体"/>
          <w:sz w:val="32"/>
          <w:szCs w:val="32"/>
          <w:lang w:val="zh-CN"/>
        </w:rPr>
        <w:t>介绍项目基本情况，重点说明以下内容：</w:t>
      </w:r>
    </w:p>
    <w:p>
      <w:pPr>
        <w:pStyle w:val="31"/>
        <w:numPr>
          <w:ilvl w:val="0"/>
          <w:numId w:val="12"/>
        </w:numPr>
        <w:adjustRightInd w:val="0"/>
        <w:snapToGrid w:val="0"/>
        <w:spacing w:line="560" w:lineRule="exact"/>
        <w:ind w:firstLineChars="0"/>
        <w:rPr>
          <w:rFonts w:ascii="仿宋_GB2312" w:hAnsi="宋体"/>
          <w:sz w:val="32"/>
          <w:szCs w:val="32"/>
          <w:lang w:val="zh-CN"/>
        </w:rPr>
      </w:pPr>
      <w:r>
        <w:rPr>
          <w:rFonts w:hint="eastAsia" w:ascii="楷体_GB2312" w:hAnsi="宋体" w:eastAsia="楷体_GB2312"/>
          <w:b/>
          <w:sz w:val="32"/>
          <w:szCs w:val="32"/>
          <w:lang w:val="zh-CN"/>
        </w:rPr>
        <w:t>项目资金申报及批复情况</w:t>
      </w:r>
    </w:p>
    <w:tbl>
      <w:tblPr>
        <w:tblStyle w:val="1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783"/>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jc w:val="center"/>
              <w:rPr>
                <w:rFonts w:ascii="仿宋_GB2312"/>
                <w:b/>
                <w:sz w:val="32"/>
                <w:szCs w:val="32"/>
              </w:rPr>
            </w:pPr>
            <w:r>
              <w:rPr>
                <w:rFonts w:hint="eastAsia" w:ascii="仿宋_GB2312"/>
                <w:b/>
                <w:sz w:val="32"/>
                <w:szCs w:val="32"/>
              </w:rPr>
              <w:t>资金计划</w:t>
            </w:r>
          </w:p>
        </w:tc>
        <w:tc>
          <w:tcPr>
            <w:tcW w:w="1783" w:type="dxa"/>
            <w:vAlign w:val="center"/>
          </w:tcPr>
          <w:p>
            <w:pPr>
              <w:jc w:val="center"/>
              <w:rPr>
                <w:rFonts w:ascii="仿宋_GB2312"/>
                <w:b/>
                <w:sz w:val="32"/>
                <w:szCs w:val="32"/>
              </w:rPr>
            </w:pPr>
            <w:r>
              <w:rPr>
                <w:rFonts w:hint="eastAsia" w:ascii="仿宋_GB2312"/>
                <w:b/>
                <w:sz w:val="32"/>
                <w:szCs w:val="32"/>
              </w:rPr>
              <w:t>资金到位情况</w:t>
            </w:r>
          </w:p>
        </w:tc>
        <w:tc>
          <w:tcPr>
            <w:tcW w:w="5426" w:type="dxa"/>
            <w:vAlign w:val="center"/>
          </w:tcPr>
          <w:p>
            <w:pPr>
              <w:jc w:val="center"/>
              <w:rPr>
                <w:rFonts w:ascii="仿宋_GB2312"/>
                <w:b/>
                <w:sz w:val="32"/>
                <w:szCs w:val="32"/>
              </w:rPr>
            </w:pPr>
            <w:r>
              <w:rPr>
                <w:rFonts w:hint="eastAsia" w:ascii="仿宋_GB2312"/>
                <w:b/>
                <w:sz w:val="32"/>
                <w:szCs w:val="32"/>
              </w:rPr>
              <w:t>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8" w:hRule="atLeast"/>
          <w:jc w:val="center"/>
        </w:trPr>
        <w:tc>
          <w:tcPr>
            <w:tcW w:w="1291" w:type="dxa"/>
            <w:vAlign w:val="center"/>
          </w:tcPr>
          <w:p>
            <w:pPr>
              <w:jc w:val="center"/>
              <w:rPr>
                <w:rFonts w:ascii="仿宋_GB2312"/>
                <w:sz w:val="32"/>
                <w:szCs w:val="32"/>
              </w:rPr>
            </w:pPr>
            <w:r>
              <w:rPr>
                <w:rFonts w:hint="eastAsia" w:ascii="仿宋_GB2312"/>
                <w:sz w:val="32"/>
                <w:szCs w:val="32"/>
              </w:rPr>
              <w:t>25万元</w:t>
            </w:r>
          </w:p>
        </w:tc>
        <w:tc>
          <w:tcPr>
            <w:tcW w:w="1783" w:type="dxa"/>
            <w:vAlign w:val="center"/>
          </w:tcPr>
          <w:p>
            <w:pPr>
              <w:jc w:val="center"/>
              <w:rPr>
                <w:rFonts w:ascii="仿宋_GB2312"/>
                <w:sz w:val="32"/>
                <w:szCs w:val="32"/>
              </w:rPr>
            </w:pPr>
            <w:r>
              <w:rPr>
                <w:rFonts w:hint="eastAsia" w:ascii="仿宋_GB2312"/>
                <w:sz w:val="32"/>
                <w:szCs w:val="32"/>
              </w:rPr>
              <w:t>市级</w:t>
            </w:r>
            <w:r>
              <w:rPr>
                <w:rFonts w:hint="eastAsia" w:ascii="仿宋_GB2312"/>
                <w:sz w:val="32"/>
                <w:szCs w:val="32"/>
                <w:lang w:eastAsia="zh-CN"/>
              </w:rPr>
              <w:t>科技创新劵</w:t>
            </w:r>
            <w:r>
              <w:rPr>
                <w:rFonts w:hint="eastAsia" w:ascii="仿宋_GB2312"/>
                <w:sz w:val="32"/>
                <w:szCs w:val="32"/>
              </w:rPr>
              <w:t>25万元</w:t>
            </w:r>
          </w:p>
        </w:tc>
        <w:tc>
          <w:tcPr>
            <w:tcW w:w="5426" w:type="dxa"/>
            <w:vAlign w:val="center"/>
          </w:tcPr>
          <w:p>
            <w:pPr>
              <w:adjustRightInd w:val="0"/>
              <w:snapToGrid w:val="0"/>
              <w:spacing w:line="360" w:lineRule="auto"/>
              <w:ind w:left="315" w:leftChars="150" w:firstLine="480" w:firstLineChars="150"/>
              <w:rPr>
                <w:rFonts w:ascii="仿宋_GB2312" w:cs="仿宋"/>
                <w:color w:val="000000"/>
                <w:kern w:val="0"/>
                <w:sz w:val="32"/>
                <w:szCs w:val="32"/>
              </w:rPr>
            </w:pPr>
            <w:r>
              <w:rPr>
                <w:rFonts w:hint="eastAsia" w:ascii="仿宋_GB2312" w:cs="仿宋"/>
                <w:color w:val="000000"/>
                <w:kern w:val="0"/>
                <w:sz w:val="32"/>
                <w:szCs w:val="32"/>
              </w:rPr>
              <w:t>1、共应兑付科技创新券补贴24.14万元，其中补贴企业14家共16.14万元，补贴机构5家、7.31万元。</w:t>
            </w:r>
          </w:p>
          <w:p>
            <w:pPr>
              <w:adjustRightInd w:val="0"/>
              <w:snapToGrid w:val="0"/>
              <w:spacing w:line="360" w:lineRule="auto"/>
              <w:ind w:left="315" w:leftChars="150" w:firstLine="480" w:firstLineChars="150"/>
              <w:rPr>
                <w:rFonts w:ascii="仿宋_GB2312" w:cs="仿宋"/>
                <w:color w:val="000000"/>
                <w:kern w:val="0"/>
                <w:sz w:val="32"/>
                <w:szCs w:val="32"/>
              </w:rPr>
            </w:pPr>
            <w:r>
              <w:rPr>
                <w:rFonts w:hint="eastAsia" w:ascii="仿宋_GB2312" w:cs="仿宋"/>
                <w:color w:val="000000"/>
                <w:kern w:val="0"/>
                <w:sz w:val="32"/>
                <w:szCs w:val="32"/>
              </w:rPr>
              <w:t>实际兑付23.45万元。其中补贴企业13家共15.44万元，补贴机构5家、7.31万元。</w:t>
            </w:r>
          </w:p>
          <w:p>
            <w:pPr>
              <w:adjustRightInd w:val="0"/>
              <w:snapToGrid w:val="0"/>
              <w:spacing w:line="360" w:lineRule="auto"/>
              <w:ind w:firstLine="1120" w:firstLineChars="350"/>
              <w:rPr>
                <w:rFonts w:ascii="仿宋_GB2312" w:cs="仿宋"/>
                <w:color w:val="000000"/>
                <w:kern w:val="0"/>
                <w:sz w:val="32"/>
                <w:szCs w:val="32"/>
              </w:rPr>
            </w:pPr>
            <w:r>
              <w:rPr>
                <w:rFonts w:hint="eastAsia" w:ascii="仿宋_GB2312" w:cs="仿宋"/>
                <w:color w:val="000000"/>
                <w:kern w:val="0"/>
                <w:sz w:val="32"/>
                <w:szCs w:val="32"/>
              </w:rPr>
              <w:t>2、创新券申兑系统维护费0.85万元。</w:t>
            </w:r>
          </w:p>
          <w:p>
            <w:pPr>
              <w:adjustRightInd w:val="0"/>
              <w:snapToGrid w:val="0"/>
              <w:spacing w:line="360" w:lineRule="auto"/>
              <w:ind w:firstLine="988" w:firstLineChars="309"/>
              <w:rPr>
                <w:rFonts w:ascii="仿宋_GB2312" w:cs="仿宋"/>
                <w:color w:val="000000"/>
                <w:kern w:val="0"/>
                <w:sz w:val="32"/>
                <w:szCs w:val="32"/>
              </w:rPr>
            </w:pPr>
            <w:r>
              <w:rPr>
                <w:rFonts w:hint="eastAsia" w:ascii="仿宋_GB2312" w:cs="仿宋"/>
                <w:color w:val="000000"/>
                <w:kern w:val="0"/>
                <w:sz w:val="32"/>
                <w:szCs w:val="32"/>
              </w:rPr>
              <w:t>两项合计使用资金24.30万元</w:t>
            </w:r>
          </w:p>
        </w:tc>
      </w:tr>
    </w:tbl>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720"/>
        <w:rPr>
          <w:rFonts w:ascii="仿宋_GB2312"/>
          <w:sz w:val="32"/>
          <w:szCs w:val="32"/>
        </w:rPr>
      </w:pPr>
      <w:r>
        <w:rPr>
          <w:rFonts w:hint="eastAsia" w:ascii="仿宋_GB2312"/>
          <w:sz w:val="32"/>
          <w:szCs w:val="32"/>
        </w:rPr>
        <w:t>攀枝花市科技</w:t>
      </w:r>
      <w:r>
        <w:rPr>
          <w:rFonts w:ascii="仿宋_GB2312"/>
          <w:sz w:val="32"/>
          <w:szCs w:val="32"/>
        </w:rPr>
        <w:t>创新券是</w:t>
      </w:r>
      <w:r>
        <w:rPr>
          <w:rFonts w:hint="eastAsia" w:ascii="仿宋_GB2312"/>
          <w:sz w:val="32"/>
          <w:szCs w:val="32"/>
        </w:rPr>
        <w:t>攀枝花市</w:t>
      </w:r>
      <w:r>
        <w:rPr>
          <w:rFonts w:ascii="仿宋_GB2312"/>
          <w:sz w:val="32"/>
          <w:szCs w:val="32"/>
        </w:rPr>
        <w:t>政府向企业免费发放的权益凭证，主要用于本市企业向科技服务机构购买检验检测、专利申报及评估、高企申报和科技成果评价等科技创新服务以及市内科技服务机构开展以上科技创新服务的补贴。</w:t>
      </w:r>
      <w:r>
        <w:rPr>
          <w:rFonts w:hint="eastAsia" w:ascii="仿宋_GB2312"/>
          <w:sz w:val="32"/>
          <w:szCs w:val="32"/>
        </w:rPr>
        <w:t>2022年度计划补贴企业12家，服务机构4家，补贴总额15万元。创新券申领工作每年度年初开始，11月上旬结束；创新券补贴审核兑现工作每年度9月份开始，11月上旬结束。</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firstLine="720"/>
        <w:rPr>
          <w:rFonts w:ascii="仿宋_GB2312"/>
          <w:sz w:val="32"/>
          <w:szCs w:val="32"/>
        </w:rPr>
      </w:pPr>
      <w:r>
        <w:rPr>
          <w:rFonts w:hint="eastAsia" w:ascii="仿宋_GB2312"/>
          <w:sz w:val="32"/>
          <w:szCs w:val="32"/>
        </w:rPr>
        <w:t>攀枝花市科技</w:t>
      </w:r>
      <w:r>
        <w:rPr>
          <w:rFonts w:ascii="仿宋_GB2312"/>
          <w:sz w:val="32"/>
          <w:szCs w:val="32"/>
        </w:rPr>
        <w:t>创新券用于</w:t>
      </w:r>
      <w:r>
        <w:rPr>
          <w:rFonts w:hint="eastAsia" w:ascii="仿宋_GB2312"/>
          <w:sz w:val="32"/>
          <w:szCs w:val="32"/>
        </w:rPr>
        <w:t>对参与创新活动的本市企业和服务机构进行补贴。</w:t>
      </w:r>
      <w:r>
        <w:rPr>
          <w:rFonts w:hint="eastAsia" w:ascii="仿宋_GB2312" w:hAnsi="宋体"/>
          <w:sz w:val="32"/>
          <w:szCs w:val="32"/>
          <w:lang w:val="zh-CN"/>
        </w:rPr>
        <w:t>项目计划补贴企业和机构数量、计划补贴金额根据上一年度数据测算并适度调整。</w:t>
      </w:r>
      <w:r>
        <w:rPr>
          <w:rFonts w:hint="eastAsia" w:ascii="仿宋_GB2312"/>
          <w:sz w:val="32"/>
          <w:szCs w:val="32"/>
        </w:rPr>
        <w:t>本年度项目资金已全部拨付相关机构和企业。</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60" w:lineRule="exact"/>
        <w:ind w:firstLine="993"/>
        <w:rPr>
          <w:rFonts w:ascii="仿宋_GB2312"/>
          <w:sz w:val="32"/>
          <w:szCs w:val="32"/>
        </w:rPr>
      </w:pPr>
      <w:r>
        <w:rPr>
          <w:rFonts w:hint="eastAsia" w:ascii="仿宋_GB2312"/>
          <w:sz w:val="32"/>
          <w:szCs w:val="32"/>
        </w:rPr>
        <w:t>1．资金计划及到位</w:t>
      </w:r>
    </w:p>
    <w:p>
      <w:pPr>
        <w:adjustRightInd w:val="0"/>
        <w:snapToGrid w:val="0"/>
        <w:spacing w:line="560" w:lineRule="exact"/>
        <w:ind w:left="279" w:leftChars="133" w:firstLine="567"/>
        <w:rPr>
          <w:rFonts w:ascii="仿宋_GB2312"/>
          <w:sz w:val="32"/>
          <w:szCs w:val="32"/>
        </w:rPr>
      </w:pPr>
      <w:r>
        <w:rPr>
          <w:rFonts w:hint="eastAsia" w:ascii="仿宋_GB2312"/>
          <w:sz w:val="32"/>
          <w:szCs w:val="32"/>
        </w:rPr>
        <w:t>该项目资金省级后补助资金14.75万元与市级专项资金10.25万元已及时到位。</w:t>
      </w:r>
    </w:p>
    <w:p>
      <w:pPr>
        <w:adjustRightInd w:val="0"/>
        <w:snapToGrid w:val="0"/>
        <w:spacing w:line="560" w:lineRule="exact"/>
        <w:ind w:left="279" w:leftChars="133" w:firstLine="567"/>
        <w:rPr>
          <w:rFonts w:ascii="仿宋_GB2312"/>
          <w:sz w:val="32"/>
          <w:szCs w:val="32"/>
        </w:rPr>
      </w:pPr>
      <w:r>
        <w:rPr>
          <w:rFonts w:hint="eastAsia" w:ascii="仿宋_GB2312"/>
          <w:sz w:val="32"/>
          <w:szCs w:val="32"/>
        </w:rPr>
        <w:t>2．资金使用</w:t>
      </w:r>
    </w:p>
    <w:p>
      <w:pPr>
        <w:adjustRightInd w:val="0"/>
        <w:snapToGrid w:val="0"/>
        <w:spacing w:line="560" w:lineRule="exact"/>
        <w:ind w:left="279" w:leftChars="133" w:firstLine="567"/>
        <w:rPr>
          <w:rFonts w:ascii="仿宋_GB2312"/>
          <w:sz w:val="32"/>
          <w:szCs w:val="32"/>
        </w:rPr>
      </w:pPr>
      <w:r>
        <w:rPr>
          <w:rFonts w:ascii="仿宋_GB2312"/>
          <w:sz w:val="32"/>
          <w:szCs w:val="32"/>
        </w:rPr>
        <w:t>根据《管理办法》，我市组织开展了</w:t>
      </w:r>
      <w:r>
        <w:rPr>
          <w:rFonts w:hint="eastAsia" w:ascii="仿宋_GB2312"/>
          <w:sz w:val="32"/>
          <w:szCs w:val="32"/>
        </w:rPr>
        <w:t>2021年度</w:t>
      </w:r>
      <w:r>
        <w:rPr>
          <w:rFonts w:ascii="仿宋_GB2312"/>
          <w:sz w:val="32"/>
          <w:szCs w:val="32"/>
        </w:rPr>
        <w:t>攀枝花市科技创新券</w:t>
      </w:r>
      <w:r>
        <w:rPr>
          <w:rFonts w:hint="eastAsia" w:ascii="仿宋_GB2312"/>
          <w:sz w:val="32"/>
          <w:szCs w:val="32"/>
        </w:rPr>
        <w:t>（第三批）与</w:t>
      </w:r>
      <w:r>
        <w:rPr>
          <w:rFonts w:ascii="仿宋_GB2312"/>
          <w:sz w:val="32"/>
          <w:szCs w:val="32"/>
        </w:rPr>
        <w:t>202</w:t>
      </w:r>
      <w:r>
        <w:rPr>
          <w:rFonts w:hint="eastAsia" w:ascii="仿宋_GB2312"/>
          <w:sz w:val="32"/>
          <w:szCs w:val="32"/>
        </w:rPr>
        <w:t>2</w:t>
      </w:r>
      <w:r>
        <w:rPr>
          <w:rFonts w:ascii="仿宋_GB2312"/>
          <w:sz w:val="32"/>
          <w:szCs w:val="32"/>
        </w:rPr>
        <w:t>年度攀枝花市科技创新券奖补工作，</w:t>
      </w:r>
      <w:r>
        <w:rPr>
          <w:rFonts w:hint="eastAsia" w:ascii="仿宋_GB2312"/>
          <w:sz w:val="32"/>
          <w:szCs w:val="32"/>
        </w:rPr>
        <w:t>共应兑付科技创新券补贴24.14万元，其中补贴企业14家共16.14万元，补贴机构5家共7.31万元。实际兑付23.45万元。其中补贴企业13家共15.44万元，补贴机构5家共7.31万元。</w:t>
      </w:r>
    </w:p>
    <w:p>
      <w:pPr>
        <w:adjustRightInd w:val="0"/>
        <w:snapToGrid w:val="0"/>
        <w:spacing w:line="560" w:lineRule="exact"/>
        <w:ind w:left="279" w:leftChars="133" w:firstLine="567"/>
        <w:rPr>
          <w:rFonts w:ascii="仿宋_GB2312"/>
          <w:sz w:val="32"/>
          <w:szCs w:val="32"/>
        </w:rPr>
      </w:pPr>
      <w:r>
        <w:rPr>
          <w:rFonts w:hint="eastAsia" w:ascii="仿宋_GB2312"/>
          <w:sz w:val="32"/>
          <w:szCs w:val="32"/>
        </w:rPr>
        <w:t>支付成都生产力促进中心创新券申兑系统维护费0.85万元。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720"/>
        <w:rPr>
          <w:rFonts w:hint="eastAsia" w:ascii="仿宋_GB2312" w:hAnsi="宋体"/>
          <w:sz w:val="32"/>
          <w:szCs w:val="32"/>
          <w:lang w:val="zh-CN"/>
        </w:rPr>
      </w:pPr>
      <w:r>
        <w:rPr>
          <w:rFonts w:hint="eastAsia" w:ascii="仿宋_GB2312" w:eastAsia="仿宋_GB2312" w:cs="Times New Roman"/>
          <w:kern w:val="2"/>
          <w:sz w:val="32"/>
          <w:szCs w:val="32"/>
          <w:lang w:val="zh-CN"/>
        </w:rPr>
        <w:t>202</w:t>
      </w:r>
      <w:r>
        <w:rPr>
          <w:rFonts w:hint="eastAsia" w:ascii="仿宋_GB2312" w:cs="Times New Roman"/>
          <w:kern w:val="2"/>
          <w:sz w:val="32"/>
          <w:szCs w:val="32"/>
          <w:lang w:val="en-US" w:eastAsia="zh-CN"/>
        </w:rPr>
        <w:t>2</w:t>
      </w:r>
      <w:r>
        <w:rPr>
          <w:rFonts w:hint="eastAsia" w:ascii="仿宋_GB2312" w:eastAsia="仿宋_GB2312" w:cs="Times New Roman"/>
          <w:kern w:val="2"/>
          <w:sz w:val="32"/>
          <w:szCs w:val="32"/>
          <w:lang w:val="zh-CN"/>
        </w:rPr>
        <w:t>年度市</w:t>
      </w:r>
      <w:r>
        <w:rPr>
          <w:rFonts w:hint="eastAsia" w:ascii="仿宋_GB2312" w:cs="Times New Roman"/>
          <w:kern w:val="2"/>
          <w:sz w:val="32"/>
          <w:szCs w:val="32"/>
          <w:lang w:val="zh-CN" w:eastAsia="zh-CN"/>
        </w:rPr>
        <w:t>级</w:t>
      </w:r>
      <w:r>
        <w:rPr>
          <w:rFonts w:hint="eastAsia" w:ascii="仿宋_GB2312" w:eastAsia="仿宋_GB2312" w:cs="Times New Roman"/>
          <w:kern w:val="2"/>
          <w:sz w:val="32"/>
          <w:szCs w:val="32"/>
          <w:lang w:val="zh-CN"/>
        </w:rPr>
        <w:t>科技创新券</w:t>
      </w:r>
      <w:r>
        <w:rPr>
          <w:rFonts w:hint="eastAsia" w:ascii="仿宋_GB2312" w:eastAsia="仿宋_GB2312" w:cs="Times New Roman"/>
          <w:kern w:val="2"/>
          <w:sz w:val="32"/>
          <w:szCs w:val="32"/>
          <w:lang w:val="en-US" w:eastAsia="zh-CN"/>
        </w:rPr>
        <w:t>,</w:t>
      </w:r>
      <w:r>
        <w:rPr>
          <w:rFonts w:hint="eastAsia" w:ascii="仿宋_GB2312" w:cs="Times New Roman"/>
          <w:kern w:val="2"/>
          <w:sz w:val="32"/>
          <w:szCs w:val="32"/>
          <w:lang w:val="en-US" w:eastAsia="zh-CN"/>
        </w:rPr>
        <w:t>严格</w:t>
      </w:r>
      <w:r>
        <w:rPr>
          <w:rFonts w:hint="eastAsia" w:ascii="仿宋_GB2312" w:eastAsia="仿宋_GB2312" w:cs="Times New Roman"/>
          <w:kern w:val="2"/>
          <w:sz w:val="32"/>
          <w:szCs w:val="32"/>
          <w:lang w:val="en-US" w:eastAsia="zh-CN"/>
        </w:rPr>
        <w:t>按照</w:t>
      </w:r>
      <w:r>
        <w:rPr>
          <w:rFonts w:ascii="仿宋_GB2312" w:eastAsia="仿宋_GB2312" w:cs="Times New Roman"/>
          <w:kern w:val="2"/>
          <w:sz w:val="32"/>
          <w:szCs w:val="32"/>
          <w:lang w:val="zh-CN"/>
        </w:rPr>
        <w:t>《</w:t>
      </w:r>
      <w:r>
        <w:rPr>
          <w:rFonts w:hint="eastAsia" w:ascii="仿宋_GB2312" w:eastAsia="仿宋_GB2312" w:cs="Times New Roman"/>
          <w:kern w:val="2"/>
          <w:sz w:val="32"/>
          <w:szCs w:val="32"/>
          <w:lang w:val="zh-CN"/>
        </w:rPr>
        <w:t>攀枝花市科技创新券</w:t>
      </w:r>
      <w:r>
        <w:rPr>
          <w:rFonts w:ascii="仿宋_GB2312" w:eastAsia="仿宋_GB2312" w:cs="Times New Roman"/>
          <w:kern w:val="2"/>
          <w:sz w:val="32"/>
          <w:szCs w:val="32"/>
          <w:lang w:val="zh-CN"/>
        </w:rPr>
        <w:t>管理办法》</w:t>
      </w:r>
      <w:r>
        <w:rPr>
          <w:rFonts w:hint="eastAsia" w:ascii="仿宋_GB2312" w:cs="Times New Roman"/>
          <w:b w:val="0"/>
          <w:bCs w:val="0"/>
          <w:kern w:val="2"/>
          <w:sz w:val="32"/>
          <w:szCs w:val="32"/>
          <w:lang w:val="zh-CN"/>
        </w:rPr>
        <w:t>及相关管理制度</w:t>
      </w:r>
      <w:r>
        <w:rPr>
          <w:rFonts w:hint="eastAsia" w:ascii="仿宋_GB2312" w:cs="Times New Roman"/>
          <w:kern w:val="2"/>
          <w:sz w:val="32"/>
          <w:szCs w:val="32"/>
          <w:lang w:val="zh-CN"/>
        </w:rPr>
        <w:t>，明确了创新劵的支持对象、使用范围和标准、申领流程、兑换审核、以及使用过程中的监督管理等等都进行了规范。</w:t>
      </w:r>
      <w:r>
        <w:rPr>
          <w:rFonts w:hint="eastAsia" w:ascii="仿宋_GB2312" w:cs="Times New Roman"/>
          <w:kern w:val="2"/>
          <w:sz w:val="32"/>
          <w:szCs w:val="32"/>
          <w:lang w:val="en-US" w:eastAsia="zh-CN"/>
        </w:rPr>
        <w:t>2022年12月</w:t>
      </w:r>
      <w:r>
        <w:rPr>
          <w:rFonts w:hint="eastAsia" w:ascii="仿宋_GB2312" w:cs="Times New Roman"/>
          <w:kern w:val="2"/>
          <w:sz w:val="32"/>
          <w:szCs w:val="32"/>
          <w:lang w:val="zh-CN"/>
        </w:rPr>
        <w:t>财政拨付创新劵补贴</w:t>
      </w:r>
      <w:r>
        <w:rPr>
          <w:rFonts w:hint="eastAsia" w:ascii="仿宋_GB2312" w:cs="Times New Roman"/>
          <w:kern w:val="2"/>
          <w:sz w:val="32"/>
          <w:szCs w:val="32"/>
          <w:lang w:val="en-US" w:eastAsia="zh-CN"/>
        </w:rPr>
        <w:t>25万元，实际支付24.3万元，支付失败0.69万元，财政收回0.01万元。当月对该笔收支进行了</w:t>
      </w:r>
      <w:r>
        <w:rPr>
          <w:rFonts w:hint="eastAsia" w:ascii="仿宋_GB2312" w:cs="Times New Roman"/>
          <w:kern w:val="2"/>
          <w:sz w:val="32"/>
          <w:szCs w:val="32"/>
          <w:lang w:val="zh-CN"/>
        </w:rPr>
        <w:t>账务处理，并于</w:t>
      </w:r>
      <w:r>
        <w:rPr>
          <w:rFonts w:hint="eastAsia" w:ascii="仿宋_GB2312" w:cs="Times New Roman"/>
          <w:kern w:val="2"/>
          <w:sz w:val="32"/>
          <w:szCs w:val="32"/>
          <w:lang w:val="en-US" w:eastAsia="zh-CN"/>
        </w:rPr>
        <w:t>2022年末</w:t>
      </w:r>
      <w:r>
        <w:rPr>
          <w:rFonts w:ascii="仿宋_GB2312" w:hAnsi="仿宋" w:eastAsia="仿宋_GB2312"/>
          <w:sz w:val="32"/>
          <w:szCs w:val="32"/>
        </w:rPr>
        <w:t>编</w:t>
      </w:r>
      <w:r>
        <w:rPr>
          <w:rFonts w:hint="eastAsia" w:ascii="仿宋_GB2312" w:hAnsi="仿宋"/>
          <w:sz w:val="32"/>
          <w:szCs w:val="32"/>
          <w:lang w:eastAsia="zh-CN"/>
        </w:rPr>
        <w:t>入</w:t>
      </w:r>
      <w:r>
        <w:rPr>
          <w:rFonts w:ascii="仿宋_GB2312" w:hAnsi="仿宋" w:eastAsia="仿宋_GB2312"/>
          <w:sz w:val="32"/>
          <w:szCs w:val="32"/>
        </w:rPr>
        <w:t>了部门决算</w:t>
      </w:r>
      <w:r>
        <w:rPr>
          <w:rFonts w:hint="eastAsia" w:ascii="仿宋_GB2312" w:hAnsi="仿宋"/>
          <w:sz w:val="32"/>
          <w:szCs w:val="32"/>
          <w:lang w:eastAsia="zh-CN"/>
        </w:rPr>
        <w:t>。该笔创新劵</w:t>
      </w:r>
      <w:r>
        <w:rPr>
          <w:rFonts w:ascii="仿宋_GB2312" w:hAnsi="仿宋" w:eastAsia="仿宋_GB2312"/>
          <w:sz w:val="32"/>
          <w:szCs w:val="32"/>
        </w:rPr>
        <w:t>严格遵守市财政局经费来源和分配、管理、使用原则。一是规范账户管理。二是严格遵守支出审批制度。三是严格遵守财务内审和监督制度</w:t>
      </w:r>
      <w:r>
        <w:rPr>
          <w:rFonts w:hint="eastAsia" w:ascii="仿宋_GB2312" w:cs="Times New Roman"/>
          <w:kern w:val="2"/>
          <w:sz w:val="32"/>
          <w:szCs w:val="32"/>
          <w:lang w:val="zh-CN"/>
        </w:rPr>
        <w:t>，是严格按照审批流程完成支付。在《管理办法》中第十六条也作了相应的规定：创新劵专项资金的使用接受财政、审计、监察等部门的监督检查，同时接受社会监督。</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ind w:firstLine="630"/>
        <w:rPr>
          <w:rFonts w:ascii="仿宋_GB2312"/>
          <w:sz w:val="32"/>
          <w:szCs w:val="32"/>
        </w:rPr>
      </w:pPr>
      <w:r>
        <w:rPr>
          <w:rFonts w:hint="eastAsia" w:ascii="仿宋_GB2312"/>
          <w:sz w:val="32"/>
          <w:szCs w:val="32"/>
          <w:lang w:val="en-US" w:eastAsia="zh-CN"/>
        </w:rPr>
        <w:t>1.</w:t>
      </w:r>
      <w:r>
        <w:rPr>
          <w:rFonts w:hint="eastAsia" w:ascii="仿宋_GB2312"/>
          <w:sz w:val="32"/>
          <w:szCs w:val="32"/>
        </w:rPr>
        <w:t>项目组织架构及实施流程</w:t>
      </w:r>
    </w:p>
    <w:p>
      <w:pPr>
        <w:ind w:firstLine="630"/>
        <w:rPr>
          <w:rFonts w:ascii="仿宋_GB2312"/>
          <w:sz w:val="32"/>
          <w:szCs w:val="32"/>
        </w:rPr>
      </w:pPr>
      <w:r>
        <w:rPr>
          <w:rFonts w:hint="eastAsia" w:ascii="仿宋_GB2312"/>
          <w:sz w:val="32"/>
          <w:szCs w:val="32"/>
        </w:rPr>
        <w:t>企业申请创新券→生产力促进中心审批→企业使用创新券→企业和服务机构申请兑付创新券→生产力促进中心线上和线下审核材料→汇总公示并报市科技局审查→获批后兑现创新券→资金发放→资料汇总存档。</w:t>
      </w:r>
    </w:p>
    <w:p>
      <w:pPr>
        <w:ind w:firstLine="630"/>
        <w:rPr>
          <w:rFonts w:ascii="仿宋_GB2312"/>
          <w:sz w:val="32"/>
          <w:szCs w:val="32"/>
        </w:rPr>
      </w:pPr>
      <w:r>
        <w:rPr>
          <w:rFonts w:hint="eastAsia" w:ascii="仿宋_GB2312"/>
          <w:sz w:val="32"/>
          <w:szCs w:val="32"/>
          <w:lang w:val="en-US" w:eastAsia="zh-CN"/>
        </w:rPr>
        <w:t>2.</w:t>
      </w:r>
      <w:r>
        <w:rPr>
          <w:rFonts w:hint="eastAsia" w:ascii="仿宋_GB2312"/>
          <w:sz w:val="32"/>
          <w:szCs w:val="32"/>
        </w:rPr>
        <w:t>项目管理情况</w:t>
      </w:r>
    </w:p>
    <w:p>
      <w:pPr>
        <w:adjustRightInd w:val="0"/>
        <w:snapToGrid w:val="0"/>
        <w:spacing w:line="560" w:lineRule="exact"/>
        <w:ind w:firstLine="720"/>
        <w:rPr>
          <w:rFonts w:ascii="仿宋_GB2312"/>
          <w:sz w:val="32"/>
          <w:szCs w:val="32"/>
        </w:rPr>
      </w:pPr>
      <w:r>
        <w:rPr>
          <w:rFonts w:hint="eastAsia" w:ascii="仿宋_GB2312"/>
          <w:sz w:val="32"/>
          <w:szCs w:val="32"/>
        </w:rPr>
        <w:t>本项目严格按照《管理办法》规定，由市科学技术局负责创新券相关政策制定、组织实施和监督管理，由市生产力促进中心负责创新券的申请受理、资格审查、兑现、发放等工作。</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left="279" w:leftChars="133" w:firstLine="567"/>
        <w:rPr>
          <w:rFonts w:ascii="仿宋_GB2312"/>
          <w:sz w:val="32"/>
          <w:szCs w:val="32"/>
          <w:lang w:val="zh-CN"/>
        </w:rPr>
      </w:pPr>
      <w:r>
        <w:rPr>
          <w:rFonts w:ascii="仿宋_GB2312"/>
          <w:sz w:val="32"/>
          <w:szCs w:val="32"/>
          <w:lang w:val="zh-CN"/>
        </w:rPr>
        <w:t>根据《管理办法》，</w:t>
      </w:r>
      <w:r>
        <w:rPr>
          <w:rFonts w:ascii="仿宋_GB2312"/>
          <w:sz w:val="32"/>
          <w:szCs w:val="32"/>
        </w:rPr>
        <w:t>202</w:t>
      </w:r>
      <w:r>
        <w:rPr>
          <w:rFonts w:hint="eastAsia" w:ascii="仿宋_GB2312"/>
          <w:sz w:val="32"/>
          <w:szCs w:val="32"/>
        </w:rPr>
        <w:t>2</w:t>
      </w:r>
      <w:r>
        <w:rPr>
          <w:rFonts w:ascii="仿宋_GB2312"/>
          <w:sz w:val="32"/>
          <w:szCs w:val="32"/>
        </w:rPr>
        <w:t>年我市22家科技型企业成功申领创新券，发放创新券金额264万元（虚拟币）。</w:t>
      </w:r>
      <w:r>
        <w:rPr>
          <w:rFonts w:hint="eastAsia" w:ascii="仿宋_GB2312"/>
          <w:sz w:val="32"/>
          <w:szCs w:val="32"/>
        </w:rPr>
        <w:t>涉及服务22项次、服务合同总金额106.75万元。共兑付奖补资金23.45万元。完成创新券申兑系统全年运行与安全维护，支付成都生产力促进中心系统维护费0.85万元。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sz w:val="32"/>
          <w:szCs w:val="32"/>
        </w:rPr>
      </w:pPr>
      <w:r>
        <w:rPr>
          <w:rFonts w:hint="eastAsia" w:ascii="仿宋_GB2312"/>
          <w:sz w:val="32"/>
          <w:szCs w:val="32"/>
        </w:rPr>
        <w:t>2022年，市科技局进一步优化科创券审核流程，提升审核效率，支持企业创新创业。做到了创新券申领兑现全流程的及时发放、及时审核、及时兑现。服务对象满意度达到了100%。</w:t>
      </w:r>
      <w:r>
        <w:rPr>
          <w:rFonts w:ascii="仿宋_GB2312"/>
          <w:sz w:val="32"/>
          <w:szCs w:val="32"/>
        </w:rPr>
        <w:t>具有良好的社会效益。</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ind w:firstLine="630"/>
        <w:rPr>
          <w:rFonts w:ascii="仿宋_GB2312"/>
          <w:sz w:val="32"/>
          <w:szCs w:val="32"/>
        </w:rPr>
      </w:pPr>
      <w:r>
        <w:rPr>
          <w:rFonts w:hint="eastAsia" w:ascii="仿宋_GB2312"/>
          <w:sz w:val="32"/>
          <w:szCs w:val="32"/>
        </w:rPr>
        <w:t>1.创新券网络平台建设还需继续加强。优化科技服务网的科技创新券运行管理系统，进一步简化科技创新券申请、兑换流程，适当删减原流程中的操作步骤，提高办事效率和服务效率。</w:t>
      </w:r>
    </w:p>
    <w:p>
      <w:pPr>
        <w:ind w:firstLine="630"/>
        <w:rPr>
          <w:rFonts w:ascii="仿宋_GB2312"/>
          <w:sz w:val="32"/>
          <w:szCs w:val="32"/>
        </w:rPr>
      </w:pPr>
      <w:r>
        <w:rPr>
          <w:rFonts w:hint="eastAsia" w:ascii="仿宋_GB2312"/>
          <w:sz w:val="32"/>
          <w:szCs w:val="32"/>
        </w:rPr>
        <w:t>2.缺少创新券区域合作机制。目前创新券兑换以市内为主，市外机构补贴不多，与成都、绵阳等技术要素丰富地区的创新券互通合作机制尚未建立，对企业在市外寻求技术服务，开展技术交流合作的引导激励作用未完全发挥。</w:t>
      </w:r>
    </w:p>
    <w:p>
      <w:pPr>
        <w:adjustRightInd w:val="0"/>
        <w:snapToGrid w:val="0"/>
        <w:spacing w:line="560" w:lineRule="exact"/>
        <w:ind w:firstLine="720"/>
        <w:rPr>
          <w:rFonts w:ascii="仿宋_GB2312" w:hAnsi="宋体"/>
          <w:sz w:val="32"/>
          <w:szCs w:val="32"/>
          <w:lang w:val="zh-CN"/>
        </w:rPr>
      </w:pPr>
      <w:r>
        <w:rPr>
          <w:rFonts w:hint="eastAsia" w:ascii="楷体_GB2312" w:hAnsi="宋体" w:eastAsia="楷体_GB2312"/>
          <w:b/>
          <w:sz w:val="32"/>
          <w:szCs w:val="32"/>
          <w:lang w:val="zh-CN"/>
        </w:rPr>
        <w:t>（二）相关建议。</w:t>
      </w:r>
    </w:p>
    <w:p>
      <w:pPr>
        <w:adjustRightInd w:val="0"/>
        <w:snapToGrid w:val="0"/>
        <w:spacing w:line="360" w:lineRule="auto"/>
        <w:ind w:firstLine="640" w:firstLineChars="200"/>
        <w:rPr>
          <w:rFonts w:ascii="仿宋_GB2312" w:cs="仿宋"/>
          <w:color w:val="000000"/>
          <w:kern w:val="0"/>
          <w:sz w:val="32"/>
          <w:szCs w:val="32"/>
        </w:rPr>
      </w:pPr>
      <w:r>
        <w:rPr>
          <w:rFonts w:hint="eastAsia" w:ascii="仿宋_GB2312" w:cs="仿宋"/>
          <w:color w:val="000000"/>
          <w:kern w:val="0"/>
          <w:sz w:val="32"/>
          <w:szCs w:val="32"/>
        </w:rPr>
        <w:t>1.</w:t>
      </w:r>
      <w:r>
        <w:rPr>
          <w:rFonts w:ascii="仿宋_GB2312" w:cs="仿宋"/>
          <w:color w:val="000000"/>
          <w:kern w:val="0"/>
          <w:sz w:val="32"/>
          <w:szCs w:val="32"/>
        </w:rPr>
        <w:t>加强与</w:t>
      </w:r>
      <w:r>
        <w:rPr>
          <w:rFonts w:hint="eastAsia" w:ascii="仿宋_GB2312" w:cs="仿宋"/>
          <w:color w:val="000000"/>
          <w:kern w:val="0"/>
          <w:sz w:val="32"/>
          <w:szCs w:val="32"/>
        </w:rPr>
        <w:t>省科技创新券管理服务中心的数据对接，不断优化调整分中心申兑系统，为科创券后续申兑工作顺利开展提供保证。</w:t>
      </w:r>
    </w:p>
    <w:p>
      <w:pPr>
        <w:adjustRightInd w:val="0"/>
        <w:snapToGrid w:val="0"/>
        <w:spacing w:line="360" w:lineRule="auto"/>
        <w:ind w:firstLine="640" w:firstLineChars="200"/>
        <w:rPr>
          <w:rFonts w:ascii="仿宋_GB2312" w:cs="仿宋"/>
          <w:color w:val="000000"/>
          <w:kern w:val="0"/>
          <w:sz w:val="32"/>
          <w:szCs w:val="32"/>
        </w:rPr>
      </w:pPr>
      <w:r>
        <w:rPr>
          <w:rFonts w:hint="eastAsia" w:ascii="仿宋_GB2312" w:cs="仿宋"/>
          <w:color w:val="000000"/>
          <w:kern w:val="0"/>
          <w:sz w:val="32"/>
          <w:szCs w:val="32"/>
        </w:rPr>
        <w:t>2.</w:t>
      </w:r>
      <w:r>
        <w:rPr>
          <w:rFonts w:ascii="仿宋_GB2312" w:cs="仿宋"/>
          <w:color w:val="000000"/>
          <w:kern w:val="0"/>
          <w:sz w:val="32"/>
          <w:szCs w:val="32"/>
        </w:rPr>
        <w:t>继续落实科技创新券补贴政策，强化政策宣传和补贴工作的组织实施。</w:t>
      </w:r>
    </w:p>
    <w:p>
      <w:pPr>
        <w:rPr>
          <w:rFonts w:hint="eastAsia" w:ascii="黑体" w:hAnsi="黑体" w:eastAsia="黑体"/>
          <w:sz w:val="44"/>
          <w:szCs w:val="44"/>
        </w:rPr>
      </w:pPr>
      <w:r>
        <w:rPr>
          <w:rFonts w:hint="eastAsia" w:ascii="黑体" w:hAnsi="黑体" w:eastAsia="黑体"/>
          <w:sz w:val="44"/>
          <w:szCs w:val="44"/>
        </w:rPr>
        <w:br w:type="page"/>
      </w:r>
    </w:p>
    <w:p>
      <w:pPr>
        <w:jc w:val="center"/>
        <w:rPr>
          <w:rFonts w:hint="eastAsia"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2023年市级专项资金预算项目绩效自评报告</w:t>
      </w:r>
    </w:p>
    <w:p>
      <w:pPr>
        <w:jc w:val="center"/>
        <w:rPr>
          <w:rFonts w:hint="eastAsia" w:ascii="方正仿宋_GBK" w:hAnsi="方正仿宋_GBK" w:eastAsia="方正仿宋_GBK" w:cs="方正仿宋_GBK"/>
          <w:b/>
          <w:bCs/>
          <w:color w:val="auto"/>
          <w:kern w:val="2"/>
          <w:sz w:val="32"/>
          <w:szCs w:val="32"/>
          <w:lang w:val="en-US" w:eastAsia="zh-CN"/>
        </w:rPr>
      </w:pPr>
      <w:r>
        <w:rPr>
          <w:rFonts w:hint="eastAsia" w:ascii="方正仿宋_GBK" w:hAnsi="方正仿宋_GBK" w:eastAsia="方正仿宋_GBK" w:cs="方正仿宋_GBK"/>
          <w:b/>
          <w:bCs/>
          <w:color w:val="auto"/>
          <w:kern w:val="2"/>
          <w:sz w:val="32"/>
          <w:szCs w:val="32"/>
          <w:lang w:val="en-US" w:eastAsia="zh-CN"/>
        </w:rPr>
        <w:t>（</w:t>
      </w:r>
      <w:r>
        <w:rPr>
          <w:rFonts w:hint="eastAsia" w:ascii="方正小标宋简体" w:hAnsi="宋体" w:eastAsia="方正小标宋简体"/>
          <w:sz w:val="32"/>
          <w:szCs w:val="32"/>
        </w:rPr>
        <w:t>攀西经济区绿色低碳工业体系构建研究</w:t>
      </w:r>
      <w:r>
        <w:rPr>
          <w:rFonts w:hint="eastAsia" w:ascii="方正仿宋_GBK" w:hAnsi="方正仿宋_GBK" w:eastAsia="方正仿宋_GBK" w:cs="方正仿宋_GBK"/>
          <w:b/>
          <w:bCs/>
          <w:color w:val="auto"/>
          <w:kern w:val="2"/>
          <w:sz w:val="32"/>
          <w:szCs w:val="32"/>
          <w:lang w:val="en-US" w:eastAsia="zh-CN"/>
        </w:rPr>
        <w:t>）</w:t>
      </w:r>
    </w:p>
    <w:p>
      <w:pPr>
        <w:adjustRightInd w:val="0"/>
        <w:snapToGrid w:val="0"/>
        <w:spacing w:line="560" w:lineRule="exact"/>
        <w:ind w:firstLine="720"/>
        <w:rPr>
          <w:rFonts w:hint="eastAsia" w:ascii="黑体" w:hAnsi="宋体" w:eastAsia="黑体"/>
          <w:sz w:val="32"/>
          <w:szCs w:val="32"/>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widowControl/>
        <w:ind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ind w:firstLine="640" w:firstLineChars="200"/>
        <w:rPr>
          <w:rFonts w:hint="eastAsia" w:ascii="仿宋_GB2312" w:hAnsi="仿宋_GB2312" w:eastAsia="仿宋_GB2312" w:cs="仿宋_GB2312"/>
          <w:kern w:val="0"/>
          <w:sz w:val="32"/>
          <w:szCs w:val="32"/>
          <w:lang w:val="zh-CN" w:bidi="ar"/>
        </w:rPr>
      </w:pPr>
      <w:r>
        <w:rPr>
          <w:rFonts w:hint="eastAsia" w:ascii="仿宋_GB2312" w:hAnsi="仿宋_GB2312" w:eastAsia="仿宋_GB2312" w:cs="仿宋_GB2312"/>
          <w:kern w:val="0"/>
          <w:sz w:val="32"/>
          <w:szCs w:val="32"/>
          <w:lang w:bidi="ar"/>
        </w:rPr>
        <w:t>《攀西经济区绿色低碳工业体系构建研究》</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bidi="ar"/>
        </w:rPr>
        <w:t xml:space="preserve">项目编号：2022JDR0115 </w:t>
      </w:r>
      <w:r>
        <w:rPr>
          <w:rFonts w:hint="eastAsia" w:ascii="仿宋_GB2312" w:hAnsi="仿宋_GB2312" w:eastAsia="仿宋_GB2312" w:cs="仿宋_GB2312"/>
          <w:kern w:val="0"/>
          <w:sz w:val="32"/>
          <w:szCs w:val="32"/>
          <w:lang w:val="en-US" w:eastAsia="zh-CN" w:bidi="ar"/>
        </w:rPr>
        <w:t>)是2022年立项的四川</w:t>
      </w:r>
      <w:r>
        <w:rPr>
          <w:rFonts w:hint="eastAsia" w:ascii="仿宋_GB2312" w:hAnsi="仿宋_GB2312" w:eastAsia="仿宋_GB2312" w:cs="仿宋_GB2312"/>
          <w:kern w:val="0"/>
          <w:sz w:val="32"/>
          <w:szCs w:val="32"/>
          <w:lang w:bidi="ar"/>
        </w:rPr>
        <w:t>省科技计</w:t>
      </w:r>
      <w:r>
        <w:rPr>
          <w:rFonts w:hint="eastAsia" w:ascii="仿宋_GB2312" w:hAnsi="仿宋_GB2312" w:eastAsia="仿宋_GB2312" w:cs="仿宋_GB2312"/>
          <w:kern w:val="0"/>
          <w:sz w:val="32"/>
          <w:szCs w:val="32"/>
          <w:lang w:val="en-US" w:eastAsia="zh-CN" w:bidi="ar"/>
        </w:rPr>
        <w:t>划项目，计划类别：科技创新基地（平台）和人才计划，承担单位：</w:t>
      </w:r>
      <w:r>
        <w:rPr>
          <w:rFonts w:hint="eastAsia" w:ascii="仿宋_GB2312" w:hAnsi="仿宋_GB2312" w:eastAsia="仿宋_GB2312" w:cs="仿宋_GB2312"/>
          <w:kern w:val="0"/>
          <w:sz w:val="32"/>
          <w:szCs w:val="32"/>
          <w:lang w:eastAsia="zh-CN" w:bidi="ar"/>
        </w:rPr>
        <w:t>攀枝花市科技发展战略研究所，</w:t>
      </w:r>
      <w:r>
        <w:rPr>
          <w:rFonts w:hint="eastAsia" w:ascii="仿宋_GB2312" w:hAnsi="仿宋_GB2312" w:eastAsia="仿宋_GB2312" w:cs="仿宋_GB2312"/>
          <w:kern w:val="0"/>
          <w:sz w:val="32"/>
          <w:szCs w:val="32"/>
          <w:lang w:bidi="ar"/>
        </w:rPr>
        <w:t>项目起止年限为2022-01-01至2023-12-31，</w:t>
      </w:r>
      <w:r>
        <w:rPr>
          <w:rFonts w:hint="eastAsia" w:ascii="仿宋_GB2312" w:hAnsi="仿宋_GB2312" w:eastAsia="仿宋_GB2312" w:cs="仿宋_GB2312"/>
          <w:kern w:val="0"/>
          <w:sz w:val="32"/>
          <w:szCs w:val="32"/>
          <w:lang w:val="zh-CN" w:bidi="ar"/>
        </w:rPr>
        <w:t>项目资金申报</w:t>
      </w:r>
      <w:r>
        <w:rPr>
          <w:rFonts w:hint="eastAsia" w:ascii="仿宋_GB2312" w:hAnsi="仿宋_GB2312" w:eastAsia="仿宋_GB2312" w:cs="仿宋_GB2312"/>
          <w:kern w:val="0"/>
          <w:sz w:val="32"/>
          <w:szCs w:val="32"/>
          <w:lang w:val="en-US" w:eastAsia="zh-CN" w:bidi="ar"/>
        </w:rPr>
        <w:t>10万元，</w:t>
      </w:r>
      <w:r>
        <w:rPr>
          <w:rFonts w:hint="eastAsia" w:ascii="仿宋_GB2312" w:hAnsi="仿宋_GB2312" w:eastAsia="仿宋_GB2312" w:cs="仿宋_GB2312"/>
          <w:kern w:val="0"/>
          <w:sz w:val="32"/>
          <w:szCs w:val="32"/>
          <w:lang w:val="zh-CN" w:bidi="ar"/>
        </w:rPr>
        <w:t>批复</w:t>
      </w:r>
      <w:r>
        <w:rPr>
          <w:rFonts w:hint="eastAsia" w:ascii="仿宋_GB2312" w:hAnsi="仿宋_GB2312" w:eastAsia="仿宋_GB2312" w:cs="仿宋_GB2312"/>
          <w:kern w:val="0"/>
          <w:sz w:val="32"/>
          <w:szCs w:val="32"/>
          <w:lang w:val="en-US" w:eastAsia="zh-CN" w:bidi="ar"/>
        </w:rPr>
        <w:t>10万元，</w:t>
      </w:r>
      <w:r>
        <w:rPr>
          <w:rFonts w:hint="eastAsia" w:ascii="仿宋_GB2312" w:hAnsi="仿宋_GB2312" w:eastAsia="仿宋_GB2312" w:cs="仿宋_GB2312"/>
          <w:kern w:val="0"/>
          <w:sz w:val="32"/>
          <w:szCs w:val="32"/>
          <w:lang w:eastAsia="zh-CN" w:bidi="ar"/>
        </w:rPr>
        <w:t>不</w:t>
      </w:r>
      <w:r>
        <w:rPr>
          <w:rFonts w:hint="eastAsia" w:ascii="仿宋_GB2312" w:hAnsi="仿宋_GB2312" w:eastAsia="仿宋_GB2312" w:cs="仿宋_GB2312"/>
          <w:kern w:val="0"/>
          <w:sz w:val="32"/>
          <w:szCs w:val="32"/>
          <w:lang w:val="zh-CN" w:bidi="ar"/>
        </w:rPr>
        <w:t>涉及预算调整，符合《</w:t>
      </w:r>
      <w:r>
        <w:rPr>
          <w:rFonts w:hint="eastAsia" w:ascii="仿宋_GB2312" w:hAnsi="仿宋_GB2312" w:eastAsia="仿宋_GB2312" w:cs="仿宋_GB2312"/>
          <w:kern w:val="0"/>
          <w:sz w:val="32"/>
          <w:szCs w:val="32"/>
          <w:lang w:val="zh-CN" w:bidi="ar"/>
        </w:rPr>
        <w:fldChar w:fldCharType="begin"/>
      </w:r>
      <w:r>
        <w:rPr>
          <w:rFonts w:hint="eastAsia" w:ascii="仿宋_GB2312" w:hAnsi="仿宋_GB2312" w:eastAsia="仿宋_GB2312" w:cs="仿宋_GB2312"/>
          <w:kern w:val="0"/>
          <w:sz w:val="32"/>
          <w:szCs w:val="32"/>
          <w:lang w:val="zh-CN" w:bidi="ar"/>
        </w:rPr>
        <w:instrText xml:space="preserve"> HYPERLINK "http://www.baidu.com/link?url=RXcE9Bbhk32k8jcpkGjQokKsLVfSOeT6epGZDIDGSPKt76FJ7ZU6RHOqr0iOsAKxKQcUPZ_HZKRod2bLTayh5MefmlDpLXMeOYEVEr_Q5r0sewh-P2DjOdR2S4N5vTwn" \t "_blank" </w:instrText>
      </w:r>
      <w:r>
        <w:rPr>
          <w:rFonts w:hint="eastAsia" w:ascii="仿宋_GB2312" w:hAnsi="仿宋_GB2312" w:eastAsia="仿宋_GB2312" w:cs="仿宋_GB2312"/>
          <w:kern w:val="0"/>
          <w:sz w:val="32"/>
          <w:szCs w:val="32"/>
          <w:lang w:val="zh-CN" w:bidi="ar"/>
        </w:rPr>
        <w:fldChar w:fldCharType="separate"/>
      </w:r>
      <w:r>
        <w:rPr>
          <w:rFonts w:hint="eastAsia" w:ascii="仿宋_GB2312" w:hAnsi="仿宋_GB2312" w:eastAsia="仿宋_GB2312" w:cs="仿宋_GB2312"/>
          <w:kern w:val="0"/>
          <w:sz w:val="32"/>
          <w:szCs w:val="32"/>
          <w:lang w:val="zh-CN" w:bidi="ar"/>
        </w:rPr>
        <w:t>四川省科技计划管理办法</w:t>
      </w:r>
      <w:r>
        <w:rPr>
          <w:rFonts w:hint="eastAsia" w:ascii="仿宋_GB2312" w:hAnsi="仿宋_GB2312" w:eastAsia="仿宋_GB2312" w:cs="仿宋_GB2312"/>
          <w:kern w:val="0"/>
          <w:sz w:val="32"/>
          <w:szCs w:val="32"/>
          <w:lang w:val="zh-CN" w:bidi="ar"/>
        </w:rPr>
        <w:fldChar w:fldCharType="end"/>
      </w:r>
      <w:r>
        <w:rPr>
          <w:rFonts w:hint="eastAsia" w:ascii="仿宋_GB2312" w:hAnsi="仿宋_GB2312" w:eastAsia="仿宋_GB2312" w:cs="仿宋_GB2312"/>
          <w:kern w:val="0"/>
          <w:sz w:val="32"/>
          <w:szCs w:val="32"/>
          <w:lang w:val="zh-CN" w:bidi="ar"/>
        </w:rPr>
        <w:t>》、《四川省科技计划项目专项资金管理办法》等资金管理办法相关规定。</w:t>
      </w:r>
    </w:p>
    <w:p>
      <w:pPr>
        <w:numPr>
          <w:ilvl w:val="0"/>
          <w:numId w:val="13"/>
        </w:num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bCs w:val="0"/>
          <w:sz w:val="32"/>
          <w:szCs w:val="32"/>
          <w:lang w:val="zh-CN"/>
        </w:rPr>
        <w:t>项目绩效</w:t>
      </w:r>
      <w:r>
        <w:rPr>
          <w:rFonts w:hint="eastAsia" w:ascii="楷体_GB2312" w:hAnsi="宋体" w:eastAsia="楷体_GB2312"/>
          <w:b/>
          <w:sz w:val="32"/>
          <w:szCs w:val="32"/>
          <w:lang w:val="zh-CN"/>
        </w:rPr>
        <w:t>目标。</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本项目围绕“双碳”目标实现的大背景，以攀西经济区作为区域研究边界，从绿色发展理论、低碳发展理论和可持续发展理论等理论的基本原理出发，探讨并提出 “双碳”目标下工业绿色低碳发展的理论基础；从现有工业布局入手，完成区域内现有工业体系构成图和碳排放图的绘制，并以此作为区域内工业绿色低碳发展的现实基础。以攀西经济区绿色低碳发展的理论和现实基础为依据，按照淘汰落后生产能力、改造升级传统产业、加快发展战略性新兴产业的思路，完成攀西经济区绿色低碳工业体系构建和总体布局，并提出对应的发展策略。</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通过本项目的实施，拟形成1 篇研究报告、2篇科技报告（1篇进展报告、1篇最终报告）、1篇调研报告、1份政策建议。</w:t>
      </w:r>
      <w:r>
        <w:rPr>
          <w:rFonts w:hint="eastAsia" w:ascii="仿宋_GB2312" w:hAnsi="仿宋_GB2312" w:eastAsia="仿宋_GB2312" w:cs="仿宋_GB2312"/>
          <w:kern w:val="0"/>
          <w:sz w:val="32"/>
          <w:szCs w:val="32"/>
          <w:lang w:val="zh-CN" w:eastAsia="zh-CN" w:bidi="ar"/>
        </w:rPr>
        <w:t>本项目</w:t>
      </w:r>
      <w:r>
        <w:rPr>
          <w:rFonts w:hint="eastAsia" w:ascii="仿宋_GB2312" w:hAnsi="仿宋_GB2312" w:eastAsia="仿宋_GB2312" w:cs="仿宋_GB2312"/>
          <w:kern w:val="0"/>
          <w:sz w:val="32"/>
          <w:szCs w:val="32"/>
          <w:lang w:val="en-US" w:eastAsia="zh-CN" w:bidi="ar"/>
        </w:rPr>
        <w:t>研究成果对区域产业结构调整和经济可持续发展具有重要的指导意义，可为省内外相似区域构建绿色低碳工业体系提供理论和实践经验。此外，通过本课题研究，项目组的研究水平</w:t>
      </w:r>
      <w:r>
        <w:rPr>
          <w:rFonts w:hint="eastAsia" w:ascii="仿宋_GB2312" w:hAnsi="仿宋_GB2312" w:cs="仿宋_GB2312"/>
          <w:kern w:val="0"/>
          <w:sz w:val="32"/>
          <w:szCs w:val="32"/>
          <w:lang w:val="en-US" w:eastAsia="zh-CN" w:bidi="ar"/>
        </w:rPr>
        <w:t>可</w:t>
      </w:r>
      <w:r>
        <w:rPr>
          <w:rFonts w:hint="eastAsia" w:ascii="仿宋_GB2312" w:hAnsi="仿宋_GB2312" w:eastAsia="仿宋_GB2312" w:cs="仿宋_GB2312"/>
          <w:kern w:val="0"/>
          <w:sz w:val="32"/>
          <w:szCs w:val="32"/>
          <w:lang w:val="en-US" w:eastAsia="zh-CN" w:bidi="ar"/>
        </w:rPr>
        <w:t>得到大幅提升，可长期为攀西经济区实现工业高质量发展提供智力服务。</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本项目主要分四个阶段实施：</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第一阶段（2022-01-01 </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2022-06-30）  前期准备及预研究：组建课题工作组，制定课题实施方案，理论准备，收集分析文献资料，开展预调研及分析。</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第二阶段（2022-07-01</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2022-12-31 ）  分析研究：系统梳理相关资料，开展实地调研，对相关问题进行系统分析研究，形成研究思路，在此基础上撰写研究报告和调研报告。</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第三阶段（2023-01-01</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2023-06-30）  修订完善定稿：在研究报告初稿的基础上，听取相关专家意见建议，并根据专家意见进行修改完善，最终形成研究报告。</w:t>
      </w:r>
    </w:p>
    <w:p>
      <w:pPr>
        <w:widowControl/>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第四阶段（2023-07-01</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2023-12-31 ）  项目验收：准备项目验收资料，申请并完成项目验收。</w:t>
      </w:r>
    </w:p>
    <w:p>
      <w:pPr>
        <w:numPr>
          <w:ilvl w:val="0"/>
          <w:numId w:val="13"/>
        </w:numPr>
        <w:adjustRightInd w:val="0"/>
        <w:snapToGrid w:val="0"/>
        <w:spacing w:line="560" w:lineRule="exact"/>
        <w:ind w:left="0" w:leftChars="0" w:firstLine="720" w:firstLineChars="0"/>
        <w:rPr>
          <w:rFonts w:hint="eastAsia" w:ascii="仿宋_GB2312" w:hAnsi="宋体"/>
          <w:sz w:val="32"/>
          <w:szCs w:val="32"/>
          <w:lang w:val="zh-CN"/>
        </w:rPr>
      </w:pPr>
      <w:r>
        <w:rPr>
          <w:rFonts w:hint="eastAsia" w:ascii="楷体_GB2312" w:hAnsi="宋体" w:eastAsia="楷体_GB2312"/>
          <w:b/>
          <w:sz w:val="32"/>
          <w:szCs w:val="32"/>
          <w:lang w:val="zh-CN"/>
        </w:rPr>
        <w:t>项目资金申报相符性。</w:t>
      </w:r>
    </w:p>
    <w:p>
      <w:pPr>
        <w:numPr>
          <w:ilvl w:val="0"/>
          <w:numId w:val="0"/>
        </w:numPr>
        <w:adjustRightInd w:val="0"/>
        <w:snapToGrid w:val="0"/>
        <w:spacing w:line="560" w:lineRule="exact"/>
        <w:ind w:firstLine="640" w:firstLineChars="200"/>
        <w:rPr>
          <w:rFonts w:ascii="仿宋_GB2312" w:hAnsi="宋体"/>
          <w:sz w:val="32"/>
          <w:szCs w:val="32"/>
          <w:lang w:val="zh-CN"/>
        </w:rPr>
      </w:pPr>
      <w:r>
        <w:rPr>
          <w:rFonts w:hint="eastAsia" w:ascii="仿宋_GB2312" w:hAnsi="宋体"/>
          <w:sz w:val="32"/>
          <w:szCs w:val="32"/>
          <w:lang w:val="zh-CN"/>
        </w:rPr>
        <w:t>本项目申报内容与具体实施内容相符、申报目标合理可行。</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1．资金计划及到位。</w:t>
      </w:r>
    </w:p>
    <w:p>
      <w:pPr>
        <w:widowControl/>
        <w:ind w:firstLine="640" w:firstLineChars="200"/>
        <w:rPr>
          <w:rFonts w:hint="eastAsia" w:ascii="楷体_GB2312" w:hAnsi="宋体" w:eastAsia="楷体_GB2312"/>
          <w:sz w:val="32"/>
          <w:szCs w:val="32"/>
          <w:lang w:val="zh-CN"/>
        </w:rPr>
      </w:pPr>
      <w:r>
        <w:rPr>
          <w:rFonts w:hint="eastAsia" w:ascii="仿宋_GB2312" w:hAnsi="仿宋_GB2312" w:eastAsia="仿宋_GB2312" w:cs="仿宋_GB2312"/>
          <w:kern w:val="0"/>
          <w:sz w:val="32"/>
          <w:szCs w:val="32"/>
          <w:lang w:bidi="ar"/>
        </w:rPr>
        <w:t>《攀西经济区绿色低碳工业体系构建研究》项目计划总投入10万元，其中省级科技计划项目专项资金10万元，自筹经费0万元。</w:t>
      </w:r>
      <w:r>
        <w:rPr>
          <w:rFonts w:ascii="Times New Roman" w:hAnsi="Times New Roman" w:eastAsia="仿宋_GB2312"/>
          <w:kern w:val="0"/>
          <w:sz w:val="32"/>
          <w:szCs w:val="32"/>
          <w:lang w:bidi="ar"/>
        </w:rPr>
        <w:t>2022年4月，攀枝花市科技发展战略研究所收到省级科技计划项目专项资金10万元。该经费拨付及时，资金到位率100%。</w:t>
      </w:r>
    </w:p>
    <w:p>
      <w:pPr>
        <w:numPr>
          <w:ilvl w:val="0"/>
          <w:numId w:val="14"/>
        </w:numPr>
        <w:adjustRightInd w:val="0"/>
        <w:snapToGrid w:val="0"/>
        <w:spacing w:line="560" w:lineRule="exact"/>
        <w:ind w:firstLine="720"/>
        <w:rPr>
          <w:rFonts w:ascii="仿宋_GB2312" w:hAnsi="宋体"/>
          <w:sz w:val="32"/>
          <w:szCs w:val="32"/>
          <w:lang w:val="zh-CN"/>
        </w:rPr>
      </w:pPr>
      <w:r>
        <w:rPr>
          <w:rFonts w:hint="eastAsia" w:ascii="楷体_GB2312" w:hAnsi="宋体" w:eastAsia="楷体_GB2312"/>
          <w:sz w:val="32"/>
          <w:szCs w:val="32"/>
          <w:lang w:val="zh-CN"/>
        </w:rPr>
        <w:t>资金使用。</w:t>
      </w:r>
    </w:p>
    <w:p>
      <w:pPr>
        <w:numPr>
          <w:ilvl w:val="0"/>
          <w:numId w:val="0"/>
        </w:numPr>
        <w:adjustRightInd w:val="0"/>
        <w:snapToGrid w:val="0"/>
        <w:spacing w:line="560" w:lineRule="exact"/>
        <w:ind w:firstLine="640" w:firstLineChars="200"/>
        <w:rPr>
          <w:rFonts w:hint="eastAsia" w:ascii="楷体_GB2312" w:hAnsi="宋体" w:eastAsia="楷体_GB2312"/>
          <w:sz w:val="32"/>
          <w:szCs w:val="32"/>
          <w:lang w:val="zh-CN"/>
        </w:rPr>
      </w:pPr>
      <w:r>
        <w:rPr>
          <w:rFonts w:hint="eastAsia"/>
          <w:kern w:val="0"/>
          <w:sz w:val="32"/>
          <w:szCs w:val="32"/>
          <w:lang w:eastAsia="zh-CN" w:bidi="ar"/>
        </w:rPr>
        <w:t>本</w:t>
      </w:r>
      <w:r>
        <w:rPr>
          <w:rFonts w:hint="eastAsia" w:ascii="Times New Roman" w:hAnsi="Times New Roman" w:eastAsia="仿宋_GB2312"/>
          <w:kern w:val="0"/>
          <w:sz w:val="32"/>
          <w:szCs w:val="32"/>
          <w:lang w:bidi="ar"/>
        </w:rPr>
        <w:t>项目专项资金10万元拨付到位后，项目承担单位立即按照相关资金使用管理规定设立专款账户，并做好资金使用计划。目前，已使用</w:t>
      </w:r>
      <w:r>
        <w:rPr>
          <w:rFonts w:hint="eastAsia"/>
          <w:kern w:val="0"/>
          <w:sz w:val="32"/>
          <w:szCs w:val="32"/>
          <w:lang w:val="en-US" w:eastAsia="zh-CN" w:bidi="ar"/>
        </w:rPr>
        <w:t>1.505</w:t>
      </w:r>
      <w:r>
        <w:rPr>
          <w:rFonts w:hint="eastAsia" w:ascii="Times New Roman" w:hAnsi="Times New Roman" w:eastAsia="仿宋_GB2312"/>
          <w:kern w:val="0"/>
          <w:sz w:val="32"/>
          <w:szCs w:val="32"/>
          <w:lang w:bidi="ar"/>
        </w:rPr>
        <w:t>万元，剩余</w:t>
      </w:r>
      <w:r>
        <w:rPr>
          <w:rFonts w:hint="eastAsia"/>
          <w:kern w:val="0"/>
          <w:sz w:val="32"/>
          <w:szCs w:val="32"/>
          <w:lang w:val="en-US" w:eastAsia="zh-CN" w:bidi="ar"/>
        </w:rPr>
        <w:t>8.495</w:t>
      </w:r>
      <w:r>
        <w:rPr>
          <w:rFonts w:hint="eastAsia" w:ascii="Times New Roman" w:hAnsi="Times New Roman" w:eastAsia="仿宋_GB2312"/>
          <w:kern w:val="0"/>
          <w:sz w:val="32"/>
          <w:szCs w:val="32"/>
          <w:lang w:bidi="ar"/>
        </w:rPr>
        <w:t>万元。项目资金支付范围、支付标准、支付进度及支付依据等合规合法，与预算相符。确保了资金使用的安全性、规范性及有效性。</w:t>
      </w:r>
    </w:p>
    <w:p>
      <w:pPr>
        <w:numPr>
          <w:ilvl w:val="0"/>
          <w:numId w:val="15"/>
        </w:num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项目财务管理情况。</w:t>
      </w:r>
    </w:p>
    <w:p>
      <w:pPr>
        <w:widowControl/>
        <w:ind w:firstLine="640" w:firstLineChars="200"/>
        <w:jc w:val="left"/>
        <w:rPr>
          <w:rFonts w:hint="eastAsia" w:ascii="仿宋_GB2312" w:hAnsi="仿宋_GB2312" w:eastAsia="仿宋_GB2312" w:cs="仿宋_GB2312"/>
          <w:kern w:val="0"/>
          <w:sz w:val="32"/>
          <w:szCs w:val="32"/>
          <w:lang w:val="zh-CN" w:bidi="ar"/>
        </w:rPr>
      </w:pPr>
      <w:r>
        <w:rPr>
          <w:rFonts w:hint="eastAsia" w:ascii="仿宋_GB2312" w:hAnsi="仿宋_GB2312" w:eastAsia="仿宋_GB2312" w:cs="仿宋_GB2312"/>
          <w:kern w:val="0"/>
          <w:sz w:val="32"/>
          <w:szCs w:val="32"/>
          <w:lang w:bidi="ar"/>
        </w:rPr>
        <w:t>市科技发展战略研究所拥有</w:t>
      </w:r>
      <w:r>
        <w:rPr>
          <w:rFonts w:hint="eastAsia" w:ascii="仿宋_GB2312" w:hAnsi="仿宋_GB2312" w:eastAsia="仿宋_GB2312" w:cs="仿宋_GB2312"/>
          <w:kern w:val="0"/>
          <w:sz w:val="32"/>
          <w:szCs w:val="32"/>
          <w:lang w:val="zh-CN" w:bidi="ar"/>
        </w:rPr>
        <w:t>健全的财务管理制度，制定了相应的核算模式、支出审批权限，以及单位内部控制制度等，严格按照专项资金管理办法，设立专项资金科目单独核算。单位严格按照《</w:t>
      </w:r>
      <w:r>
        <w:rPr>
          <w:rFonts w:hint="eastAsia" w:ascii="仿宋_GB2312" w:hAnsi="仿宋_GB2312" w:eastAsia="仿宋_GB2312" w:cs="仿宋_GB2312"/>
          <w:kern w:val="0"/>
          <w:sz w:val="32"/>
          <w:szCs w:val="32"/>
          <w:lang w:val="zh-CN" w:bidi="ar"/>
        </w:rPr>
        <w:fldChar w:fldCharType="begin"/>
      </w:r>
      <w:r>
        <w:rPr>
          <w:rFonts w:hint="eastAsia" w:ascii="仿宋_GB2312" w:hAnsi="仿宋_GB2312" w:eastAsia="仿宋_GB2312" w:cs="仿宋_GB2312"/>
          <w:kern w:val="0"/>
          <w:sz w:val="32"/>
          <w:szCs w:val="32"/>
          <w:lang w:val="zh-CN" w:bidi="ar"/>
        </w:rPr>
        <w:instrText xml:space="preserve"> HYPERLINK "http://www.baidu.com/link?url=RXcE9Bbhk32k8jcpkGjQokKsLVfSOeT6epGZDIDGSPKt76FJ7ZU6RHOqr0iOsAKxKQcUPZ_HZKRod2bLTayh5MefmlDpLXMeOYEVEr_Q5r0sewh-P2DjOdR2S4N5vTwn" \t "_blank" </w:instrText>
      </w:r>
      <w:r>
        <w:rPr>
          <w:rFonts w:hint="eastAsia" w:ascii="仿宋_GB2312" w:hAnsi="仿宋_GB2312" w:eastAsia="仿宋_GB2312" w:cs="仿宋_GB2312"/>
          <w:kern w:val="0"/>
          <w:sz w:val="32"/>
          <w:szCs w:val="32"/>
          <w:lang w:val="zh-CN" w:bidi="ar"/>
        </w:rPr>
        <w:fldChar w:fldCharType="separate"/>
      </w:r>
      <w:r>
        <w:rPr>
          <w:rFonts w:hint="eastAsia" w:ascii="仿宋_GB2312" w:hAnsi="仿宋_GB2312" w:eastAsia="仿宋_GB2312" w:cs="仿宋_GB2312"/>
          <w:kern w:val="0"/>
          <w:sz w:val="32"/>
          <w:szCs w:val="32"/>
          <w:lang w:val="zh-CN" w:bidi="ar"/>
        </w:rPr>
        <w:t>四川省科技计划管理办法</w:t>
      </w:r>
      <w:r>
        <w:rPr>
          <w:rFonts w:hint="eastAsia" w:ascii="仿宋_GB2312" w:hAnsi="仿宋_GB2312" w:eastAsia="仿宋_GB2312" w:cs="仿宋_GB2312"/>
          <w:kern w:val="0"/>
          <w:sz w:val="32"/>
          <w:szCs w:val="32"/>
          <w:lang w:val="zh-CN" w:bidi="ar"/>
        </w:rPr>
        <w:fldChar w:fldCharType="end"/>
      </w:r>
      <w:r>
        <w:rPr>
          <w:rFonts w:hint="eastAsia" w:ascii="仿宋_GB2312" w:hAnsi="仿宋_GB2312" w:eastAsia="仿宋_GB2312" w:cs="仿宋_GB2312"/>
          <w:kern w:val="0"/>
          <w:sz w:val="32"/>
          <w:szCs w:val="32"/>
          <w:lang w:val="zh-CN" w:bidi="ar"/>
        </w:rPr>
        <w:t>》《四川省科技计划项目专项资金管理办法》等文件的相关规定执行。总体来讲，项目严格执行财务管理制度，财务处理及时、会计核算规范。</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widowControl/>
        <w:ind w:firstLine="640" w:firstLineChars="200"/>
        <w:jc w:val="left"/>
        <w:rPr>
          <w:rFonts w:hint="eastAsia" w:ascii="仿宋_GB2312" w:hAnsi="仿宋_GB2312" w:eastAsia="仿宋_GB2312" w:cs="仿宋_GB2312"/>
          <w:kern w:val="0"/>
          <w:sz w:val="32"/>
          <w:szCs w:val="32"/>
          <w:lang w:val="zh-CN" w:bidi="ar"/>
        </w:rPr>
      </w:pPr>
      <w:r>
        <w:rPr>
          <w:rFonts w:hint="eastAsia" w:ascii="仿宋_GB2312" w:hAnsi="仿宋_GB2312" w:eastAsia="仿宋_GB2312" w:cs="仿宋_GB2312"/>
          <w:kern w:val="0"/>
          <w:sz w:val="32"/>
          <w:szCs w:val="32"/>
          <w:lang w:val="zh-CN" w:bidi="ar"/>
        </w:rPr>
        <w:t>本项目组建了项目组，项目组共</w:t>
      </w:r>
      <w:r>
        <w:rPr>
          <w:rFonts w:hint="eastAsia" w:ascii="仿宋_GB2312" w:hAnsi="仿宋_GB2312" w:eastAsia="仿宋_GB2312" w:cs="仿宋_GB2312"/>
          <w:kern w:val="0"/>
          <w:sz w:val="32"/>
          <w:szCs w:val="32"/>
          <w:lang w:bidi="ar"/>
        </w:rPr>
        <w:t>10人，其中高级4人，中级4人，其他2人。按照任务书约定的研究内容、计划进度和阶段目标要求，</w:t>
      </w:r>
      <w:bookmarkStart w:id="63" w:name="_Hlk79933609"/>
      <w:bookmarkStart w:id="64" w:name="_Hlk79933691"/>
      <w:r>
        <w:rPr>
          <w:rFonts w:hint="eastAsia" w:ascii="仿宋_GB2312" w:hAnsi="仿宋_GB2312" w:eastAsia="仿宋_GB2312" w:cs="仿宋_GB2312"/>
          <w:kern w:val="0"/>
          <w:sz w:val="32"/>
          <w:szCs w:val="32"/>
          <w:lang w:bidi="ar"/>
        </w:rPr>
        <w:t>项目组</w:t>
      </w:r>
      <w:r>
        <w:rPr>
          <w:rFonts w:hint="eastAsia" w:ascii="仿宋_GB2312" w:hAnsi="仿宋_GB2312" w:eastAsia="仿宋_GB2312" w:cs="仿宋_GB2312"/>
          <w:kern w:val="0"/>
          <w:sz w:val="32"/>
          <w:szCs w:val="32"/>
          <w:lang w:val="zh-CN" w:bidi="ar"/>
        </w:rPr>
        <w:t>在调研的基础上，</w:t>
      </w:r>
      <w:r>
        <w:rPr>
          <w:rFonts w:hint="eastAsia" w:ascii="仿宋_GB2312" w:hAnsi="仿宋_GB2312" w:eastAsia="仿宋_GB2312" w:cs="仿宋_GB2312"/>
          <w:kern w:val="0"/>
          <w:sz w:val="32"/>
          <w:szCs w:val="32"/>
          <w:lang w:bidi="ar"/>
        </w:rPr>
        <w:t>形成研究思路，在</w:t>
      </w:r>
      <w:r>
        <w:rPr>
          <w:rFonts w:hint="eastAsia" w:ascii="仿宋_GB2312" w:hAnsi="仿宋_GB2312" w:eastAsia="仿宋_GB2312" w:cs="仿宋_GB2312"/>
          <w:kern w:val="0"/>
          <w:sz w:val="32"/>
          <w:szCs w:val="32"/>
          <w:lang w:val="zh-CN" w:bidi="ar"/>
        </w:rPr>
        <w:t>工业</w:t>
      </w:r>
      <w:bookmarkEnd w:id="63"/>
      <w:r>
        <w:rPr>
          <w:rFonts w:hint="eastAsia" w:ascii="仿宋_GB2312" w:hAnsi="仿宋_GB2312" w:eastAsia="仿宋_GB2312" w:cs="仿宋_GB2312"/>
          <w:kern w:val="0"/>
          <w:sz w:val="32"/>
          <w:szCs w:val="32"/>
          <w:lang w:val="zh-CN" w:bidi="ar"/>
        </w:rPr>
        <w:t>绿色低碳发展</w:t>
      </w:r>
      <w:bookmarkEnd w:id="64"/>
      <w:r>
        <w:rPr>
          <w:rFonts w:hint="eastAsia" w:ascii="仿宋_GB2312" w:hAnsi="仿宋_GB2312" w:eastAsia="仿宋_GB2312" w:cs="仿宋_GB2312"/>
          <w:kern w:val="0"/>
          <w:sz w:val="32"/>
          <w:szCs w:val="32"/>
          <w:lang w:val="zh-CN" w:bidi="ar"/>
        </w:rPr>
        <w:t>相关理论及实践、攀西经济区工业体系及碳排放现状、攀西经济区工业体系存在的问题、攀西经济区绿色低碳工业体系构建及其总体布局、攀西经济区绿色低碳工业体系发展策略等方面开展研究，积极推进项目进展，并完成了部分项目研究内容和考核指标。</w:t>
      </w:r>
    </w:p>
    <w:p>
      <w:pPr>
        <w:widowControl/>
        <w:ind w:firstLine="640" w:firstLineChars="200"/>
        <w:jc w:val="left"/>
        <w:rPr>
          <w:sz w:val="32"/>
          <w:szCs w:val="32"/>
          <w:lang w:val="zh-CN"/>
        </w:rPr>
      </w:pPr>
      <w:r>
        <w:rPr>
          <w:rFonts w:hint="eastAsia" w:ascii="仿宋_GB2312" w:hAnsi="仿宋_GB2312" w:eastAsia="仿宋_GB2312" w:cs="仿宋_GB2312"/>
          <w:kern w:val="0"/>
          <w:sz w:val="32"/>
          <w:szCs w:val="32"/>
          <w:lang w:val="zh-CN" w:bidi="ar"/>
        </w:rPr>
        <w:t>项目承担单位严格按照《</w:t>
      </w:r>
      <w:r>
        <w:rPr>
          <w:rFonts w:hint="eastAsia" w:ascii="仿宋_GB2312" w:hAnsi="仿宋_GB2312" w:eastAsia="仿宋_GB2312" w:cs="仿宋_GB2312"/>
          <w:kern w:val="0"/>
          <w:sz w:val="32"/>
          <w:szCs w:val="32"/>
          <w:lang w:val="zh-CN" w:bidi="ar"/>
        </w:rPr>
        <w:fldChar w:fldCharType="begin"/>
      </w:r>
      <w:r>
        <w:rPr>
          <w:rFonts w:hint="eastAsia" w:ascii="仿宋_GB2312" w:hAnsi="仿宋_GB2312" w:eastAsia="仿宋_GB2312" w:cs="仿宋_GB2312"/>
          <w:kern w:val="0"/>
          <w:sz w:val="32"/>
          <w:szCs w:val="32"/>
          <w:lang w:val="zh-CN" w:bidi="ar"/>
        </w:rPr>
        <w:instrText xml:space="preserve"> HYPERLINK "http://www.baidu.com/link?url=RXcE9Bbhk32k8jcpkGjQokKsLVfSOeT6epGZDIDGSPKt76FJ7ZU6RHOqr0iOsAKxKQcUPZ_HZKRod2bLTayh5MefmlDpLXMeOYEVEr_Q5r0sewh-P2DjOdR2S4N5vTwn" \t "_blank" </w:instrText>
      </w:r>
      <w:r>
        <w:rPr>
          <w:rFonts w:hint="eastAsia" w:ascii="仿宋_GB2312" w:hAnsi="仿宋_GB2312" w:eastAsia="仿宋_GB2312" w:cs="仿宋_GB2312"/>
          <w:kern w:val="0"/>
          <w:sz w:val="32"/>
          <w:szCs w:val="32"/>
          <w:lang w:val="zh-CN" w:bidi="ar"/>
        </w:rPr>
        <w:fldChar w:fldCharType="separate"/>
      </w:r>
      <w:r>
        <w:rPr>
          <w:rFonts w:hint="eastAsia" w:ascii="仿宋_GB2312" w:hAnsi="仿宋_GB2312" w:eastAsia="仿宋_GB2312" w:cs="仿宋_GB2312"/>
          <w:kern w:val="0"/>
          <w:sz w:val="32"/>
          <w:szCs w:val="32"/>
          <w:lang w:val="zh-CN" w:bidi="ar"/>
        </w:rPr>
        <w:t>四川省科技计划</w:t>
      </w:r>
      <w:r>
        <w:rPr>
          <w:rFonts w:hint="eastAsia" w:ascii="仿宋_GB2312" w:hAnsi="仿宋_GB2312" w:cs="仿宋_GB2312"/>
          <w:kern w:val="0"/>
          <w:sz w:val="32"/>
          <w:szCs w:val="32"/>
          <w:lang w:val="zh-CN" w:bidi="ar"/>
        </w:rPr>
        <w:t>项目</w:t>
      </w:r>
      <w:r>
        <w:rPr>
          <w:rFonts w:hint="eastAsia" w:ascii="仿宋_GB2312" w:hAnsi="仿宋_GB2312" w:eastAsia="仿宋_GB2312" w:cs="仿宋_GB2312"/>
          <w:kern w:val="0"/>
          <w:sz w:val="32"/>
          <w:szCs w:val="32"/>
          <w:lang w:val="zh-CN" w:bidi="ar"/>
        </w:rPr>
        <w:t>管理办法</w:t>
      </w:r>
      <w:r>
        <w:rPr>
          <w:rFonts w:hint="eastAsia" w:ascii="仿宋_GB2312" w:hAnsi="仿宋_GB2312" w:eastAsia="仿宋_GB2312" w:cs="仿宋_GB2312"/>
          <w:kern w:val="0"/>
          <w:sz w:val="32"/>
          <w:szCs w:val="32"/>
          <w:lang w:val="zh-CN" w:bidi="ar"/>
        </w:rPr>
        <w:fldChar w:fldCharType="end"/>
      </w:r>
      <w:r>
        <w:rPr>
          <w:rFonts w:hint="eastAsia" w:ascii="仿宋_GB2312" w:hAnsi="仿宋_GB2312" w:eastAsia="仿宋_GB2312" w:cs="仿宋_GB2312"/>
          <w:kern w:val="0"/>
          <w:sz w:val="32"/>
          <w:szCs w:val="32"/>
          <w:lang w:val="zh-CN" w:bidi="ar"/>
        </w:rPr>
        <w:t>》、《四川省科技计划项目专项资金管理办法》等文件的相关规定和财务管理制度执行</w:t>
      </w:r>
      <w:r>
        <w:rPr>
          <w:rFonts w:hint="eastAsia" w:ascii="仿宋_GB2312" w:hAnsi="仿宋_GB2312" w:cs="仿宋_GB2312"/>
          <w:kern w:val="0"/>
          <w:sz w:val="32"/>
          <w:szCs w:val="32"/>
          <w:lang w:val="zh-CN" w:bidi="ar"/>
        </w:rPr>
        <w:t>，并</w:t>
      </w:r>
      <w:r>
        <w:rPr>
          <w:rFonts w:hint="eastAsia" w:ascii="仿宋_GB2312" w:hAnsi="仿宋_GB2312" w:eastAsia="仿宋_GB2312" w:cs="仿宋_GB2312"/>
          <w:kern w:val="0"/>
          <w:sz w:val="32"/>
          <w:szCs w:val="32"/>
          <w:lang w:val="zh-CN" w:bidi="ar"/>
        </w:rPr>
        <w:t>督促项目研究进展，有效监督项目执行全过程。市科技局</w:t>
      </w:r>
      <w:r>
        <w:rPr>
          <w:rFonts w:hint="eastAsia" w:ascii="仿宋_GB2312" w:hAnsi="仿宋_GB2312" w:eastAsia="仿宋_GB2312" w:cs="仿宋_GB2312"/>
          <w:kern w:val="0"/>
          <w:sz w:val="32"/>
          <w:szCs w:val="32"/>
          <w:lang w:bidi="ar"/>
        </w:rPr>
        <w:t>负责日常检查和监督项目实施。</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ind w:firstLine="640" w:firstLineChars="200"/>
        <w:jc w:val="left"/>
        <w:rPr>
          <w:rFonts w:hint="eastAsia" w:ascii="楷体_GB2312" w:hAnsi="宋体" w:eastAsia="楷体_GB2312"/>
          <w:b/>
          <w:sz w:val="32"/>
          <w:szCs w:val="32"/>
          <w:lang w:val="zh-CN"/>
        </w:rPr>
      </w:pPr>
      <w:r>
        <w:rPr>
          <w:rFonts w:hint="eastAsia" w:ascii="仿宋_GB2312" w:hAnsi="仿宋_GB2312" w:eastAsia="仿宋_GB2312" w:cs="仿宋_GB2312"/>
          <w:kern w:val="0"/>
          <w:sz w:val="32"/>
          <w:szCs w:val="32"/>
          <w:lang w:val="zh-CN" w:bidi="ar"/>
        </w:rPr>
        <w:t>本项目</w:t>
      </w:r>
      <w:r>
        <w:rPr>
          <w:rFonts w:hint="eastAsia" w:ascii="仿宋_GB2312" w:hAnsi="仿宋_GB2312" w:eastAsia="仿宋_GB2312" w:cs="仿宋_GB2312"/>
          <w:kern w:val="0"/>
          <w:sz w:val="32"/>
          <w:szCs w:val="32"/>
          <w:lang w:bidi="ar"/>
        </w:rPr>
        <w:t>按照任务书约定的研究内容、计划进度和阶段目标要求，</w:t>
      </w:r>
      <w:r>
        <w:rPr>
          <w:rFonts w:hint="eastAsia" w:ascii="仿宋_GB2312" w:hAnsi="仿宋_GB2312" w:eastAsia="仿宋_GB2312" w:cs="仿宋_GB2312"/>
          <w:kern w:val="0"/>
          <w:sz w:val="32"/>
          <w:szCs w:val="32"/>
          <w:lang w:val="zh-CN" w:bidi="ar"/>
        </w:rPr>
        <w:t>在调研的基础上，</w:t>
      </w:r>
      <w:r>
        <w:rPr>
          <w:rFonts w:hint="eastAsia" w:ascii="仿宋_GB2312" w:hAnsi="仿宋_GB2312" w:eastAsia="仿宋_GB2312" w:cs="仿宋_GB2312"/>
          <w:kern w:val="0"/>
          <w:sz w:val="32"/>
          <w:szCs w:val="32"/>
          <w:lang w:bidi="ar"/>
        </w:rPr>
        <w:t>形成研究思路，在</w:t>
      </w:r>
      <w:r>
        <w:rPr>
          <w:rFonts w:hint="eastAsia" w:ascii="仿宋_GB2312" w:hAnsi="仿宋_GB2312" w:eastAsia="仿宋_GB2312" w:cs="仿宋_GB2312"/>
          <w:kern w:val="0"/>
          <w:sz w:val="32"/>
          <w:szCs w:val="32"/>
          <w:lang w:val="zh-CN" w:bidi="ar"/>
        </w:rPr>
        <w:t>工业绿色低碳发展相关理论及实践、攀西经济区工业体系及碳排放现状、攀西经济区工业体系存在的问题、攀西经济区绿色低碳工业体系构建及其总体布局、攀西经济区绿色低碳工业体系发展策略等方面开展研究，并完成了部分项目研究内容和考核指标。在项目研究基础上，已形成年度报告一篇，</w:t>
      </w:r>
      <w:r>
        <w:rPr>
          <w:rFonts w:hint="eastAsia" w:ascii="仿宋_GB2312" w:hAnsi="仿宋_GB2312" w:eastAsia="仿宋_GB2312" w:cs="仿宋_GB2312"/>
          <w:kern w:val="0"/>
          <w:sz w:val="32"/>
          <w:szCs w:val="32"/>
          <w:lang w:bidi="ar"/>
        </w:rPr>
        <w:t>政策建议一条，调研报告一份，公开发表文章</w:t>
      </w:r>
      <w:r>
        <w:rPr>
          <w:rFonts w:hint="eastAsia" w:ascii="仿宋_GB2312" w:hAnsi="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篇。虽然离完成所有的项目考核内容和考核指标还有</w:t>
      </w:r>
      <w:r>
        <w:rPr>
          <w:rFonts w:hint="eastAsia" w:ascii="仿宋_GB2312" w:hAnsi="仿宋_GB2312" w:eastAsia="仿宋_GB2312" w:cs="仿宋_GB2312"/>
          <w:kern w:val="0"/>
          <w:sz w:val="32"/>
          <w:szCs w:val="32"/>
          <w:lang w:val="zh-CN" w:bidi="ar"/>
        </w:rPr>
        <w:t>一定差距，但严格按照项目任务书约定的</w:t>
      </w:r>
      <w:r>
        <w:rPr>
          <w:rFonts w:hint="eastAsia" w:ascii="仿宋_GB2312" w:hAnsi="仿宋_GB2312" w:eastAsia="仿宋_GB2312" w:cs="仿宋_GB2312"/>
          <w:kern w:val="0"/>
          <w:sz w:val="32"/>
          <w:szCs w:val="32"/>
          <w:lang w:bidi="ar"/>
        </w:rPr>
        <w:t>计划进度和阶段目标推进</w:t>
      </w:r>
      <w:r>
        <w:rPr>
          <w:rFonts w:hint="eastAsia" w:ascii="仿宋_GB2312" w:hAnsi="仿宋_GB2312" w:eastAsia="仿宋_GB2312" w:cs="仿宋_GB2312"/>
          <w:kern w:val="0"/>
          <w:sz w:val="32"/>
          <w:szCs w:val="32"/>
          <w:lang w:val="zh-CN" w:bidi="ar"/>
        </w:rPr>
        <w:t>。</w:t>
      </w:r>
    </w:p>
    <w:p>
      <w:pPr>
        <w:numPr>
          <w:ilvl w:val="0"/>
          <w:numId w:val="15"/>
        </w:numPr>
        <w:adjustRightInd w:val="0"/>
        <w:snapToGrid w:val="0"/>
        <w:spacing w:line="56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widowControl/>
        <w:ind w:firstLine="640" w:firstLineChars="200"/>
        <w:jc w:val="left"/>
        <w:rPr>
          <w:rFonts w:hint="eastAsia" w:ascii="仿宋_GB2312" w:hAnsi="宋体"/>
          <w:sz w:val="32"/>
          <w:szCs w:val="32"/>
          <w:lang w:val="zh-CN"/>
        </w:rPr>
      </w:pPr>
      <w:r>
        <w:rPr>
          <w:rFonts w:hint="eastAsia" w:ascii="仿宋_GB2312" w:hAnsi="仿宋_GB2312" w:eastAsia="仿宋_GB2312" w:cs="仿宋_GB2312"/>
          <w:kern w:val="0"/>
          <w:sz w:val="32"/>
          <w:szCs w:val="32"/>
          <w:lang w:val="zh-CN" w:bidi="ar"/>
        </w:rPr>
        <w:t>本项目</w:t>
      </w:r>
      <w:r>
        <w:rPr>
          <w:rFonts w:hint="eastAsia" w:ascii="仿宋_GB2312" w:hAnsi="仿宋_GB2312" w:eastAsia="仿宋_GB2312" w:cs="仿宋_GB2312"/>
          <w:kern w:val="0"/>
          <w:sz w:val="32"/>
          <w:szCs w:val="32"/>
          <w:lang w:bidi="ar"/>
        </w:rPr>
        <w:t>研究成果对区域产业结构调整和经济可持续发展具有重要的指导意义，可</w:t>
      </w:r>
      <w:r>
        <w:rPr>
          <w:rFonts w:ascii="仿宋_GB2312" w:hAnsi="仿宋_GB2312" w:eastAsia="仿宋_GB2312" w:cs="仿宋_GB2312"/>
          <w:kern w:val="0"/>
          <w:sz w:val="32"/>
          <w:szCs w:val="32"/>
          <w:lang w:bidi="ar"/>
        </w:rPr>
        <w:t>为省内外相似区域构建绿色低碳工业体系提供理论和实践经验。</w:t>
      </w:r>
      <w:r>
        <w:rPr>
          <w:rFonts w:hint="eastAsia" w:ascii="仿宋_GB2312" w:hAnsi="仿宋_GB2312" w:eastAsia="仿宋_GB2312" w:cs="仿宋_GB2312"/>
          <w:kern w:val="0"/>
          <w:sz w:val="32"/>
          <w:szCs w:val="32"/>
          <w:lang w:bidi="ar"/>
        </w:rPr>
        <w:t>此外，通过本课题研究，项目组的研究水平得到大幅提升，</w:t>
      </w:r>
      <w:r>
        <w:rPr>
          <w:rFonts w:ascii="仿宋_GB2312" w:hAnsi="仿宋_GB2312" w:eastAsia="仿宋_GB2312" w:cs="仿宋_GB2312"/>
          <w:kern w:val="0"/>
          <w:sz w:val="32"/>
          <w:szCs w:val="32"/>
          <w:lang w:bidi="ar"/>
        </w:rPr>
        <w:t>可长期为攀西经济区实现工业高质量发展提供智力服务。</w:t>
      </w:r>
      <w:r>
        <w:rPr>
          <w:rFonts w:hint="eastAsia" w:ascii="仿宋_GB2312" w:hAnsi="仿宋_GB2312" w:eastAsia="仿宋_GB2312" w:cs="仿宋_GB2312"/>
          <w:kern w:val="0"/>
          <w:sz w:val="32"/>
          <w:szCs w:val="32"/>
          <w:lang w:bidi="ar"/>
        </w:rPr>
        <w:t>2022年，项目负责人认定为攀枝花市第五类高层次人才。</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widowControl/>
        <w:ind w:firstLine="640" w:firstLineChars="200"/>
        <w:jc w:val="left"/>
        <w:rPr>
          <w:sz w:val="32"/>
          <w:szCs w:val="32"/>
          <w:lang w:val="zh-CN"/>
        </w:rPr>
      </w:pPr>
      <w:r>
        <w:rPr>
          <w:rFonts w:hint="eastAsia" w:ascii="仿宋_GB2312" w:hAnsi="仿宋_GB2312" w:eastAsia="仿宋_GB2312" w:cs="仿宋_GB2312"/>
          <w:kern w:val="0"/>
          <w:sz w:val="32"/>
          <w:szCs w:val="32"/>
          <w:lang w:val="zh-CN" w:bidi="ar"/>
        </w:rPr>
        <w:t>本项目在申报过程中预见性不够，主研人员的分工不深不细，导致项目在执行过程中存在主研人员所负责的研究内容进度不一的情况，影响了项目的整体推进过程。</w:t>
      </w:r>
    </w:p>
    <w:p>
      <w:pPr>
        <w:numPr>
          <w:ilvl w:val="0"/>
          <w:numId w:val="16"/>
        </w:numPr>
        <w:adjustRightInd w:val="0"/>
        <w:snapToGrid w:val="0"/>
        <w:spacing w:line="56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pPr>
        <w:pStyle w:val="16"/>
        <w:numPr>
          <w:ilvl w:val="0"/>
          <w:numId w:val="0"/>
        </w:numPr>
        <w:ind w:firstLine="640" w:firstLineChars="200"/>
        <w:rPr>
          <w:rFonts w:hint="eastAsia" w:ascii="黑体" w:hAnsi="黑体" w:eastAsia="黑体"/>
          <w:sz w:val="44"/>
          <w:szCs w:val="44"/>
        </w:rPr>
      </w:pPr>
      <w:r>
        <w:rPr>
          <w:rFonts w:hint="eastAsia" w:ascii="仿宋_GB2312" w:hAnsi="仿宋_GB2312" w:eastAsia="仿宋_GB2312" w:cs="仿宋_GB2312"/>
          <w:kern w:val="0"/>
          <w:sz w:val="32"/>
          <w:szCs w:val="32"/>
          <w:lang w:val="zh-CN" w:bidi="ar"/>
        </w:rPr>
        <w:t>针对主研人员分工问题，项目组及时优化分工，加强过程管理，并向项目承担单位申请增加两名主研人员，以便推动项目的顺利开展和如期完成项目验收。</w:t>
      </w:r>
      <w:r>
        <w:rPr>
          <w:rFonts w:hint="eastAsia" w:ascii="黑体" w:hAnsi="黑体" w:eastAsia="黑体"/>
          <w:sz w:val="44"/>
          <w:szCs w:val="44"/>
        </w:rPr>
        <w:br w:type="page"/>
      </w:r>
    </w:p>
    <w:p>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55"/>
      <w:bookmarkEnd w:id="62"/>
      <w:bookmarkStart w:id="65" w:name="_Toc15396619"/>
    </w:p>
    <w:p>
      <w:pPr>
        <w:pStyle w:val="5"/>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65"/>
    </w:p>
    <w:p>
      <w:pPr>
        <w:pStyle w:val="5"/>
        <w:rPr>
          <w:rFonts w:ascii="仿宋" w:hAnsi="仿宋" w:eastAsia="仿宋"/>
        </w:rPr>
      </w:pPr>
      <w:bookmarkStart w:id="66" w:name="_Toc15396620"/>
      <w:r>
        <w:rPr>
          <w:rFonts w:hint="eastAsia" w:ascii="仿宋" w:hAnsi="仿宋" w:eastAsia="仿宋"/>
          <w:b w:val="0"/>
        </w:rPr>
        <w:t>二、收</w:t>
      </w:r>
      <w:r>
        <w:rPr>
          <w:rStyle w:val="33"/>
          <w:rFonts w:hint="eastAsia" w:ascii="仿宋" w:hAnsi="仿宋" w:eastAsia="仿宋"/>
          <w:b w:val="0"/>
          <w:bCs w:val="0"/>
        </w:rPr>
        <w:t>入决算表</w:t>
      </w:r>
      <w:bookmarkEnd w:id="66"/>
    </w:p>
    <w:p>
      <w:pPr>
        <w:pStyle w:val="5"/>
        <w:rPr>
          <w:rFonts w:ascii="仿宋" w:hAnsi="仿宋" w:eastAsia="仿宋"/>
        </w:rPr>
      </w:pPr>
      <w:bookmarkStart w:id="67"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67"/>
    </w:p>
    <w:p>
      <w:pPr>
        <w:pStyle w:val="5"/>
        <w:rPr>
          <w:rFonts w:ascii="仿宋" w:hAnsi="仿宋" w:eastAsia="仿宋"/>
          <w:b w:val="0"/>
        </w:rPr>
      </w:pPr>
      <w:bookmarkStart w:id="68"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68"/>
    </w:p>
    <w:p>
      <w:pPr>
        <w:pStyle w:val="5"/>
        <w:rPr>
          <w:rStyle w:val="33"/>
          <w:rFonts w:ascii="仿宋" w:hAnsi="仿宋" w:eastAsia="仿宋"/>
          <w:b w:val="0"/>
          <w:bCs w:val="0"/>
        </w:rPr>
      </w:pPr>
      <w:bookmarkStart w:id="69"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69"/>
      <w:bookmarkStart w:id="70" w:name="_Toc15396624"/>
    </w:p>
    <w:p>
      <w:pPr>
        <w:pStyle w:val="5"/>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70"/>
    </w:p>
    <w:p>
      <w:pPr>
        <w:pStyle w:val="5"/>
        <w:rPr>
          <w:rFonts w:ascii="仿宋" w:hAnsi="仿宋" w:eastAsia="仿宋"/>
        </w:rPr>
      </w:pPr>
      <w:bookmarkStart w:id="71"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71"/>
    </w:p>
    <w:p>
      <w:pPr>
        <w:pStyle w:val="5"/>
        <w:rPr>
          <w:rFonts w:ascii="仿宋" w:hAnsi="仿宋" w:eastAsia="仿宋"/>
        </w:rPr>
      </w:pPr>
      <w:bookmarkStart w:id="72"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72"/>
    </w:p>
    <w:p>
      <w:pPr>
        <w:pStyle w:val="5"/>
        <w:rPr>
          <w:rFonts w:ascii="仿宋" w:hAnsi="仿宋" w:eastAsia="仿宋"/>
        </w:rPr>
      </w:pPr>
      <w:bookmarkStart w:id="73"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73"/>
    </w:p>
    <w:p>
      <w:pPr>
        <w:pStyle w:val="5"/>
        <w:rPr>
          <w:rFonts w:ascii="仿宋" w:hAnsi="仿宋" w:eastAsia="仿宋"/>
        </w:rPr>
      </w:pPr>
      <w:bookmarkStart w:id="74" w:name="_Toc15396628"/>
      <w:r>
        <w:rPr>
          <w:rStyle w:val="33"/>
          <w:rFonts w:hint="eastAsia" w:ascii="仿宋" w:hAnsi="仿宋" w:eastAsia="仿宋"/>
          <w:b w:val="0"/>
          <w:bCs w:val="0"/>
        </w:rPr>
        <w:t>十、</w:t>
      </w:r>
      <w:bookmarkEnd w:id="74"/>
      <w:r>
        <w:rPr>
          <w:rFonts w:hint="eastAsia" w:ascii="仿宋" w:hAnsi="仿宋" w:eastAsia="仿宋"/>
          <w:b w:val="0"/>
        </w:rPr>
        <w:t>政</w:t>
      </w:r>
      <w:r>
        <w:rPr>
          <w:rStyle w:val="33"/>
          <w:rFonts w:hint="eastAsia" w:ascii="仿宋" w:hAnsi="仿宋" w:eastAsia="仿宋"/>
          <w:b w:val="0"/>
          <w:bCs w:val="0"/>
        </w:rPr>
        <w:t>府性基金预算财政拨款收入支出决算表</w:t>
      </w:r>
    </w:p>
    <w:p>
      <w:pPr>
        <w:pStyle w:val="5"/>
        <w:rPr>
          <w:rFonts w:ascii="仿宋" w:hAnsi="仿宋" w:eastAsia="仿宋"/>
        </w:rPr>
      </w:pPr>
      <w:bookmarkStart w:id="75" w:name="_Toc15396629"/>
      <w:r>
        <w:rPr>
          <w:rStyle w:val="33"/>
          <w:rFonts w:hint="eastAsia" w:ascii="仿宋" w:hAnsi="仿宋" w:eastAsia="仿宋"/>
          <w:b w:val="0"/>
          <w:bCs w:val="0"/>
        </w:rPr>
        <w:t>十一、</w:t>
      </w:r>
      <w:bookmarkEnd w:id="75"/>
      <w:r>
        <w:rPr>
          <w:rFonts w:hint="eastAsia" w:ascii="仿宋" w:hAnsi="仿宋" w:eastAsia="仿宋"/>
          <w:b w:val="0"/>
        </w:rPr>
        <w:t>国</w:t>
      </w:r>
      <w:r>
        <w:rPr>
          <w:rStyle w:val="33"/>
          <w:rFonts w:hint="eastAsia" w:ascii="仿宋" w:hAnsi="仿宋" w:eastAsia="仿宋"/>
          <w:b w:val="0"/>
          <w:bCs w:val="0"/>
        </w:rPr>
        <w:t>有资本经营预算财政拨款收入支出决算表</w:t>
      </w:r>
    </w:p>
    <w:p>
      <w:pPr>
        <w:pStyle w:val="5"/>
        <w:rPr>
          <w:rFonts w:ascii="仿宋" w:hAnsi="仿宋" w:eastAsia="仿宋"/>
        </w:rPr>
      </w:pPr>
      <w:bookmarkStart w:id="76" w:name="_Toc15396630"/>
      <w:r>
        <w:rPr>
          <w:rStyle w:val="33"/>
          <w:rFonts w:hint="eastAsia" w:ascii="仿宋" w:hAnsi="仿宋" w:eastAsia="仿宋"/>
          <w:b w:val="0"/>
          <w:bCs w:val="0"/>
        </w:rPr>
        <w:t>十二、</w:t>
      </w:r>
      <w:bookmarkEnd w:id="76"/>
      <w:r>
        <w:rPr>
          <w:rStyle w:val="33"/>
          <w:rFonts w:hint="eastAsia" w:ascii="仿宋" w:hAnsi="仿宋" w:eastAsia="仿宋"/>
          <w:b w:val="0"/>
          <w:bCs w:val="0"/>
        </w:rPr>
        <w:t>国有资本经营预算财政拨款支出决算表</w:t>
      </w:r>
    </w:p>
    <w:p>
      <w:pPr>
        <w:pStyle w:val="5"/>
        <w:rPr>
          <w:rFonts w:eastAsia="仿宋"/>
        </w:rPr>
      </w:pPr>
      <w:bookmarkStart w:id="77" w:name="_Toc15396631"/>
      <w:r>
        <w:rPr>
          <w:rStyle w:val="33"/>
          <w:rFonts w:hint="eastAsia" w:ascii="仿宋" w:hAnsi="仿宋" w:eastAsia="仿宋"/>
          <w:b w:val="0"/>
          <w:bCs w:val="0"/>
        </w:rPr>
        <w:t>十三、</w:t>
      </w:r>
      <w:bookmarkEnd w:id="77"/>
      <w:r>
        <w:rPr>
          <w:rStyle w:val="33"/>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E6EE0"/>
    <w:multiLevelType w:val="singleLevel"/>
    <w:tmpl w:val="96FE6EE0"/>
    <w:lvl w:ilvl="0" w:tentative="0">
      <w:start w:val="3"/>
      <w:numFmt w:val="chineseCounting"/>
      <w:suff w:val="nothing"/>
      <w:lvlText w:val="（%1）"/>
      <w:lvlJc w:val="left"/>
      <w:rPr>
        <w:rFonts w:hint="eastAsia"/>
      </w:rPr>
    </w:lvl>
  </w:abstractNum>
  <w:abstractNum w:abstractNumId="1">
    <w:nsid w:val="A73A2D8F"/>
    <w:multiLevelType w:val="singleLevel"/>
    <w:tmpl w:val="A73A2D8F"/>
    <w:lvl w:ilvl="0" w:tentative="0">
      <w:start w:val="2"/>
      <w:numFmt w:val="decimal"/>
      <w:suff w:val="nothing"/>
      <w:lvlText w:val="（%1）"/>
      <w:lvlJc w:val="left"/>
    </w:lvl>
  </w:abstractNum>
  <w:abstractNum w:abstractNumId="2">
    <w:nsid w:val="C75D1505"/>
    <w:multiLevelType w:val="singleLevel"/>
    <w:tmpl w:val="C75D1505"/>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8E84617"/>
    <w:multiLevelType w:val="singleLevel"/>
    <w:tmpl w:val="D8E84617"/>
    <w:lvl w:ilvl="0" w:tentative="0">
      <w:start w:val="2"/>
      <w:numFmt w:val="chineseCounting"/>
      <w:suff w:val="nothing"/>
      <w:lvlText w:val="（%1）"/>
      <w:lvlJc w:val="left"/>
      <w:rPr>
        <w:rFonts w:hint="eastAsia"/>
        <w:b/>
        <w:bCs/>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B7F333B"/>
    <w:multiLevelType w:val="singleLevel"/>
    <w:tmpl w:val="EB7F333B"/>
    <w:lvl w:ilvl="0" w:tentative="0">
      <w:start w:val="3"/>
      <w:numFmt w:val="decimal"/>
      <w:suff w:val="nothing"/>
      <w:lvlText w:val="%1．"/>
      <w:lvlJc w:val="left"/>
      <w:pPr>
        <w:ind w:left="0" w:firstLine="0"/>
      </w:pPr>
    </w:lvl>
  </w:abstractNum>
  <w:abstractNum w:abstractNumId="7">
    <w:nsid w:val="EE72F5BE"/>
    <w:multiLevelType w:val="singleLevel"/>
    <w:tmpl w:val="EE72F5BE"/>
    <w:lvl w:ilvl="0" w:tentative="0">
      <w:start w:val="2"/>
      <w:numFmt w:val="decimal"/>
      <w:suff w:val="space"/>
      <w:lvlText w:val="%1."/>
      <w:lvlJc w:val="left"/>
    </w:lvl>
  </w:abstractNum>
  <w:abstractNum w:abstractNumId="8">
    <w:nsid w:val="FFF674BC"/>
    <w:multiLevelType w:val="singleLevel"/>
    <w:tmpl w:val="FFF674BC"/>
    <w:lvl w:ilvl="0" w:tentative="0">
      <w:start w:val="1"/>
      <w:numFmt w:val="chineseCounting"/>
      <w:suff w:val="nothing"/>
      <w:lvlText w:val="%1、"/>
      <w:lvlJc w:val="left"/>
      <w:rPr>
        <w:rFonts w:hint="eastAsia"/>
      </w:rPr>
    </w:lvl>
  </w:abstractNum>
  <w:abstractNum w:abstractNumId="9">
    <w:nsid w:val="02D0801A"/>
    <w:multiLevelType w:val="singleLevel"/>
    <w:tmpl w:val="02D0801A"/>
    <w:lvl w:ilvl="0" w:tentative="0">
      <w:start w:val="2"/>
      <w:numFmt w:val="decimal"/>
      <w:suff w:val="nothing"/>
      <w:lvlText w:val="%1．"/>
      <w:lvlJc w:val="left"/>
    </w:lvl>
  </w:abstractNum>
  <w:abstractNum w:abstractNumId="10">
    <w:nsid w:val="0465E84B"/>
    <w:multiLevelType w:val="singleLevel"/>
    <w:tmpl w:val="0465E84B"/>
    <w:lvl w:ilvl="0" w:tentative="0">
      <w:start w:val="2"/>
      <w:numFmt w:val="chineseCounting"/>
      <w:suff w:val="nothing"/>
      <w:lvlText w:val="（%1）"/>
      <w:lvlJc w:val="left"/>
      <w:rPr>
        <w:rFonts w:hint="eastAsia"/>
      </w:rPr>
    </w:lvl>
  </w:abstractNum>
  <w:abstractNum w:abstractNumId="11">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462CB5"/>
    <w:multiLevelType w:val="multilevel"/>
    <w:tmpl w:val="42462CB5"/>
    <w:lvl w:ilvl="0" w:tentative="0">
      <w:start w:val="1"/>
      <w:numFmt w:val="japaneseCounting"/>
      <w:lvlText w:val="（%1）"/>
      <w:lvlJc w:val="left"/>
      <w:pPr>
        <w:ind w:left="1725" w:hanging="1005"/>
      </w:pPr>
      <w:rPr>
        <w:rFonts w:hint="default" w:ascii="楷体_GB2312" w:eastAsia="楷体_GB2312"/>
        <w:b/>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3">
    <w:nsid w:val="6EAB1FB7"/>
    <w:multiLevelType w:val="singleLevel"/>
    <w:tmpl w:val="6EAB1FB7"/>
    <w:lvl w:ilvl="0" w:tentative="0">
      <w:start w:val="2"/>
      <w:numFmt w:val="chineseCounting"/>
      <w:suff w:val="nothing"/>
      <w:lvlText w:val="（%1）"/>
      <w:lvlJc w:val="left"/>
      <w:rPr>
        <w:rFonts w:hint="eastAsia"/>
      </w:rPr>
    </w:lvl>
  </w:abstractNum>
  <w:abstractNum w:abstractNumId="14">
    <w:nsid w:val="7FD677F2"/>
    <w:multiLevelType w:val="singleLevel"/>
    <w:tmpl w:val="7FD677F2"/>
    <w:lvl w:ilvl="0" w:tentative="0">
      <w:start w:val="2"/>
      <w:numFmt w:val="chineseCounting"/>
      <w:suff w:val="nothing"/>
      <w:lvlText w:val="（%1）"/>
      <w:lvlJc w:val="left"/>
      <w:rPr>
        <w:rFonts w:hint="eastAsia"/>
      </w:rPr>
    </w:lvl>
  </w:abstractNum>
  <w:abstractNum w:abstractNumId="15">
    <w:nsid w:val="7FF919CF"/>
    <w:multiLevelType w:val="singleLevel"/>
    <w:tmpl w:val="7FF919CF"/>
    <w:lvl w:ilvl="0" w:tentative="0">
      <w:start w:val="1"/>
      <w:numFmt w:val="chineseCounting"/>
      <w:suff w:val="nothing"/>
      <w:lvlText w:val="（%1）"/>
      <w:lvlJc w:val="left"/>
      <w:pPr>
        <w:ind w:left="0" w:firstLine="0"/>
      </w:pPr>
      <w:rPr>
        <w:rFonts w:hint="eastAsia"/>
      </w:rPr>
    </w:lvl>
  </w:abstractNum>
  <w:num w:numId="1">
    <w:abstractNumId w:val="11"/>
  </w:num>
  <w:num w:numId="2">
    <w:abstractNumId w:val="3"/>
  </w:num>
  <w:num w:numId="3">
    <w:abstractNumId w:val="5"/>
  </w:num>
  <w:num w:numId="4">
    <w:abstractNumId w:val="8"/>
  </w:num>
  <w:num w:numId="5">
    <w:abstractNumId w:val="7"/>
  </w:num>
  <w:num w:numId="6">
    <w:abstractNumId w:val="1"/>
  </w:num>
  <w:num w:numId="7">
    <w:abstractNumId w:val="0"/>
  </w:num>
  <w:num w:numId="8">
    <w:abstractNumId w:val="14"/>
  </w:num>
  <w:num w:numId="9">
    <w:abstractNumId w:val="13"/>
  </w:num>
  <w:num w:numId="10">
    <w:abstractNumId w:val="15"/>
  </w:num>
  <w:num w:numId="11">
    <w:abstractNumId w:val="6"/>
  </w:num>
  <w:num w:numId="12">
    <w:abstractNumId w:val="12"/>
  </w:num>
  <w:num w:numId="13">
    <w:abstractNumId w:val="4"/>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DEF5555"/>
    <w:rsid w:val="0EDF7D6E"/>
    <w:rsid w:val="0F98263C"/>
    <w:rsid w:val="101860EC"/>
    <w:rsid w:val="10C055FF"/>
    <w:rsid w:val="118107EC"/>
    <w:rsid w:val="13D50BC4"/>
    <w:rsid w:val="16BB723D"/>
    <w:rsid w:val="19AFF529"/>
    <w:rsid w:val="19B94AD2"/>
    <w:rsid w:val="19FE927F"/>
    <w:rsid w:val="1BE8440E"/>
    <w:rsid w:val="1D155CEE"/>
    <w:rsid w:val="1DCFA9ED"/>
    <w:rsid w:val="1FBE4788"/>
    <w:rsid w:val="1FD52FE3"/>
    <w:rsid w:val="1FF35744"/>
    <w:rsid w:val="23860B96"/>
    <w:rsid w:val="240371BF"/>
    <w:rsid w:val="29FD04D3"/>
    <w:rsid w:val="2C8A61B5"/>
    <w:rsid w:val="2DF04E50"/>
    <w:rsid w:val="2F040D46"/>
    <w:rsid w:val="2FF73443"/>
    <w:rsid w:val="319F7F4E"/>
    <w:rsid w:val="3304709D"/>
    <w:rsid w:val="355BE589"/>
    <w:rsid w:val="36AA5135"/>
    <w:rsid w:val="376D39B2"/>
    <w:rsid w:val="377B9561"/>
    <w:rsid w:val="37E16F03"/>
    <w:rsid w:val="38D469F0"/>
    <w:rsid w:val="3D32B6D7"/>
    <w:rsid w:val="3D98207C"/>
    <w:rsid w:val="3E78745D"/>
    <w:rsid w:val="3E7D4C7B"/>
    <w:rsid w:val="3F250846"/>
    <w:rsid w:val="3FDFF187"/>
    <w:rsid w:val="3FEFCE76"/>
    <w:rsid w:val="44E268DA"/>
    <w:rsid w:val="47C71564"/>
    <w:rsid w:val="4A627F82"/>
    <w:rsid w:val="4B0E749A"/>
    <w:rsid w:val="4B4F25DA"/>
    <w:rsid w:val="4BE068DB"/>
    <w:rsid w:val="4D577224"/>
    <w:rsid w:val="4EAB630A"/>
    <w:rsid w:val="4ECE2238"/>
    <w:rsid w:val="537E6D0A"/>
    <w:rsid w:val="53EFC70E"/>
    <w:rsid w:val="53FF324B"/>
    <w:rsid w:val="56BDED3C"/>
    <w:rsid w:val="5AF92295"/>
    <w:rsid w:val="5CD71FC4"/>
    <w:rsid w:val="5D78B1FA"/>
    <w:rsid w:val="5F77245A"/>
    <w:rsid w:val="5F7F0C29"/>
    <w:rsid w:val="5FEF15CA"/>
    <w:rsid w:val="5FFF350F"/>
    <w:rsid w:val="5FFFCF4F"/>
    <w:rsid w:val="669D833E"/>
    <w:rsid w:val="67E1A121"/>
    <w:rsid w:val="67FE478C"/>
    <w:rsid w:val="6AFDBCA8"/>
    <w:rsid w:val="6AFE9425"/>
    <w:rsid w:val="6BE78A86"/>
    <w:rsid w:val="6C4A05C8"/>
    <w:rsid w:val="6C7E8ABF"/>
    <w:rsid w:val="6D7573CD"/>
    <w:rsid w:val="6E7E3605"/>
    <w:rsid w:val="6F3B115C"/>
    <w:rsid w:val="6FCB71A3"/>
    <w:rsid w:val="6FD7ADD9"/>
    <w:rsid w:val="6FF5CC65"/>
    <w:rsid w:val="70FE0B09"/>
    <w:rsid w:val="715C0E4B"/>
    <w:rsid w:val="71B73B05"/>
    <w:rsid w:val="723F0A99"/>
    <w:rsid w:val="72734D90"/>
    <w:rsid w:val="72DD4EC2"/>
    <w:rsid w:val="73AD73D5"/>
    <w:rsid w:val="73B6EB34"/>
    <w:rsid w:val="744731E5"/>
    <w:rsid w:val="75D98802"/>
    <w:rsid w:val="75F7D95C"/>
    <w:rsid w:val="76CB991C"/>
    <w:rsid w:val="76E3355F"/>
    <w:rsid w:val="773B43B5"/>
    <w:rsid w:val="778769C8"/>
    <w:rsid w:val="77F5ECF5"/>
    <w:rsid w:val="7967E477"/>
    <w:rsid w:val="79EE5BA4"/>
    <w:rsid w:val="7A894339"/>
    <w:rsid w:val="7BDFE9E5"/>
    <w:rsid w:val="7BF5FF04"/>
    <w:rsid w:val="7BFAE786"/>
    <w:rsid w:val="7BFF2E8F"/>
    <w:rsid w:val="7D67425D"/>
    <w:rsid w:val="7DDFAAC7"/>
    <w:rsid w:val="7DEF7C43"/>
    <w:rsid w:val="7DF525A2"/>
    <w:rsid w:val="7EBEBCCF"/>
    <w:rsid w:val="7EEF11D3"/>
    <w:rsid w:val="7EFF158F"/>
    <w:rsid w:val="7F3639FC"/>
    <w:rsid w:val="7F7F9067"/>
    <w:rsid w:val="7FA30C79"/>
    <w:rsid w:val="7FB7269E"/>
    <w:rsid w:val="7FBF465E"/>
    <w:rsid w:val="7FBFC050"/>
    <w:rsid w:val="7FBFD4BA"/>
    <w:rsid w:val="7FC96657"/>
    <w:rsid w:val="7FEE1B88"/>
    <w:rsid w:val="7FF35A37"/>
    <w:rsid w:val="7FF7D9FA"/>
    <w:rsid w:val="7FFF099A"/>
    <w:rsid w:val="9778C47E"/>
    <w:rsid w:val="9BDF6605"/>
    <w:rsid w:val="9DFFF6FE"/>
    <w:rsid w:val="9F743828"/>
    <w:rsid w:val="9FF2251F"/>
    <w:rsid w:val="A3BFE943"/>
    <w:rsid w:val="A3DF4B1E"/>
    <w:rsid w:val="AEBAFAF2"/>
    <w:rsid w:val="AEFD877A"/>
    <w:rsid w:val="AFF21A9D"/>
    <w:rsid w:val="B27FBC5D"/>
    <w:rsid w:val="B5B9D0BD"/>
    <w:rsid w:val="B7CF9091"/>
    <w:rsid w:val="BADDE7CD"/>
    <w:rsid w:val="BCEB2141"/>
    <w:rsid w:val="BEDF6279"/>
    <w:rsid w:val="BF7F575A"/>
    <w:rsid w:val="C3F48273"/>
    <w:rsid w:val="C48F1331"/>
    <w:rsid w:val="D1F662C5"/>
    <w:rsid w:val="D6FBA358"/>
    <w:rsid w:val="D77DC134"/>
    <w:rsid w:val="D7B6644F"/>
    <w:rsid w:val="D8D6DB89"/>
    <w:rsid w:val="DB6F4CAB"/>
    <w:rsid w:val="DC7F02DE"/>
    <w:rsid w:val="DDEFA57D"/>
    <w:rsid w:val="DF164923"/>
    <w:rsid w:val="DF6F9789"/>
    <w:rsid w:val="DFF5CF96"/>
    <w:rsid w:val="E7FD66FD"/>
    <w:rsid w:val="E9BE8CBC"/>
    <w:rsid w:val="EDFDF404"/>
    <w:rsid w:val="EF3FF525"/>
    <w:rsid w:val="EFFF94E6"/>
    <w:rsid w:val="F36CFBF2"/>
    <w:rsid w:val="F3AD370B"/>
    <w:rsid w:val="F5DFA42B"/>
    <w:rsid w:val="F5F95FF4"/>
    <w:rsid w:val="F6DE717B"/>
    <w:rsid w:val="F76D5F3F"/>
    <w:rsid w:val="F9DB3375"/>
    <w:rsid w:val="FAFFB9B8"/>
    <w:rsid w:val="FBCACC6E"/>
    <w:rsid w:val="FBE76DD0"/>
    <w:rsid w:val="FBFD8902"/>
    <w:rsid w:val="FBFD9E62"/>
    <w:rsid w:val="FBFF65AF"/>
    <w:rsid w:val="FBFF9E6D"/>
    <w:rsid w:val="FD37A028"/>
    <w:rsid w:val="FD8B475F"/>
    <w:rsid w:val="FDAD1E6F"/>
    <w:rsid w:val="FDC71462"/>
    <w:rsid w:val="FDF7FEB4"/>
    <w:rsid w:val="FDFF5584"/>
    <w:rsid w:val="FE663CC4"/>
    <w:rsid w:val="FEF924B3"/>
    <w:rsid w:val="FF1FF74C"/>
    <w:rsid w:val="FF53F675"/>
    <w:rsid w:val="FF5B8FCE"/>
    <w:rsid w:val="FF7F2B32"/>
    <w:rsid w:val="FFAE281F"/>
    <w:rsid w:val="FFB062CC"/>
    <w:rsid w:val="FFBB1DA3"/>
    <w:rsid w:val="FFD79DA1"/>
    <w:rsid w:val="FFE5C877"/>
    <w:rsid w:val="FFF38E0E"/>
    <w:rsid w:val="FFF3E1A2"/>
    <w:rsid w:val="FFFB7F3F"/>
    <w:rsid w:val="FFFD88A2"/>
    <w:rsid w:val="FFFDA9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99"/>
    <w:pPr>
      <w:spacing w:beforeLines="30"/>
    </w:pPr>
    <w:rPr>
      <w:rFonts w:ascii="仿宋_GB2312" w:eastAsia="仿宋_GB2312"/>
      <w:kern w:val="0"/>
      <w:sz w:val="30"/>
    </w:rPr>
  </w:style>
  <w:style w:type="paragraph" w:customStyle="1" w:styleId="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Normal Indent"/>
    <w:basedOn w:val="1"/>
    <w:qFormat/>
    <w:uiPriority w:val="0"/>
    <w:pPr>
      <w:suppressAutoHyphens/>
    </w:pPr>
    <w:rPr>
      <w:rFonts w:ascii="Calibri" w:hAnsi="Calibri"/>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semiHidden/>
    <w:unhideWhenUsed/>
    <w:qFormat/>
    <w:uiPriority w:val="99"/>
    <w:pPr>
      <w:keepNext w:val="0"/>
      <w:keepLines w:val="0"/>
      <w:widowControl w:val="0"/>
      <w:suppressLineNumbers w:val="0"/>
      <w:spacing w:before="0" w:beforeAutospacing="0" w:after="0" w:afterAutospacing="0" w:line="240" w:lineRule="auto"/>
      <w:ind w:left="0" w:firstLine="0"/>
      <w:jc w:val="both"/>
    </w:pPr>
    <w:rPr>
      <w:rFonts w:hint="eastAsia" w:ascii="宋体" w:hAnsi="宋体" w:eastAsia="宋体" w:cs="宋体"/>
      <w:kern w:val="2"/>
      <w:sz w:val="21"/>
      <w:szCs w:val="24"/>
      <w:lang w:val="en-US" w:eastAsia="zh-CN" w:bidi="ar"/>
    </w:rPr>
  </w:style>
  <w:style w:type="paragraph" w:styleId="11">
    <w:name w:val="Balloon Text"/>
    <w:basedOn w:val="1"/>
    <w:link w:val="35"/>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w:basedOn w:val="2"/>
    <w:qFormat/>
    <w:uiPriority w:val="0"/>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rPr>
  </w:style>
  <w:style w:type="character" w:styleId="22">
    <w:name w:val="FollowedHyperlink"/>
    <w:basedOn w:val="20"/>
    <w:semiHidden/>
    <w:unhideWhenUsed/>
    <w:qFormat/>
    <w:uiPriority w:val="99"/>
    <w:rPr>
      <w:color w:val="954F72"/>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0"/>
    <w:semiHidden/>
    <w:qFormat/>
    <w:uiPriority w:val="99"/>
    <w:rPr>
      <w:rFonts w:ascii="Times New Roman" w:hAnsi="Times New Roman"/>
      <w:sz w:val="18"/>
      <w:szCs w:val="18"/>
    </w:rPr>
  </w:style>
  <w:style w:type="character" w:customStyle="1" w:styleId="26">
    <w:name w:val="页眉 字符"/>
    <w:link w:val="13"/>
    <w:semiHidden/>
    <w:qFormat/>
    <w:locked/>
    <w:uiPriority w:val="99"/>
    <w:rPr>
      <w:sz w:val="18"/>
    </w:rPr>
  </w:style>
  <w:style w:type="character" w:customStyle="1" w:styleId="27">
    <w:name w:val="Footer Char"/>
    <w:basedOn w:val="20"/>
    <w:semiHidden/>
    <w:qFormat/>
    <w:uiPriority w:val="99"/>
    <w:rPr>
      <w:rFonts w:ascii="Times New Roman" w:hAnsi="Times New Roman"/>
      <w:sz w:val="18"/>
      <w:szCs w:val="18"/>
    </w:rPr>
  </w:style>
  <w:style w:type="character" w:customStyle="1" w:styleId="28">
    <w:name w:val="页脚 字符"/>
    <w:link w:val="12"/>
    <w:qFormat/>
    <w:locked/>
    <w:uiPriority w:val="99"/>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字符"/>
    <w:link w:val="2"/>
    <w:qFormat/>
    <w:locked/>
    <w:uiPriority w:val="99"/>
    <w:rPr>
      <w:rFonts w:ascii="仿宋_GB2312" w:hAnsi="Times New Roman" w:eastAsia="仿宋_GB2312"/>
      <w:sz w:val="24"/>
    </w:rPr>
  </w:style>
  <w:style w:type="paragraph" w:styleId="31">
    <w:name w:val="List Paragraph"/>
    <w:basedOn w:val="1"/>
    <w:qFormat/>
    <w:uiPriority w:val="34"/>
    <w:pPr>
      <w:ind w:firstLine="420" w:firstLineChars="200"/>
    </w:pPr>
  </w:style>
  <w:style w:type="character" w:customStyle="1" w:styleId="32">
    <w:name w:val="标题 1 字符"/>
    <w:basedOn w:val="20"/>
    <w:link w:val="4"/>
    <w:qFormat/>
    <w:uiPriority w:val="9"/>
    <w:rPr>
      <w:rFonts w:ascii="Times New Roman" w:hAnsi="Times New Roman"/>
      <w:b/>
      <w:bCs/>
      <w:kern w:val="44"/>
      <w:sz w:val="44"/>
      <w:szCs w:val="44"/>
    </w:rPr>
  </w:style>
  <w:style w:type="character" w:customStyle="1" w:styleId="33">
    <w:name w:val="标题 2 字符"/>
    <w:basedOn w:val="20"/>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20"/>
    <w:link w:val="11"/>
    <w:semiHidden/>
    <w:qFormat/>
    <w:uiPriority w:val="99"/>
    <w:rPr>
      <w:rFonts w:ascii="Times New Roman" w:hAnsi="Times New Roman"/>
      <w:kern w:val="2"/>
      <w:sz w:val="18"/>
      <w:szCs w:val="18"/>
    </w:rPr>
  </w:style>
  <w:style w:type="character" w:customStyle="1" w:styleId="36">
    <w:name w:val="标题 3 字符"/>
    <w:basedOn w:val="20"/>
    <w:link w:val="6"/>
    <w:qFormat/>
    <w:uiPriority w:val="9"/>
    <w:rPr>
      <w:rFonts w:ascii="Times New Roman" w:hAnsi="Times New Roman"/>
      <w:b/>
      <w:bCs/>
      <w:kern w:val="2"/>
      <w:sz w:val="32"/>
      <w:szCs w:val="32"/>
    </w:rPr>
  </w:style>
  <w:style w:type="paragraph" w:customStyle="1" w:styleId="37">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3">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4">
    <w:name w:val="fontstyle01"/>
    <w:basedOn w:val="20"/>
    <w:qFormat/>
    <w:uiPriority w:val="0"/>
    <w:rPr>
      <w:rFonts w:hint="eastAsia" w:ascii="楷体" w:hAnsi="楷体" w:eastAsia="楷体"/>
      <w:color w:val="000000"/>
      <w:sz w:val="24"/>
      <w:szCs w:val="24"/>
    </w:rPr>
  </w:style>
  <w:style w:type="paragraph" w:customStyle="1" w:styleId="55">
    <w:name w:val="_Style 42"/>
    <w:basedOn w:val="1"/>
    <w:next w:val="31"/>
    <w:qFormat/>
    <w:uiPriority w:val="34"/>
    <w:pPr>
      <w:spacing w:line="400" w:lineRule="exact"/>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0</TotalTime>
  <ScaleCrop>false</ScaleCrop>
  <LinksUpToDate>false</LinksUpToDate>
  <CharactersWithSpaces>8241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user</cp:lastModifiedBy>
  <cp:lastPrinted>2023-09-05T01:25:00Z</cp:lastPrinted>
  <dcterms:modified xsi:type="dcterms:W3CDTF">2023-09-13T08:49:42Z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