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96597"/>
      <w:bookmarkStart w:id="4" w:name="_Toc15377193"/>
      <w:bookmarkStart w:id="5"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77194"/>
      <w:bookmarkStart w:id="9" w:name="_Toc15396598"/>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攀枝花市决策咨询服务中心单位决算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w:t>
      </w:r>
      <w:r>
        <w:rPr>
          <w:rFonts w:hint="default"/>
          <w:lang w:val="en"/>
        </w:rPr>
        <w:t>14</w:t>
      </w:r>
      <w:r>
        <w:rPr>
          <w:rFonts w:hint="eastAsia"/>
        </w:rPr>
        <w:t>日</w:t>
      </w:r>
    </w:p>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pPr>
        <w:pStyle w:val="12"/>
        <w:adjustRightInd w:val="0"/>
        <w:snapToGrid w:val="0"/>
        <w:spacing w:line="440" w:lineRule="exact"/>
        <w:jc w:val="left"/>
        <w:rPr>
          <w:rFonts w:hint="eastAsia"/>
          <w:sz w:val="24"/>
          <w:lang w:val="en-US" w:eastAsia="zh-CN"/>
        </w:rPr>
      </w:pPr>
      <w:r>
        <w:rPr>
          <w:rFonts w:hint="eastAsia"/>
          <w:sz w:val="24"/>
        </w:rPr>
        <w:t>一、职能简介</w:t>
      </w:r>
      <w:r>
        <w:rPr>
          <w:rFonts w:hint="eastAsia"/>
          <w:sz w:val="24"/>
          <w:lang w:val="en-US" w:eastAsia="zh-CN"/>
        </w:rPr>
        <w:t>......................................................................................................4</w:t>
      </w:r>
      <w:r>
        <w:rPr>
          <w:rFonts w:hint="eastAsia" w:asciiTheme="minorEastAsia" w:hAnsiTheme="minorEastAsia" w:eastAsiaTheme="minorEastAsia" w:cstheme="minorEastAsia"/>
          <w:sz w:val="24"/>
        </w:rPr>
        <w:t>二、2021年重点工作完成情况</w:t>
      </w:r>
      <w:r>
        <w:rPr>
          <w:rFonts w:hint="eastAsia"/>
          <w:sz w:val="24"/>
          <w:lang w:val="en-US" w:eastAsia="zh-CN"/>
        </w:rPr>
        <w:t>.........................................................................5</w:t>
      </w:r>
    </w:p>
    <w:p>
      <w:pPr>
        <w:rPr>
          <w:rFonts w:hint="default" w:eastAsia="仿宋"/>
          <w:sz w:val="24"/>
          <w:szCs w:val="24"/>
          <w:lang w:val="en-US" w:eastAsia="zh-CN"/>
        </w:rPr>
      </w:pPr>
      <w:r>
        <w:rPr>
          <w:rFonts w:hint="eastAsia"/>
          <w:sz w:val="24"/>
        </w:rPr>
        <w:t>第二部分 2021年度单位决算情况说明</w:t>
      </w:r>
      <w:r>
        <w:rPr>
          <w:rFonts w:hint="eastAsia"/>
          <w:sz w:val="24"/>
          <w:lang w:val="en-US" w:eastAsia="zh-CN"/>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....................................................................................10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.....................................................10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.............................................11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.....................................13</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七、“三公”经费财政拨款支出决算情况说明</w:t>
      </w:r>
      <w:r>
        <w:rPr>
          <w:rFonts w:hint="eastAsia"/>
          <w:sz w:val="24"/>
          <w:lang w:val="en-US" w:eastAsia="zh-CN"/>
        </w:rPr>
        <w:t>...............................................14</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.........................................................15</w:t>
      </w:r>
    </w:p>
    <w:p>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.....................................................16</w:t>
      </w:r>
    </w:p>
    <w:p>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.........................................................................16</w:t>
      </w:r>
    </w:p>
    <w:p>
      <w:pPr>
        <w:pStyle w:val="11"/>
        <w:adjustRightInd w:val="0"/>
        <w:snapToGrid w:val="0"/>
        <w:spacing w:before="0" w:line="440" w:lineRule="exact"/>
        <w:jc w:val="left"/>
        <w:rPr>
          <w:rFonts w:hint="default"/>
          <w:sz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.................................................18</w:t>
      </w:r>
    </w:p>
    <w:p>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sz w:val="24"/>
          <w:lang w:val="en-US" w:eastAsia="zh-CN"/>
        </w:rPr>
        <w:t>.....................................................20</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一、收入支出决算总表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二、收入决算表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三、支出决算表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四、财政拨款收入支出决算总表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五、财政拨款支出决算明细表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六、一般公共预算财政拨款支出决算表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七、一般公共预算财政拨款支出决算明细表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八、一般公共预算财政拨款基本支出决算表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九、一般公共预算财政拨款项目支出决算表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十、一般公共预算财政拨款“三公”经费支出决算表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十一、政府性基金预算财政拨款收入支出决算表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十二、政府性基金预算财政拨款“三公”经费支出决算表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十三、国有资本经营预算财政拨款收入支出决算表</w:t>
      </w:r>
      <w:r>
        <w:rPr>
          <w:rFonts w:hint="eastAsia"/>
          <w:sz w:val="24"/>
          <w:lang w:val="en-US" w:eastAsia="zh-CN"/>
        </w:rPr>
        <w:t>.....................................22</w:t>
      </w:r>
    </w:p>
    <w:p>
      <w:pPr>
        <w:pStyle w:val="12"/>
        <w:adjustRightInd w:val="0"/>
        <w:snapToGrid w:val="0"/>
        <w:spacing w:line="440" w:lineRule="exact"/>
        <w:jc w:val="left"/>
        <w:rPr>
          <w:sz w:val="24"/>
        </w:rPr>
      </w:pPr>
      <w:r>
        <w:rPr>
          <w:rFonts w:hint="eastAsia"/>
          <w:sz w:val="24"/>
        </w:rPr>
        <w:t>十四、国有资本经营预算财政拨款支出决算表</w:t>
      </w:r>
      <w:r>
        <w:rPr>
          <w:rFonts w:hint="eastAsia"/>
          <w:sz w:val="24"/>
          <w:lang w:val="en-US" w:eastAsia="zh-CN"/>
        </w:rPr>
        <w:t>............................................ 22</w:t>
      </w:r>
      <w:bookmarkStart w:id="67" w:name="_GoBack"/>
      <w:bookmarkEnd w:id="67"/>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一、职能简介</w:t>
      </w:r>
    </w:p>
    <w:p>
      <w:pPr>
        <w:pStyle w:val="2"/>
        <w:adjustRightInd w:val="0"/>
        <w:spacing w:beforeLines="0" w:line="600" w:lineRule="exact"/>
        <w:ind w:firstLine="640" w:firstLineChars="200"/>
        <w:rPr>
          <w:rFonts w:ascii="Times New Roman" w:eastAsia="仿宋"/>
          <w:kern w:val="2"/>
          <w:sz w:val="32"/>
          <w:szCs w:val="32"/>
        </w:rPr>
      </w:pPr>
      <w:r>
        <w:rPr>
          <w:rFonts w:hint="eastAsia" w:ascii="Times New Roman" w:eastAsia="仿宋"/>
          <w:kern w:val="2"/>
          <w:sz w:val="32"/>
          <w:szCs w:val="32"/>
        </w:rPr>
        <w:t>（1）根据市委、市政府安排，组织开展全市发展战略、中长期规划、方针政策、重大问题、重点项目的决策咨询论证活动。</w:t>
      </w:r>
    </w:p>
    <w:p>
      <w:pPr>
        <w:pStyle w:val="2"/>
        <w:adjustRightInd w:val="0"/>
        <w:spacing w:beforeLines="0" w:line="600" w:lineRule="exact"/>
        <w:ind w:firstLine="640" w:firstLineChars="200"/>
        <w:rPr>
          <w:rFonts w:ascii="Times New Roman" w:eastAsia="仿宋"/>
          <w:kern w:val="2"/>
          <w:sz w:val="32"/>
          <w:szCs w:val="32"/>
        </w:rPr>
      </w:pPr>
      <w:r>
        <w:rPr>
          <w:rFonts w:hint="eastAsia" w:ascii="Times New Roman" w:eastAsia="仿宋"/>
          <w:kern w:val="2"/>
          <w:sz w:val="32"/>
          <w:szCs w:val="32"/>
        </w:rPr>
        <w:t>（2）负责全市经济社会发展重大问题决策咨询研究课题的安排、管理和组织实施。</w:t>
      </w:r>
    </w:p>
    <w:p>
      <w:pPr>
        <w:pStyle w:val="2"/>
        <w:adjustRightInd w:val="0"/>
        <w:spacing w:beforeLines="0" w:line="600" w:lineRule="exact"/>
        <w:ind w:firstLine="640" w:firstLineChars="200"/>
        <w:rPr>
          <w:rFonts w:ascii="Times New Roman" w:eastAsia="仿宋"/>
          <w:kern w:val="2"/>
          <w:sz w:val="32"/>
          <w:szCs w:val="32"/>
        </w:rPr>
      </w:pPr>
      <w:r>
        <w:rPr>
          <w:rFonts w:hint="eastAsia" w:ascii="Times New Roman" w:eastAsia="仿宋"/>
          <w:kern w:val="2"/>
          <w:sz w:val="32"/>
          <w:szCs w:val="32"/>
        </w:rPr>
        <w:t>（3）负责决策咨询委员会各专业组决策咨询调研、考察及与相关部门的组织协调工作。</w:t>
      </w:r>
    </w:p>
    <w:p>
      <w:pPr>
        <w:pStyle w:val="2"/>
        <w:adjustRightInd w:val="0"/>
        <w:spacing w:beforeLines="0" w:line="600" w:lineRule="exact"/>
        <w:ind w:firstLine="640" w:firstLineChars="200"/>
        <w:rPr>
          <w:rFonts w:ascii="Times New Roman" w:eastAsia="仿宋"/>
          <w:kern w:val="2"/>
          <w:sz w:val="32"/>
          <w:szCs w:val="32"/>
        </w:rPr>
      </w:pPr>
      <w:r>
        <w:rPr>
          <w:rFonts w:hint="eastAsia" w:ascii="Times New Roman" w:eastAsia="仿宋"/>
          <w:kern w:val="2"/>
          <w:sz w:val="32"/>
          <w:szCs w:val="32"/>
        </w:rPr>
        <w:t>（4）及时整理决策咨询委员会专家和各专业组提出的咨询意见、建议和课题研究成果，报送市委、市政府及有关部门，并进行成果应用的跟踪。</w:t>
      </w:r>
    </w:p>
    <w:p>
      <w:pPr>
        <w:pStyle w:val="2"/>
        <w:adjustRightInd w:val="0"/>
        <w:spacing w:beforeLines="0" w:line="600" w:lineRule="exact"/>
        <w:ind w:firstLine="640" w:firstLineChars="200"/>
        <w:rPr>
          <w:rFonts w:ascii="Times New Roman" w:eastAsia="仿宋"/>
          <w:kern w:val="2"/>
          <w:sz w:val="32"/>
          <w:szCs w:val="32"/>
        </w:rPr>
      </w:pPr>
      <w:r>
        <w:rPr>
          <w:rFonts w:hint="eastAsia" w:ascii="Times New Roman" w:eastAsia="仿宋"/>
          <w:kern w:val="2"/>
          <w:sz w:val="32"/>
          <w:szCs w:val="32"/>
        </w:rPr>
        <w:t>（5）组织专家召开决策咨询研讨会议和决策咨询交流活动。</w:t>
      </w:r>
    </w:p>
    <w:p>
      <w:pPr>
        <w:pStyle w:val="2"/>
        <w:adjustRightInd w:val="0"/>
        <w:spacing w:beforeLines="0" w:line="600" w:lineRule="exact"/>
        <w:ind w:firstLine="640" w:firstLineChars="200"/>
        <w:rPr>
          <w:rFonts w:ascii="Times New Roman" w:eastAsia="仿宋"/>
          <w:kern w:val="2"/>
          <w:sz w:val="32"/>
          <w:szCs w:val="32"/>
        </w:rPr>
      </w:pPr>
      <w:r>
        <w:rPr>
          <w:rFonts w:hint="eastAsia" w:ascii="Times New Roman" w:eastAsia="仿宋"/>
          <w:kern w:val="2"/>
          <w:sz w:val="32"/>
          <w:szCs w:val="32"/>
        </w:rPr>
        <w:t>（6）为专家提供相关信息和资料，组织专家列席市委、市政府重要会议，为专家开展咨询工作提供后勤服务。</w:t>
      </w:r>
    </w:p>
    <w:p>
      <w:pPr>
        <w:pStyle w:val="2"/>
        <w:adjustRightInd w:val="0"/>
        <w:spacing w:beforeLines="0" w:line="600" w:lineRule="exact"/>
        <w:ind w:firstLine="640" w:firstLineChars="200"/>
        <w:rPr>
          <w:rFonts w:ascii="Times New Roman" w:eastAsia="仿宋"/>
          <w:kern w:val="2"/>
          <w:sz w:val="32"/>
          <w:szCs w:val="32"/>
        </w:rPr>
      </w:pPr>
      <w:r>
        <w:rPr>
          <w:rFonts w:hint="eastAsia" w:ascii="Times New Roman" w:eastAsia="仿宋"/>
          <w:kern w:val="2"/>
          <w:sz w:val="32"/>
          <w:szCs w:val="32"/>
        </w:rPr>
        <w:t>（7）负责起草决策咨询委员会的各种工作制度和文件草案；定期向主任会议汇报工作。</w:t>
      </w:r>
    </w:p>
    <w:p>
      <w:pPr>
        <w:pStyle w:val="2"/>
        <w:adjustRightInd w:val="0"/>
        <w:snapToGrid w:val="0"/>
        <w:spacing w:beforeLines="0" w:line="600" w:lineRule="exact"/>
        <w:ind w:firstLine="640" w:firstLineChars="200"/>
        <w:outlineLvl w:val="2"/>
        <w:rPr>
          <w:rFonts w:ascii="Times New Roman" w:eastAsia="仿宋"/>
          <w:kern w:val="2"/>
          <w:sz w:val="32"/>
          <w:szCs w:val="32"/>
        </w:rPr>
      </w:pPr>
      <w:r>
        <w:rPr>
          <w:rFonts w:hint="eastAsia" w:ascii="Times New Roman" w:eastAsia="仿宋"/>
          <w:kern w:val="2"/>
          <w:sz w:val="32"/>
          <w:szCs w:val="32"/>
        </w:rPr>
        <w:t>（8）负责市委、市政府临时交办的工作任务和主任会议确定的其它工作。</w:t>
      </w:r>
    </w:p>
    <w:p>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pacing w:line="600" w:lineRule="exact"/>
        <w:ind w:firstLine="642" w:firstLineChars="200"/>
        <w:jc w:val="left"/>
        <w:rPr>
          <w:rFonts w:eastAsia="仿宋"/>
          <w:sz w:val="32"/>
          <w:szCs w:val="32"/>
        </w:rPr>
      </w:pPr>
      <w:bookmarkStart w:id="16" w:name="_Toc15396602"/>
      <w:bookmarkStart w:id="17" w:name="_Toc15377204"/>
      <w:r>
        <w:rPr>
          <w:rFonts w:hint="eastAsia" w:eastAsia="仿宋"/>
          <w:b/>
          <w:bCs/>
          <w:sz w:val="32"/>
          <w:szCs w:val="32"/>
        </w:rPr>
        <w:t>（一）聚焦重点任务，高质量开展决策咨询工作</w:t>
      </w:r>
    </w:p>
    <w:p>
      <w:pPr>
        <w:spacing w:line="600" w:lineRule="exact"/>
        <w:ind w:firstLine="640" w:firstLineChars="200"/>
        <w:jc w:val="left"/>
        <w:rPr>
          <w:rFonts w:eastAsia="仿宋"/>
          <w:sz w:val="32"/>
          <w:szCs w:val="32"/>
        </w:rPr>
      </w:pPr>
      <w:r>
        <w:rPr>
          <w:rFonts w:hint="eastAsia" w:eastAsia="仿宋"/>
          <w:sz w:val="32"/>
          <w:szCs w:val="32"/>
        </w:rPr>
        <w:t>一是围绕全市战略发展目标及全市发展重点、热点、难点问题开展决策咨询课题研究。通过市领导和专业组点题，结合两会和《政府工作报告》中的重点、热点、难点问题，把《攀枝花今后五年加快发展的战略选择及主要对策》《以人为中心推进川西南滇西北区域中心城市建设研究》《立足三个圈层的康养产业发展路径》等15个紧扣攀枝花发展和改革主线的课题纳入年度重点。并组织各相关专业组深入实地考察调研，认真开展决咨课题研究，通过调查研究，发挥专家集体智力优势，为我市经济、社会发展提出具体可行的对策建议，努力加快形成课题成果供市委市政府决策参考。</w:t>
      </w:r>
    </w:p>
    <w:p>
      <w:pPr>
        <w:spacing w:line="600" w:lineRule="exact"/>
        <w:ind w:firstLine="640" w:firstLineChars="200"/>
        <w:jc w:val="left"/>
        <w:rPr>
          <w:rFonts w:eastAsia="仿宋"/>
          <w:sz w:val="32"/>
          <w:szCs w:val="32"/>
        </w:rPr>
      </w:pPr>
      <w:r>
        <w:rPr>
          <w:rFonts w:hint="eastAsia" w:eastAsia="仿宋"/>
          <w:sz w:val="32"/>
          <w:szCs w:val="32"/>
        </w:rPr>
        <w:t>二是围绕市委市政府中心工作及全市重大规划开展咨询论证。市委领导亲自带领相关委员与市委政策研究室就正红书记对《攀枝花市与周边市州经济社会发展情况对比》批示召开“三个圈层”相关问题专题座谈会，为推动川西南滇西北“中圈”深度融合发展研究提出了重要建议；组织委员就拟提交攀枝花市第十届人民代表大会第八次会议审议的《政府工作报告》进行咨询论证；组织召开《攀枝花国民经济和社会发展“十四五”规划和远景目标规划纲要》评审会，并对《“十四五”工业发展规划》《“十四五”科技创新发展规划》《“十四五”卫生健康发展规划》《“十四五”金融业发展规划》《米易县“十四五”城乡建设规划》等部门、县区专项规划提供咨询论证和编制指导意见，为我市“十四五”规划编制起到了重要建议作用。</w:t>
      </w:r>
    </w:p>
    <w:p>
      <w:pPr>
        <w:spacing w:line="600" w:lineRule="exact"/>
        <w:ind w:firstLine="640" w:firstLineChars="200"/>
        <w:jc w:val="left"/>
        <w:rPr>
          <w:rFonts w:eastAsia="仿宋"/>
          <w:sz w:val="32"/>
          <w:szCs w:val="32"/>
        </w:rPr>
      </w:pPr>
      <w:r>
        <w:rPr>
          <w:rFonts w:hint="eastAsia" w:eastAsia="仿宋"/>
          <w:sz w:val="32"/>
          <w:szCs w:val="32"/>
        </w:rPr>
        <w:t>三是围绕全市发展战略组织小组研讨，全面开展“大学习、大讨论、大调研”活动。我委以专业组为单位不定期召开了小组研讨会，传达张正红书记在市级领导干部和县级主要负责同志读书班暨市委理论学习中心组专题学习（扩大）会议上的讲话精神以及市决咨委主任会议精神，切实把全体委员的思想统一到市委、市政府的战略发展目标上；为使决策咨询课题研究契合市委市政府决策意图，各课题组多次与点题市领导沟通，听取意见；各专业组组织委员多次深入一线，赴边远地区开展实地调查研究，一年多以来开展小组活动共计25次，其中研讨会20次。</w:t>
      </w:r>
    </w:p>
    <w:p>
      <w:pPr>
        <w:spacing w:line="600" w:lineRule="exact"/>
        <w:ind w:firstLine="640" w:firstLineChars="200"/>
        <w:jc w:val="left"/>
        <w:rPr>
          <w:rFonts w:eastAsia="仿宋"/>
          <w:sz w:val="32"/>
          <w:szCs w:val="32"/>
        </w:rPr>
      </w:pPr>
      <w:r>
        <w:rPr>
          <w:rFonts w:hint="eastAsia" w:eastAsia="仿宋"/>
          <w:sz w:val="32"/>
          <w:szCs w:val="32"/>
        </w:rPr>
        <w:t>四是围绕我市产业和城市发展瓶颈发挥特邀委员第三视角作用。攀枝花决咨委各专业组以重点决策咨询课题为纽带，通过网络形式邀请市外特邀委员对重点决咨课题的撰写提出宝贵意见，对推动高质量完成决策咨询工作起到了积极作用。由宝鸡钛产业研究院盛利院长承担的《攀枝花钛金属发展指引研编》决策咨询成果得到了时任刘建明副市长的高度肯定，并将课题成果编印报送市委、人大、政府、市政协及各部门和县区参阅，该《指引》的发布，对我市进一步加强钒钛磁铁矿资源综合利用，延伸钛金属产业链具有很好的指导作用；城建组主持在特邀委员上海宜吾规划建筑事务所总建筑师吕维锋的支持下，对我市经济社会发展情况展开深入研究，完成课题《市域社会治理现代化背景下城市小区治理的对策研究》；我委邀请氢阳能源研究院首席科学家肖钢、攀钢研究院矿冶所所长潘成就氢能源应用概况及在攀枝花产业化发展前景进行咨询交流，为推进氢能源重大项目落地，实现产业化打下基础。</w:t>
      </w:r>
    </w:p>
    <w:p>
      <w:pPr>
        <w:spacing w:line="600" w:lineRule="exact"/>
        <w:ind w:firstLine="642" w:firstLineChars="200"/>
        <w:jc w:val="left"/>
        <w:rPr>
          <w:rFonts w:eastAsia="仿宋"/>
          <w:b/>
          <w:bCs/>
          <w:sz w:val="32"/>
          <w:szCs w:val="32"/>
        </w:rPr>
      </w:pPr>
      <w:r>
        <w:rPr>
          <w:rFonts w:hint="eastAsia" w:eastAsia="仿宋"/>
          <w:b/>
          <w:bCs/>
          <w:sz w:val="32"/>
          <w:szCs w:val="32"/>
        </w:rPr>
        <w:t>（二）积极发挥决策咨询作用，推动高效率成果转化</w:t>
      </w:r>
    </w:p>
    <w:p>
      <w:pPr>
        <w:spacing w:line="600" w:lineRule="exact"/>
        <w:ind w:firstLine="640" w:firstLineChars="200"/>
        <w:jc w:val="left"/>
        <w:rPr>
          <w:rFonts w:eastAsia="仿宋"/>
          <w:sz w:val="32"/>
          <w:szCs w:val="32"/>
        </w:rPr>
      </w:pPr>
      <w:r>
        <w:rPr>
          <w:rFonts w:hint="eastAsia" w:eastAsia="仿宋"/>
          <w:sz w:val="32"/>
          <w:szCs w:val="32"/>
        </w:rPr>
        <w:t>一是决策咨询成效显著，成果落实转化率高。我委多项决策咨询成果得到市委市政府肯定，《促进农业专业合作社规范发展对策研究》等一批成果获市领导批示，其中《赴中科院赣江研究院考察报告》获市委市政府主要领导批示，成果印送市发展与改革委、市经信局、市委、市政府政策研究室等多部门参阅、转化落实。此外，向市社科联推送10项决咨优秀成果参与攀枝花市第十四次社会科学优秀成果评奖，《做大做强攀枝花市属国有企业对策研究》等多项成果获奖。</w:t>
      </w:r>
    </w:p>
    <w:p>
      <w:pPr>
        <w:spacing w:line="600" w:lineRule="exact"/>
        <w:ind w:firstLine="640" w:firstLineChars="200"/>
        <w:jc w:val="left"/>
        <w:rPr>
          <w:rFonts w:eastAsia="仿宋"/>
          <w:sz w:val="32"/>
          <w:szCs w:val="32"/>
        </w:rPr>
      </w:pPr>
      <w:r>
        <w:rPr>
          <w:rFonts w:hint="eastAsia" w:eastAsia="仿宋"/>
          <w:sz w:val="32"/>
          <w:szCs w:val="32"/>
        </w:rPr>
        <w:t>二是积极推广决咨成果，社会认可度高。通过市决策咨询委网站向社会及时发布《民族村寨旅游行为意向研究》《攀枝花建设“阳光康养旅游城”对策研究》等决策咨询动态、委员建议、课题研究成果、相关政策法规，并出版了《康养产业发展理论、路径与政策研究》等一批专著，得到市各级领导、相关部门的肯定并借鉴参阅。全年编印决策咨询活动情况13期，向市领导和各专业组发送省决策咨询期刊360余册，便于市领导和相关部门及时了解、参阅最新决策咨询信息。</w:t>
      </w:r>
    </w:p>
    <w:p>
      <w:pPr>
        <w:spacing w:line="600" w:lineRule="exact"/>
        <w:ind w:firstLine="642" w:firstLineChars="200"/>
        <w:jc w:val="left"/>
        <w:rPr>
          <w:rFonts w:eastAsia="仿宋"/>
          <w:b/>
          <w:bCs/>
          <w:sz w:val="32"/>
          <w:szCs w:val="32"/>
        </w:rPr>
      </w:pPr>
      <w:r>
        <w:rPr>
          <w:rFonts w:hint="eastAsia" w:eastAsia="仿宋"/>
          <w:b/>
          <w:bCs/>
          <w:sz w:val="32"/>
          <w:szCs w:val="32"/>
        </w:rPr>
        <w:t>（三）不断加强自身建设，提升综合服务能力</w:t>
      </w:r>
    </w:p>
    <w:p>
      <w:pPr>
        <w:spacing w:line="600" w:lineRule="exact"/>
        <w:ind w:firstLine="640" w:firstLineChars="200"/>
        <w:jc w:val="left"/>
        <w:rPr>
          <w:rFonts w:eastAsia="仿宋"/>
          <w:sz w:val="32"/>
          <w:szCs w:val="32"/>
        </w:rPr>
      </w:pPr>
      <w:r>
        <w:rPr>
          <w:rFonts w:hint="eastAsia" w:eastAsia="仿宋"/>
          <w:sz w:val="32"/>
          <w:szCs w:val="32"/>
        </w:rPr>
        <w:t>一是积极开展交流学习。为提升我市决策咨询工作水平，</w:t>
      </w:r>
      <w:r>
        <w:rPr>
          <w:rFonts w:hint="eastAsia" w:eastAsia="仿宋"/>
          <w:sz w:val="32"/>
          <w:szCs w:val="32"/>
          <w:lang w:val="en-US" w:eastAsia="zh-CN"/>
        </w:rPr>
        <w:t>2021</w:t>
      </w:r>
      <w:r>
        <w:rPr>
          <w:rFonts w:hint="eastAsia" w:eastAsia="仿宋"/>
          <w:sz w:val="32"/>
          <w:szCs w:val="32"/>
        </w:rPr>
        <w:t>年上半年，我委决策咨询服务中心拜访了省决策咨询委员会办公室，学习了省决咨委决策咨询的先进工作经验，并就我委《攀枝花市决策咨询经费使用细则》《攀枝花市重大决策咨询研究课题管理办法》（修订稿）征求了省决咨委办公室张洁主任及相关处室的宝贵意见，在他们的指导下对《细则》《办法》进行完善，在</w:t>
      </w:r>
      <w:r>
        <w:rPr>
          <w:rFonts w:hint="eastAsia" w:eastAsia="仿宋"/>
          <w:sz w:val="32"/>
          <w:szCs w:val="32"/>
          <w:lang w:eastAsia="zh-CN"/>
        </w:rPr>
        <w:t>当</w:t>
      </w:r>
      <w:r>
        <w:rPr>
          <w:rFonts w:hint="eastAsia" w:eastAsia="仿宋"/>
          <w:sz w:val="32"/>
          <w:szCs w:val="32"/>
        </w:rPr>
        <w:t>年主任会议上审议通过。</w:t>
      </w:r>
    </w:p>
    <w:p>
      <w:pPr>
        <w:spacing w:line="600" w:lineRule="exact"/>
        <w:ind w:firstLine="640" w:firstLineChars="200"/>
        <w:jc w:val="left"/>
        <w:rPr>
          <w:rFonts w:hint="eastAsia" w:eastAsia="仿宋"/>
          <w:sz w:val="32"/>
          <w:szCs w:val="32"/>
        </w:rPr>
      </w:pPr>
      <w:r>
        <w:rPr>
          <w:rFonts w:hint="eastAsia" w:eastAsia="仿宋"/>
          <w:sz w:val="32"/>
          <w:szCs w:val="32"/>
        </w:rPr>
        <w:t>二是认真学习中央、省、市相关重要文件精神和决策咨询管理办法。为进一步加强委员服务工作，我委充分运用网络开展线上与线下的方式学习了《习近平总书记在庆祝中国共产党成立100周年大会上的讲话》《第三届省委省政府决策咨询委员会成立大会上彭清华书记的重要讲话》《陈光志主任在2020年四川省决策咨询座谈会的上的讲话》等重要文章，深入领会决咨委在新型智库建设中地位及作用，明确委员的权利与义务、课题及经费的管理规定，增强了决策咨询工作者的大局意识、核心意识、服务意识。</w:t>
      </w:r>
    </w:p>
    <w:p>
      <w:pPr>
        <w:numPr>
          <w:numId w:val="0"/>
        </w:numPr>
        <w:spacing w:line="600" w:lineRule="exact"/>
        <w:jc w:val="left"/>
        <w:rPr>
          <w:rFonts w:ascii="黑体" w:hAnsi="黑体" w:eastAsia="黑体"/>
          <w:bCs/>
        </w:rPr>
      </w:pPr>
      <w:r>
        <w:rPr>
          <w:rFonts w:hint="eastAsia" w:ascii="黑体" w:hAnsi="黑体" w:eastAsia="黑体"/>
          <w:bCs/>
        </w:rPr>
        <w:br w:type="page"/>
      </w:r>
    </w:p>
    <w:p>
      <w:pPr>
        <w:pStyle w:val="3"/>
        <w:ind w:right="440"/>
        <w:jc w:val="center"/>
        <w:rPr>
          <w:rStyle w:val="25"/>
          <w:rFonts w:ascii="黑体" w:hAnsi="黑体" w:eastAsia="黑体"/>
          <w:b w:val="0"/>
          <w:bCs/>
        </w:rPr>
      </w:pPr>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
      <w:pPr>
        <w:pStyle w:val="24"/>
        <w:spacing w:line="600" w:lineRule="exact"/>
        <w:ind w:left="640" w:firstLine="0"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一、收</w:t>
      </w:r>
      <w:r>
        <w:rPr>
          <w:rStyle w:val="26"/>
          <w:rFonts w:hint="eastAsia" w:ascii="黑体" w:hAnsi="黑体" w:eastAsia="黑体"/>
          <w:b w:val="0"/>
        </w:rPr>
        <w:t>入支出决算总体情况说明</w:t>
      </w:r>
      <w:bookmarkEnd w:id="18"/>
      <w:bookmarkEnd w:id="19"/>
    </w:p>
    <w:p>
      <w:pPr>
        <w:spacing w:line="600" w:lineRule="exact"/>
        <w:ind w:firstLine="640"/>
        <w:rPr>
          <w:rFonts w:eastAsia="仿宋"/>
          <w:color w:val="000000"/>
          <w:sz w:val="32"/>
          <w:szCs w:val="32"/>
        </w:rPr>
      </w:pPr>
      <w:r>
        <w:rPr>
          <w:rFonts w:hint="eastAsia" w:ascii="仿宋" w:hAnsi="仿宋" w:eastAsia="仿宋"/>
          <w:sz w:val="32"/>
          <w:szCs w:val="32"/>
        </w:rPr>
        <w:t>2021年度收、支总计159.23万元。与2020年相比，收入总计各增加27.75万元，增长21.11</w:t>
      </w:r>
      <w:r>
        <w:rPr>
          <w:rFonts w:ascii="仿宋" w:hAnsi="仿宋" w:eastAsia="仿宋"/>
          <w:sz w:val="32"/>
          <w:szCs w:val="32"/>
        </w:rPr>
        <w:t>%</w:t>
      </w:r>
      <w:r>
        <w:rPr>
          <w:rFonts w:hint="eastAsia" w:ascii="仿宋" w:hAnsi="仿宋" w:eastAsia="仿宋"/>
          <w:sz w:val="32"/>
          <w:szCs w:val="32"/>
        </w:rPr>
        <w:t>；支出总计各增加22.8万元，增长16.71</w:t>
      </w:r>
      <w:r>
        <w:rPr>
          <w:rFonts w:ascii="仿宋" w:hAnsi="仿宋" w:eastAsia="仿宋"/>
          <w:sz w:val="32"/>
          <w:szCs w:val="32"/>
        </w:rPr>
        <w:t>%</w:t>
      </w:r>
      <w:r>
        <w:rPr>
          <w:rFonts w:hint="eastAsia" w:ascii="仿宋" w:hAnsi="仿宋" w:eastAsia="仿宋"/>
          <w:sz w:val="32"/>
          <w:szCs w:val="32"/>
        </w:rPr>
        <w:t>。主要变动原因是</w:t>
      </w:r>
      <w:r>
        <w:rPr>
          <w:rFonts w:eastAsia="仿宋"/>
          <w:color w:val="000000"/>
          <w:sz w:val="32"/>
          <w:szCs w:val="32"/>
        </w:rPr>
        <w:t>项目</w:t>
      </w:r>
      <w:r>
        <w:rPr>
          <w:rFonts w:hint="eastAsia" w:eastAsia="仿宋"/>
          <w:color w:val="000000"/>
          <w:sz w:val="32"/>
          <w:szCs w:val="32"/>
        </w:rPr>
        <w:t>增加</w:t>
      </w:r>
      <w:r>
        <w:rPr>
          <w:rFonts w:eastAsia="仿宋"/>
          <w:color w:val="000000"/>
          <w:sz w:val="32"/>
          <w:szCs w:val="32"/>
        </w:rPr>
        <w:t>。</w:t>
      </w:r>
    </w:p>
    <w:p>
      <w:pPr>
        <w:pStyle w:val="2"/>
        <w:spacing w:before="93"/>
        <w:rPr>
          <w:rFonts w:ascii="仿宋" w:hAnsi="仿宋" w:eastAsia="仿宋"/>
          <w:sz w:val="32"/>
          <w:szCs w:val="32"/>
        </w:rPr>
      </w:pPr>
      <w:r>
        <w:rPr>
          <w:rFonts w:hint="eastAsia" w:ascii="仿宋" w:hAnsi="仿宋" w:eastAsia="仿宋"/>
          <w:sz w:val="32"/>
          <w:szCs w:val="32"/>
        </w:rPr>
        <w:drawing>
          <wp:anchor distT="0" distB="0" distL="114300" distR="114300" simplePos="0" relativeHeight="251658240" behindDoc="0" locked="0" layoutInCell="1" allowOverlap="1">
            <wp:simplePos x="0" y="0"/>
            <wp:positionH relativeFrom="column">
              <wp:posOffset>617220</wp:posOffset>
            </wp:positionH>
            <wp:positionV relativeFrom="paragraph">
              <wp:posOffset>344170</wp:posOffset>
            </wp:positionV>
            <wp:extent cx="4231640" cy="2409825"/>
            <wp:effectExtent l="0" t="0" r="16510" b="9525"/>
            <wp:wrapSquare wrapText="bothSides"/>
            <wp:docPr id="1" name="图片 1" descr="图片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9"/>
                    <pic:cNvPicPr>
                      <a:picLocks noChangeAspect="true"/>
                    </pic:cNvPicPr>
                  </pic:nvPicPr>
                  <pic:blipFill>
                    <a:blip r:embed="rId6"/>
                    <a:stretch>
                      <a:fillRect/>
                    </a:stretch>
                  </pic:blipFill>
                  <pic:spPr>
                    <a:xfrm>
                      <a:off x="0" y="0"/>
                      <a:ext cx="4231640" cy="2409825"/>
                    </a:xfrm>
                    <a:prstGeom prst="rect">
                      <a:avLst/>
                    </a:prstGeom>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4"/>
        <w:spacing w:line="600" w:lineRule="exact"/>
        <w:ind w:left="640" w:firstLine="0" w:firstLineChars="0"/>
        <w:outlineLvl w:val="1"/>
        <w:rPr>
          <w:rStyle w:val="26"/>
          <w:rFonts w:ascii="黑体" w:hAnsi="黑体" w:eastAsia="黑体"/>
          <w:b w:val="0"/>
        </w:rPr>
      </w:pPr>
      <w:bookmarkStart w:id="20" w:name="_Toc15377206"/>
      <w:bookmarkStart w:id="21" w:name="_Toc15396604"/>
      <w:r>
        <w:rPr>
          <w:rFonts w:hint="eastAsia" w:ascii="黑体" w:hAnsi="黑体" w:eastAsia="黑体"/>
          <w:sz w:val="32"/>
          <w:szCs w:val="32"/>
        </w:rPr>
        <w:t>二、收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21年本年收入合计159.23万元，其中：一般公共预算财政拨款收入159.22万元，占99.99</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；其他收入0.01万元，占0.01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728980</wp:posOffset>
            </wp:positionH>
            <wp:positionV relativeFrom="paragraph">
              <wp:posOffset>259715</wp:posOffset>
            </wp:positionV>
            <wp:extent cx="3579495" cy="2151380"/>
            <wp:effectExtent l="0" t="0" r="1905" b="1270"/>
            <wp:wrapSquare wrapText="bothSides"/>
            <wp:docPr id="2" name="图片 2" descr="图片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10"/>
                    <pic:cNvPicPr>
                      <a:picLocks noChangeAspect="true"/>
                    </pic:cNvPicPr>
                  </pic:nvPicPr>
                  <pic:blipFill>
                    <a:blip r:embed="rId7"/>
                    <a:stretch>
                      <a:fillRect/>
                    </a:stretch>
                  </pic:blipFill>
                  <pic:spPr>
                    <a:xfrm>
                      <a:off x="0" y="0"/>
                      <a:ext cx="3579495" cy="2151380"/>
                    </a:xfrm>
                    <a:prstGeom prst="rect">
                      <a:avLst/>
                    </a:prstGeom>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4"/>
        <w:spacing w:line="600" w:lineRule="exact"/>
        <w:ind w:left="640" w:firstLine="0"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三、支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21年本年支出合计159.23万元，其中：基本支出57.45万元，占36.08</w:t>
      </w:r>
      <w:r>
        <w:rPr>
          <w:rFonts w:ascii="仿宋" w:hAnsi="仿宋" w:eastAsia="仿宋"/>
          <w:sz w:val="32"/>
          <w:szCs w:val="32"/>
        </w:rPr>
        <w:t>%</w:t>
      </w:r>
      <w:r>
        <w:rPr>
          <w:rFonts w:hint="eastAsia" w:ascii="仿宋" w:hAnsi="仿宋" w:eastAsia="仿宋"/>
          <w:sz w:val="32"/>
          <w:szCs w:val="32"/>
        </w:rPr>
        <w:t>；项目支出101.78万元，占63.92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b/>
          <w:sz w:val="32"/>
          <w:szCs w:val="32"/>
        </w:rPr>
      </w:pPr>
      <w:r>
        <w:rPr>
          <w:rFonts w:hint="eastAsia" w:ascii="仿宋" w:hAnsi="仿宋" w:eastAsia="仿宋"/>
          <w:sz w:val="32"/>
          <w:szCs w:val="32"/>
          <w:shd w:val="pct10" w:color="auto" w:fill="FFFFFF"/>
        </w:rPr>
        <w:drawing>
          <wp:anchor distT="0" distB="0" distL="114300" distR="114300" simplePos="0" relativeHeight="251660288" behindDoc="0" locked="0" layoutInCell="1" allowOverlap="1">
            <wp:simplePos x="0" y="0"/>
            <wp:positionH relativeFrom="column">
              <wp:posOffset>686435</wp:posOffset>
            </wp:positionH>
            <wp:positionV relativeFrom="paragraph">
              <wp:posOffset>166370</wp:posOffset>
            </wp:positionV>
            <wp:extent cx="2929255" cy="1886585"/>
            <wp:effectExtent l="0" t="0" r="4445" b="0"/>
            <wp:wrapSquare wrapText="bothSides"/>
            <wp:docPr id="3" name="图片 3" descr="图片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11"/>
                    <pic:cNvPicPr>
                      <a:picLocks noChangeAspect="true"/>
                    </pic:cNvPicPr>
                  </pic:nvPicPr>
                  <pic:blipFill>
                    <a:blip r:embed="rId8"/>
                    <a:stretch>
                      <a:fillRect/>
                    </a:stretch>
                  </pic:blipFill>
                  <pic:spPr>
                    <a:xfrm>
                      <a:off x="0" y="0"/>
                      <a:ext cx="2929255" cy="1886585"/>
                    </a:xfrm>
                    <a:prstGeom prst="rect">
                      <a:avLst/>
                    </a:prstGeom>
                  </pic:spPr>
                </pic:pic>
              </a:graphicData>
            </a:graphic>
          </wp:anchor>
        </w:drawing>
      </w:r>
    </w:p>
    <w:p>
      <w:pPr>
        <w:spacing w:line="600" w:lineRule="exact"/>
        <w:ind w:firstLine="640"/>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eastAsia="仿宋"/>
          <w:color w:val="000000"/>
          <w:sz w:val="32"/>
          <w:szCs w:val="32"/>
        </w:rPr>
      </w:pPr>
      <w:r>
        <w:rPr>
          <w:rFonts w:ascii="仿宋" w:hAnsi="仿宋" w:eastAsia="仿宋"/>
          <w:sz w:val="32"/>
          <w:szCs w:val="32"/>
        </w:rPr>
        <w:t>20</w:t>
      </w:r>
      <w:r>
        <w:rPr>
          <w:rFonts w:hint="eastAsia" w:ascii="仿宋" w:hAnsi="仿宋" w:eastAsia="仿宋"/>
          <w:sz w:val="32"/>
          <w:szCs w:val="32"/>
        </w:rPr>
        <w:t>21年财政拨款收、支总计159.22万元。与</w:t>
      </w:r>
      <w:r>
        <w:rPr>
          <w:rFonts w:ascii="仿宋" w:hAnsi="仿宋" w:eastAsia="仿宋"/>
          <w:sz w:val="32"/>
          <w:szCs w:val="32"/>
        </w:rPr>
        <w:t>20</w:t>
      </w:r>
      <w:r>
        <w:rPr>
          <w:rFonts w:hint="eastAsia" w:ascii="仿宋" w:hAnsi="仿宋" w:eastAsia="仿宋"/>
          <w:sz w:val="32"/>
          <w:szCs w:val="32"/>
        </w:rPr>
        <w:t>20年相比，财政拨款收入总计各增加27.77万元，增长21.13</w:t>
      </w:r>
      <w:r>
        <w:rPr>
          <w:rFonts w:ascii="仿宋" w:hAnsi="仿宋" w:eastAsia="仿宋"/>
          <w:sz w:val="32"/>
          <w:szCs w:val="32"/>
        </w:rPr>
        <w:t>%</w:t>
      </w:r>
      <w:r>
        <w:rPr>
          <w:rFonts w:hint="eastAsia" w:ascii="仿宋" w:hAnsi="仿宋" w:eastAsia="仿宋"/>
          <w:sz w:val="32"/>
          <w:szCs w:val="32"/>
        </w:rPr>
        <w:t>；财政拨款支出总计各增加22.81万元，增长16.72</w:t>
      </w:r>
      <w:r>
        <w:rPr>
          <w:rFonts w:ascii="仿宋" w:hAnsi="仿宋" w:eastAsia="仿宋"/>
          <w:sz w:val="32"/>
          <w:szCs w:val="32"/>
        </w:rPr>
        <w:t>%</w:t>
      </w:r>
      <w:r>
        <w:rPr>
          <w:rFonts w:hint="eastAsia" w:ascii="仿宋" w:hAnsi="仿宋" w:eastAsia="仿宋"/>
          <w:sz w:val="32"/>
          <w:szCs w:val="32"/>
        </w:rPr>
        <w:t>。主要变动原因是</w:t>
      </w:r>
      <w:r>
        <w:rPr>
          <w:rFonts w:eastAsia="仿宋"/>
          <w:color w:val="000000"/>
          <w:sz w:val="32"/>
          <w:szCs w:val="32"/>
        </w:rPr>
        <w:t>项目</w:t>
      </w:r>
      <w:r>
        <w:rPr>
          <w:rFonts w:hint="eastAsia" w:eastAsia="仿宋"/>
          <w:color w:val="000000"/>
          <w:sz w:val="32"/>
          <w:szCs w:val="32"/>
        </w:rPr>
        <w:t>增加</w:t>
      </w:r>
      <w:r>
        <w:rPr>
          <w:rFonts w:eastAsia="仿宋"/>
          <w:color w:val="000000"/>
          <w:sz w:val="32"/>
          <w:szCs w:val="32"/>
        </w:rPr>
        <w:t>。</w:t>
      </w:r>
    </w:p>
    <w:p>
      <w:pPr>
        <w:spacing w:line="60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528320</wp:posOffset>
            </wp:positionH>
            <wp:positionV relativeFrom="paragraph">
              <wp:posOffset>274320</wp:posOffset>
            </wp:positionV>
            <wp:extent cx="4204335" cy="2209800"/>
            <wp:effectExtent l="0" t="0" r="5715" b="0"/>
            <wp:wrapSquare wrapText="bothSides"/>
            <wp:docPr id="4" name="图片 4" descr="图片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12"/>
                    <pic:cNvPicPr>
                      <a:picLocks noChangeAspect="true"/>
                    </pic:cNvPicPr>
                  </pic:nvPicPr>
                  <pic:blipFill>
                    <a:blip r:embed="rId9"/>
                    <a:stretch>
                      <a:fillRect/>
                    </a:stretch>
                  </pic:blipFill>
                  <pic:spPr>
                    <a:xfrm>
                      <a:off x="0" y="0"/>
                      <a:ext cx="4204335" cy="2209800"/>
                    </a:xfrm>
                    <a:prstGeom prst="rect">
                      <a:avLst/>
                    </a:prstGeom>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21年一般公共预算财政拨款支出159.22万元，占本年支出合计的</w:t>
      </w:r>
      <w:r>
        <w:rPr>
          <w:rFonts w:ascii="仿宋" w:hAnsi="仿宋" w:eastAsia="仿宋"/>
          <w:sz w:val="32"/>
          <w:szCs w:val="32"/>
          <w:lang w:val="e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ascii="仿宋" w:hAnsi="仿宋" w:eastAsia="仿宋"/>
          <w:sz w:val="32"/>
          <w:szCs w:val="32"/>
          <w:lang w:val="en"/>
        </w:rPr>
        <w:t>93.15</w:t>
      </w:r>
      <w:r>
        <w:rPr>
          <w:rFonts w:hint="eastAsia" w:ascii="仿宋" w:hAnsi="仿宋" w:eastAsia="仿宋"/>
          <w:sz w:val="32"/>
          <w:szCs w:val="32"/>
        </w:rPr>
        <w:t>万元，增长</w:t>
      </w:r>
      <w:r>
        <w:rPr>
          <w:rFonts w:ascii="仿宋" w:hAnsi="仿宋" w:eastAsia="仿宋"/>
          <w:sz w:val="32"/>
          <w:szCs w:val="32"/>
          <w:lang w:val="en"/>
        </w:rPr>
        <w:t>140.99</w:t>
      </w:r>
      <w:r>
        <w:rPr>
          <w:rFonts w:ascii="仿宋" w:hAnsi="仿宋" w:eastAsia="仿宋"/>
          <w:sz w:val="32"/>
          <w:szCs w:val="32"/>
        </w:rPr>
        <w:t>%</w:t>
      </w:r>
      <w:r>
        <w:rPr>
          <w:rFonts w:hint="eastAsia" w:ascii="仿宋" w:hAnsi="仿宋" w:eastAsia="仿宋"/>
          <w:sz w:val="32"/>
          <w:szCs w:val="32"/>
        </w:rPr>
        <w:t>。主要变动原因是2021年无</w:t>
      </w:r>
      <w:r>
        <w:rPr>
          <w:rFonts w:eastAsia="仿宋"/>
          <w:color w:val="000000"/>
          <w:sz w:val="32"/>
          <w:szCs w:val="32"/>
        </w:rPr>
        <w:t>政府性基金预算财政拨款收入</w:t>
      </w:r>
      <w:r>
        <w:rPr>
          <w:rFonts w:hint="eastAsia" w:eastAsia="仿宋"/>
          <w:color w:val="00000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647065</wp:posOffset>
            </wp:positionH>
            <wp:positionV relativeFrom="paragraph">
              <wp:posOffset>204470</wp:posOffset>
            </wp:positionV>
            <wp:extent cx="4076065" cy="2477135"/>
            <wp:effectExtent l="0" t="0" r="635" b="18415"/>
            <wp:wrapSquare wrapText="bothSides"/>
            <wp:docPr id="5" name="图片 5"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true"/>
                    </pic:cNvPicPr>
                  </pic:nvPicPr>
                  <pic:blipFill>
                    <a:blip r:embed="rId10"/>
                    <a:stretch>
                      <a:fillRect/>
                    </a:stretch>
                  </pic:blipFill>
                  <pic:spPr>
                    <a:xfrm>
                      <a:off x="0" y="0"/>
                      <a:ext cx="4076065" cy="2477135"/>
                    </a:xfrm>
                    <a:prstGeom prst="rect">
                      <a:avLst/>
                    </a:prstGeom>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21年一般公共预算财政拨款支出159.22万元，主要用于以下方面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支出151.03万元，占94.86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支出3.91万元，占2.45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；住房保障支出4.28万元，占2.69</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942340</wp:posOffset>
            </wp:positionH>
            <wp:positionV relativeFrom="paragraph">
              <wp:posOffset>202565</wp:posOffset>
            </wp:positionV>
            <wp:extent cx="3607435" cy="2323465"/>
            <wp:effectExtent l="0" t="0" r="12065" b="635"/>
            <wp:wrapSquare wrapText="bothSides"/>
            <wp:docPr id="6" name="图片 6"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true"/>
                    </pic:cNvPicPr>
                  </pic:nvPicPr>
                  <pic:blipFill>
                    <a:blip r:embed="rId11"/>
                    <a:stretch>
                      <a:fillRect/>
                    </a:stretch>
                  </pic:blipFill>
                  <pic:spPr>
                    <a:xfrm>
                      <a:off x="0" y="0"/>
                      <a:ext cx="3607435" cy="2323465"/>
                    </a:xfrm>
                    <a:prstGeom prst="rect">
                      <a:avLst/>
                    </a:prstGeom>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2021年一般公共预算支出决算数为</w:t>
      </w:r>
      <w:r>
        <w:rPr>
          <w:rFonts w:hint="eastAsia" w:ascii="仿宋" w:hAnsi="仿宋" w:eastAsia="仿宋"/>
          <w:sz w:val="32"/>
          <w:szCs w:val="32"/>
        </w:rPr>
        <w:t>159.22</w:t>
      </w:r>
      <w:r>
        <w:rPr>
          <w:rFonts w:hint="eastAsia" w:ascii="仿宋" w:hAnsi="仿宋" w:eastAsia="仿宋"/>
          <w:b/>
          <w:sz w:val="32"/>
          <w:szCs w:val="32"/>
        </w:rPr>
        <w:t>万元，</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科学技术（类）基础研究（款）其他基础研究支出（项）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，决算数与预算数持平；</w:t>
      </w:r>
      <w:r>
        <w:rPr>
          <w:rStyle w:val="15"/>
          <w:rFonts w:hint="eastAsia" w:ascii="仿宋" w:hAnsi="仿宋" w:eastAsia="仿宋"/>
          <w:bCs/>
          <w:sz w:val="32"/>
          <w:szCs w:val="32"/>
        </w:rPr>
        <w:t>其他科学技术支出（款）其他科学技术支出（项）</w:t>
      </w:r>
      <w:r>
        <w:rPr>
          <w:rStyle w:val="15"/>
          <w:rFonts w:ascii="仿宋" w:hAnsi="仿宋" w:eastAsia="仿宋"/>
          <w:bCs/>
          <w:sz w:val="32"/>
          <w:szCs w:val="32"/>
        </w:rPr>
        <w:t>:</w:t>
      </w:r>
      <w:r>
        <w:rPr>
          <w:rStyle w:val="15"/>
          <w:rFonts w:hint="eastAsia" w:ascii="仿宋" w:hAnsi="仿宋" w:eastAsia="仿宋"/>
          <w:b w:val="0"/>
          <w:bCs/>
          <w:sz w:val="32"/>
          <w:szCs w:val="32"/>
        </w:rPr>
        <w:t>支出决算为141.03万元，完成预算100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，决算数与预算数持平。</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lang w:val="en-US" w:eastAsia="zh-CN"/>
        </w:rPr>
        <w:t>2</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社会保障和就业（类）行政事业单位养老支出（款） 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支出决算为3.91万元，完成预算100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，决算数与预算数持平。</w:t>
      </w:r>
    </w:p>
    <w:p>
      <w:pPr>
        <w:spacing w:line="600" w:lineRule="exact"/>
        <w:ind w:firstLine="642" w:firstLineChars="200"/>
        <w:rPr>
          <w:rFonts w:eastAsia="仿宋"/>
          <w:color w:val="000000"/>
          <w:sz w:val="32"/>
          <w:szCs w:val="32"/>
        </w:rPr>
      </w:pPr>
      <w:r>
        <w:rPr>
          <w:rStyle w:val="15"/>
          <w:rFonts w:hint="eastAsia" w:ascii="仿宋" w:hAnsi="仿宋" w:eastAsia="仿宋"/>
          <w:bCs/>
          <w:sz w:val="32"/>
          <w:szCs w:val="32"/>
          <w:lang w:val="en-US" w:eastAsia="zh-CN"/>
        </w:rPr>
        <w:t>3</w:t>
      </w:r>
      <w:r>
        <w:rPr>
          <w:rStyle w:val="15"/>
          <w:rFonts w:ascii="仿宋" w:hAnsi="仿宋" w:eastAsia="仿宋" w:cstheme="minorBidi"/>
          <w:bCs/>
          <w:sz w:val="32"/>
          <w:szCs w:val="32"/>
        </w:rPr>
        <w:t>.住</w:t>
      </w:r>
      <w:r>
        <w:rPr>
          <w:rFonts w:eastAsia="仿宋"/>
          <w:b/>
          <w:bCs/>
          <w:color w:val="000000"/>
          <w:sz w:val="32"/>
          <w:szCs w:val="32"/>
        </w:rPr>
        <w:t>房保障支出</w:t>
      </w:r>
      <w:r>
        <w:rPr>
          <w:rStyle w:val="15"/>
          <w:rFonts w:eastAsia="仿宋"/>
          <w:bCs/>
          <w:color w:val="000000"/>
          <w:sz w:val="32"/>
          <w:szCs w:val="32"/>
        </w:rPr>
        <w:t>（类）住房改革支出（款）住房公积金（项）:</w:t>
      </w:r>
      <w:r>
        <w:rPr>
          <w:rStyle w:val="15"/>
          <w:rFonts w:eastAsia="仿宋"/>
          <w:b w:val="0"/>
          <w:bCs/>
          <w:color w:val="000000"/>
          <w:sz w:val="32"/>
          <w:szCs w:val="32"/>
        </w:rPr>
        <w:t>支出决算为</w:t>
      </w:r>
      <w:r>
        <w:rPr>
          <w:rStyle w:val="15"/>
          <w:rFonts w:hint="eastAsia" w:eastAsia="仿宋"/>
          <w:b w:val="0"/>
          <w:bCs/>
          <w:color w:val="000000"/>
          <w:sz w:val="32"/>
          <w:szCs w:val="32"/>
        </w:rPr>
        <w:t>4.28</w:t>
      </w:r>
      <w:r>
        <w:rPr>
          <w:rStyle w:val="15"/>
          <w:rFonts w:eastAsia="仿宋"/>
          <w:b w:val="0"/>
          <w:bCs/>
          <w:color w:val="000000"/>
          <w:sz w:val="32"/>
          <w:szCs w:val="32"/>
        </w:rPr>
        <w:t>万元，完成预算100%，决算数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持平</w:t>
      </w:r>
      <w:r>
        <w:rPr>
          <w:rStyle w:val="15"/>
          <w:rFonts w:eastAsia="仿宋"/>
          <w:b w:val="0"/>
          <w:bCs/>
          <w:color w:val="000000"/>
          <w:sz w:val="32"/>
          <w:szCs w:val="32"/>
        </w:rPr>
        <w:t>。</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21年一般公共预算财政拨款基本支出57.44万元，其中：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49.08万元，主要包括：基本工资11.91万元、津贴补贴1.77万元、奖金0万元、伙食补助费0万元、绩效工资22.5万元、机关事业单位基本养老保险缴费3.91万元、职业年金缴费0万元、职工基本医疗保险缴费2.46万元、公务员医疗补助缴费0.24万元、其他社会保障缴费0.45万元、其他工资福利支出1.56万元、离休费0万元、退休费0万元、抚恤金0万元、生活补助0万元、医疗费补助0万元、奖励金0万元、住房公积金4.2万元8、其他对个人和家庭的补助支出0万元。</w:t>
      </w:r>
      <w:r>
        <w:rPr>
          <w:rFonts w:ascii="仿宋" w:hAnsi="仿宋" w:eastAsia="仿宋"/>
          <w:sz w:val="32"/>
          <w:szCs w:val="32"/>
        </w:rPr>
        <w:br w:type="textWrapping"/>
      </w:r>
      <w:r>
        <w:rPr>
          <w:rFonts w:hint="eastAsia" w:ascii="仿宋" w:hAnsi="仿宋" w:eastAsia="仿宋"/>
          <w:sz w:val="32"/>
          <w:szCs w:val="32"/>
        </w:rPr>
        <w:t>　　公用经费8.37万元，主要包括：办公费0.45万元、印刷费0万元、咨询费0万元、手续费0万元、水费0.09万元、电费0.23万元、邮电费0.11万元、取暖费0万元、物业管理费0万元、差旅费1.72万元、因公出国（境）费用0万元、维修（护）费0万元、租赁费0万元、会议费0万元、培训费0万元、公务接待费0万元、劳务费0万元、委托业务费0万元、工会经费0.64万元、福利费0.18万元、公务用车运行维护费3.03万元、其他交通费0万元、税金及附加费用0万元、其他商品和服务支出1.92万元、办公设备购置0万元、专用设备购置0万元、信息网络及软件购置更新0万元、其他资本性支出0万元。</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21年“三公”经费财政拨款支出决算为3.03万元，完成预算73.19</w:t>
      </w:r>
      <w:r>
        <w:rPr>
          <w:rFonts w:ascii="仿宋" w:hAnsi="仿宋" w:eastAsia="仿宋"/>
          <w:sz w:val="32"/>
          <w:szCs w:val="32"/>
        </w:rPr>
        <w:t>%</w:t>
      </w:r>
      <w:r>
        <w:rPr>
          <w:rFonts w:hint="eastAsia" w:ascii="仿宋" w:hAnsi="仿宋" w:eastAsia="仿宋"/>
          <w:sz w:val="32"/>
          <w:szCs w:val="32"/>
        </w:rPr>
        <w:t>，决算数小于预算数的主要原因是严控三公经费支出。</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；公务用车购置及运行维护费支出决算3.03万元，占100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958215</wp:posOffset>
            </wp:positionH>
            <wp:positionV relativeFrom="paragraph">
              <wp:posOffset>62865</wp:posOffset>
            </wp:positionV>
            <wp:extent cx="3469640" cy="2235200"/>
            <wp:effectExtent l="0" t="0" r="16510" b="12700"/>
            <wp:wrapSquare wrapText="bothSides"/>
            <wp:docPr id="7" name="图片 7"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true"/>
                    </pic:cNvPicPr>
                  </pic:nvPicPr>
                  <pic:blipFill>
                    <a:blip r:embed="rId12"/>
                    <a:stretch>
                      <a:fillRect/>
                    </a:stretch>
                  </pic:blipFill>
                  <pic:spPr>
                    <a:xfrm>
                      <a:off x="0" y="0"/>
                      <a:ext cx="3469640" cy="2235200"/>
                    </a:xfrm>
                    <a:prstGeom prst="rect">
                      <a:avLst/>
                    </a:prstGeom>
                  </pic:spPr>
                </pic:pic>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3.03万元,</w:t>
      </w:r>
      <w:r>
        <w:rPr>
          <w:rStyle w:val="15"/>
          <w:rFonts w:hint="eastAsia" w:ascii="仿宋" w:hAnsi="仿宋" w:eastAsia="仿宋"/>
          <w:b w:val="0"/>
          <w:bCs/>
          <w:sz w:val="32"/>
          <w:szCs w:val="32"/>
        </w:rPr>
        <w:t>完成预算</w:t>
      </w:r>
      <w:r>
        <w:rPr>
          <w:rStyle w:val="15"/>
          <w:rFonts w:hint="eastAsia" w:ascii="仿宋" w:hAnsi="仿宋" w:eastAsia="仿宋" w:cstheme="minorBidi"/>
          <w:b w:val="0"/>
          <w:bCs/>
          <w:sz w:val="32"/>
          <w:szCs w:val="32"/>
        </w:rPr>
        <w:t>74.81%。公务用车购置及运行维护费支出决算比2020年</w:t>
      </w:r>
      <w:r>
        <w:rPr>
          <w:rFonts w:hint="eastAsia" w:ascii="仿宋_GB2312" w:eastAsia="仿宋_GB2312"/>
          <w:sz w:val="32"/>
          <w:szCs w:val="32"/>
        </w:rPr>
        <w:t>减少0.76万元，下降20.05</w:t>
      </w:r>
      <w:r>
        <w:rPr>
          <w:rFonts w:ascii="仿宋_GB2312" w:eastAsia="仿宋_GB2312"/>
          <w:sz w:val="32"/>
          <w:szCs w:val="32"/>
        </w:rPr>
        <w:t>%</w:t>
      </w:r>
      <w:r>
        <w:rPr>
          <w:rFonts w:hint="eastAsia" w:ascii="仿宋_GB2312" w:eastAsia="仿宋_GB2312"/>
          <w:sz w:val="32"/>
          <w:szCs w:val="32"/>
        </w:rPr>
        <w:t>。主要原因是加强公车管理，减少消耗。</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月底，单位共有公务用车1辆，其中：轿车0辆、越野车1辆、载客汽车0辆。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3.03万元。主要用于课题调研等</w:t>
      </w:r>
      <w:r>
        <w:rPr>
          <w:rFonts w:eastAsia="仿宋_GB2312"/>
          <w:color w:val="000000"/>
          <w:sz w:val="32"/>
          <w:szCs w:val="32"/>
        </w:rPr>
        <w:t>业务活动开支的交通费</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20年减少0.09万元，下降100</w:t>
      </w:r>
      <w:r>
        <w:rPr>
          <w:rFonts w:ascii="仿宋_GB2312" w:eastAsia="仿宋_GB2312"/>
          <w:sz w:val="32"/>
          <w:szCs w:val="32"/>
        </w:rPr>
        <w:t>%</w:t>
      </w:r>
      <w:r>
        <w:rPr>
          <w:rFonts w:hint="eastAsia" w:ascii="仿宋_GB2312" w:eastAsia="仿宋_GB2312"/>
          <w:sz w:val="32"/>
          <w:szCs w:val="32"/>
        </w:rPr>
        <w:t>。主要原因是无接待任务。其中：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Style w:val="26"/>
          <w:rFonts w:ascii="黑体" w:hAnsi="黑体" w:eastAsia="黑体"/>
        </w:rPr>
      </w:pPr>
      <w:bookmarkStart w:id="40" w:name="_Toc15396610"/>
      <w:bookmarkStart w:id="41"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1"/>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1"/>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21年，市决策咨询服务中心机关运行经费支出0万元，与</w:t>
      </w:r>
      <w:r>
        <w:rPr>
          <w:rFonts w:ascii="仿宋_GB2312" w:eastAsia="仿宋_GB2312"/>
          <w:sz w:val="32"/>
          <w:szCs w:val="32"/>
        </w:rPr>
        <w:t>20</w:t>
      </w:r>
      <w:r>
        <w:rPr>
          <w:rFonts w:hint="eastAsia" w:ascii="仿宋_GB2312" w:eastAsia="仿宋_GB2312"/>
          <w:sz w:val="32"/>
          <w:szCs w:val="32"/>
        </w:rPr>
        <w:t>20年持平。</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21年，市决策咨询服务中心政府采购支出总额0万元，其中：政府采购货物支出0万元、政府采购工程支出0万元、政府采购服务支出0万元。授予中小企业合同金额0万元，占政府采购支出总额的0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日，市决策咨询服务中心共有车辆1辆，其中：主要领导干部用车0辆、机要通信用车0辆、应急保障用车0辆、其他用车1辆。其他用车主要是用于课题调研等业务活动。单价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1项目（项目名称）等1个项目开展了预算事前绩效评估，对1个项目编制了绩效目标，预算执行过程中，选取1个项目开展绩效监控，年终执行完毕后，对1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2"/>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spacing w:line="600" w:lineRule="exact"/>
        <w:ind w:firstLine="640"/>
        <w:rPr>
          <w:rFonts w:eastAsia="仿宋"/>
          <w:color w:val="000000"/>
          <w:sz w:val="32"/>
          <w:szCs w:val="32"/>
        </w:rPr>
      </w:pPr>
      <w:r>
        <w:rPr>
          <w:rFonts w:eastAsia="仿宋"/>
          <w:color w:val="000000"/>
          <w:sz w:val="32"/>
          <w:szCs w:val="32"/>
        </w:rPr>
        <w:t>1.财政拨款收入：指单位从同级财政部门取得的财政预算资金。</w:t>
      </w:r>
    </w:p>
    <w:p>
      <w:pPr>
        <w:spacing w:line="600" w:lineRule="exact"/>
        <w:ind w:firstLine="640"/>
        <w:rPr>
          <w:rFonts w:eastAsia="仿宋"/>
          <w:color w:val="000000"/>
          <w:sz w:val="32"/>
          <w:szCs w:val="32"/>
        </w:rPr>
      </w:pPr>
      <w:r>
        <w:rPr>
          <w:rFonts w:eastAsia="仿宋"/>
          <w:color w:val="000000"/>
          <w:sz w:val="32"/>
          <w:szCs w:val="32"/>
        </w:rPr>
        <w:t xml:space="preserve">2.其他收入：指单位取得的除上述收入以外的各项收入。 </w:t>
      </w:r>
    </w:p>
    <w:p>
      <w:pPr>
        <w:spacing w:line="600" w:lineRule="exact"/>
        <w:ind w:firstLine="640"/>
        <w:rPr>
          <w:rFonts w:eastAsia="仿宋"/>
          <w:color w:val="000000"/>
          <w:sz w:val="32"/>
          <w:szCs w:val="32"/>
        </w:rPr>
      </w:pPr>
      <w:r>
        <w:rPr>
          <w:rFonts w:hint="eastAsia" w:eastAsia="仿宋"/>
          <w:color w:val="000000"/>
          <w:sz w:val="32"/>
          <w:szCs w:val="32"/>
        </w:rPr>
        <w:t>3</w:t>
      </w:r>
      <w:r>
        <w:rPr>
          <w:rFonts w:eastAsia="仿宋"/>
          <w:color w:val="000000"/>
          <w:sz w:val="32"/>
          <w:szCs w:val="32"/>
        </w:rPr>
        <w:t xml:space="preserve">.使用非财政拨款结余：指事业单位使用以前年度积累的非财政拨款结余弥补当年收支差额的金额。 </w:t>
      </w:r>
    </w:p>
    <w:p>
      <w:pPr>
        <w:spacing w:line="600" w:lineRule="exact"/>
        <w:ind w:firstLine="640"/>
        <w:rPr>
          <w:rFonts w:eastAsia="仿宋"/>
          <w:color w:val="000000"/>
          <w:sz w:val="32"/>
          <w:szCs w:val="32"/>
        </w:rPr>
      </w:pPr>
      <w:r>
        <w:rPr>
          <w:rFonts w:hint="eastAsia" w:eastAsia="仿宋"/>
          <w:color w:val="000000"/>
          <w:sz w:val="32"/>
          <w:szCs w:val="32"/>
        </w:rPr>
        <w:t>4</w:t>
      </w:r>
      <w:r>
        <w:rPr>
          <w:rFonts w:eastAsia="仿宋"/>
          <w:color w:val="000000"/>
          <w:sz w:val="32"/>
          <w:szCs w:val="32"/>
        </w:rPr>
        <w:t xml:space="preserve">.年初结转和结余：指以前年度尚未完成、结转到本年按有关规定继续使用的资金。 </w:t>
      </w:r>
    </w:p>
    <w:p>
      <w:pPr>
        <w:spacing w:line="600" w:lineRule="exact"/>
        <w:ind w:firstLine="640"/>
        <w:rPr>
          <w:rFonts w:eastAsia="仿宋"/>
          <w:color w:val="000000"/>
          <w:sz w:val="32"/>
          <w:szCs w:val="32"/>
        </w:rPr>
      </w:pPr>
      <w:r>
        <w:rPr>
          <w:rFonts w:hint="eastAsia" w:eastAsia="仿宋"/>
          <w:color w:val="000000"/>
          <w:sz w:val="32"/>
          <w:szCs w:val="32"/>
        </w:rPr>
        <w:t>5</w:t>
      </w:r>
      <w:r>
        <w:rPr>
          <w:rFonts w:eastAsia="仿宋"/>
          <w:color w:val="000000"/>
          <w:sz w:val="32"/>
          <w:szCs w:val="32"/>
        </w:rPr>
        <w:t>.结余分配：指事业单位按照会计制度规定缴纳的所得税、提取的专用结余以及转入非财政拨款结余的金额等。</w:t>
      </w:r>
    </w:p>
    <w:p>
      <w:pPr>
        <w:spacing w:line="600" w:lineRule="exact"/>
        <w:ind w:firstLine="640"/>
        <w:rPr>
          <w:rFonts w:eastAsia="仿宋"/>
          <w:color w:val="000000"/>
          <w:sz w:val="32"/>
          <w:szCs w:val="32"/>
        </w:rPr>
      </w:pPr>
      <w:r>
        <w:rPr>
          <w:rFonts w:hint="eastAsia" w:eastAsia="仿宋"/>
          <w:color w:val="000000"/>
          <w:sz w:val="32"/>
          <w:szCs w:val="32"/>
        </w:rPr>
        <w:t>6.</w:t>
      </w:r>
      <w:r>
        <w:rPr>
          <w:rFonts w:eastAsia="仿宋"/>
          <w:color w:val="000000"/>
          <w:sz w:val="32"/>
          <w:szCs w:val="32"/>
        </w:rPr>
        <w:t>年末结转和结余：指单位按有关规定结转到下年或以后年度继续使用的资金。</w:t>
      </w:r>
    </w:p>
    <w:p>
      <w:pPr>
        <w:spacing w:line="600" w:lineRule="exact"/>
        <w:ind w:firstLine="640"/>
        <w:rPr>
          <w:rFonts w:eastAsia="仿宋"/>
          <w:color w:val="000000"/>
          <w:sz w:val="32"/>
          <w:szCs w:val="32"/>
        </w:rPr>
      </w:pPr>
      <w:r>
        <w:rPr>
          <w:rFonts w:hint="eastAsia" w:eastAsia="仿宋"/>
          <w:color w:val="000000"/>
          <w:sz w:val="32"/>
          <w:szCs w:val="32"/>
        </w:rPr>
        <w:t>7.科学技术（类）基础研究（款）其他基础研究支出（项）：指反映</w:t>
      </w:r>
      <w:r>
        <w:rPr>
          <w:rFonts w:hint="eastAsia" w:ascii="仿宋" w:hAnsi="Calibri" w:eastAsia="仿宋_GB2312"/>
          <w:color w:val="000000"/>
          <w:kern w:val="0"/>
          <w:sz w:val="32"/>
          <w:szCs w:val="32"/>
        </w:rPr>
        <w:t>其他用于基础研究工作的支出</w:t>
      </w:r>
      <w:r>
        <w:rPr>
          <w:rFonts w:hint="eastAsia" w:eastAsia="仿宋"/>
          <w:color w:val="000000"/>
          <w:sz w:val="32"/>
          <w:szCs w:val="32"/>
        </w:rPr>
        <w:t>。</w:t>
      </w:r>
    </w:p>
    <w:p>
      <w:pPr>
        <w:spacing w:line="600" w:lineRule="exact"/>
        <w:ind w:firstLine="640" w:firstLineChars="200"/>
        <w:rPr>
          <w:rFonts w:eastAsia="仿宋_GB2312"/>
          <w:color w:val="000000"/>
          <w:sz w:val="32"/>
          <w:szCs w:val="32"/>
        </w:rPr>
      </w:pPr>
      <w:r>
        <w:rPr>
          <w:rFonts w:hint="eastAsia" w:eastAsia="仿宋"/>
          <w:color w:val="000000"/>
          <w:sz w:val="32"/>
          <w:szCs w:val="32"/>
        </w:rPr>
        <w:t>8.</w:t>
      </w:r>
      <w:r>
        <w:rPr>
          <w:rFonts w:eastAsia="仿宋"/>
          <w:color w:val="000000"/>
          <w:sz w:val="32"/>
          <w:szCs w:val="32"/>
        </w:rPr>
        <w:t>科学技术（类）</w:t>
      </w:r>
      <w:r>
        <w:rPr>
          <w:rFonts w:hint="eastAsia" w:eastAsia="仿宋"/>
          <w:color w:val="000000"/>
          <w:sz w:val="32"/>
          <w:szCs w:val="32"/>
        </w:rPr>
        <w:t>其他科学技术支出</w:t>
      </w:r>
      <w:r>
        <w:rPr>
          <w:rFonts w:eastAsia="仿宋"/>
          <w:color w:val="000000"/>
          <w:sz w:val="32"/>
          <w:szCs w:val="32"/>
        </w:rPr>
        <w:t>（款）</w:t>
      </w:r>
      <w:r>
        <w:rPr>
          <w:rFonts w:hint="eastAsia" w:eastAsia="仿宋"/>
          <w:color w:val="000000"/>
          <w:sz w:val="32"/>
          <w:szCs w:val="32"/>
        </w:rPr>
        <w:t>其他科学技术支出</w:t>
      </w:r>
      <w:r>
        <w:rPr>
          <w:rFonts w:eastAsia="仿宋"/>
          <w:color w:val="000000"/>
          <w:sz w:val="32"/>
          <w:szCs w:val="32"/>
        </w:rPr>
        <w:t>（项）</w:t>
      </w:r>
      <w:r>
        <w:rPr>
          <w:rFonts w:hint="eastAsia" w:eastAsia="仿宋"/>
          <w:color w:val="000000"/>
          <w:sz w:val="32"/>
          <w:szCs w:val="32"/>
        </w:rPr>
        <w:t>：</w:t>
      </w:r>
      <w:r>
        <w:rPr>
          <w:rFonts w:hint="eastAsia" w:eastAsia="仿宋_GB2312"/>
          <w:color w:val="000000"/>
          <w:sz w:val="32"/>
          <w:szCs w:val="32"/>
        </w:rPr>
        <w:t>指反映其他科学技术支出中用于其他科技方面的支出。</w:t>
      </w:r>
    </w:p>
    <w:p>
      <w:pPr>
        <w:spacing w:line="600" w:lineRule="exact"/>
        <w:ind w:firstLine="640"/>
        <w:rPr>
          <w:rFonts w:eastAsia="仿宋"/>
          <w:color w:val="000000"/>
          <w:sz w:val="32"/>
          <w:szCs w:val="32"/>
        </w:rPr>
      </w:pPr>
      <w:r>
        <w:rPr>
          <w:rFonts w:hint="eastAsia" w:eastAsia="仿宋"/>
          <w:color w:val="000000"/>
          <w:sz w:val="32"/>
          <w:szCs w:val="32"/>
        </w:rPr>
        <w:t>9.</w:t>
      </w:r>
      <w:r>
        <w:rPr>
          <w:rFonts w:eastAsia="仿宋"/>
          <w:color w:val="000000"/>
          <w:sz w:val="32"/>
          <w:szCs w:val="32"/>
        </w:rPr>
        <w:t>社会保障和就业（类）行政事业单位养老支出（款）机关事业单位基本养老保险缴费支出（项）</w:t>
      </w:r>
      <w:r>
        <w:rPr>
          <w:rFonts w:hint="eastAsia" w:eastAsia="仿宋"/>
          <w:color w:val="000000"/>
          <w:sz w:val="32"/>
          <w:szCs w:val="32"/>
        </w:rPr>
        <w:t>：指反映机关事业单位实施养老保险制度由单位缴纳的基本养老保险费支出。</w:t>
      </w:r>
    </w:p>
    <w:p>
      <w:pPr>
        <w:spacing w:line="600" w:lineRule="exact"/>
        <w:ind w:firstLine="640"/>
        <w:rPr>
          <w:rFonts w:eastAsia="仿宋"/>
          <w:color w:val="000000"/>
          <w:sz w:val="32"/>
          <w:szCs w:val="32"/>
        </w:rPr>
      </w:pPr>
      <w:r>
        <w:rPr>
          <w:rFonts w:hint="eastAsia" w:eastAsia="仿宋"/>
          <w:color w:val="000000"/>
          <w:sz w:val="32"/>
          <w:szCs w:val="32"/>
        </w:rPr>
        <w:t>10.</w:t>
      </w:r>
      <w:r>
        <w:rPr>
          <w:rFonts w:eastAsia="仿宋"/>
          <w:color w:val="000000"/>
          <w:sz w:val="32"/>
          <w:szCs w:val="32"/>
        </w:rPr>
        <w:t>住房保障支出（类）住房改革支出（款）住房公积金（项）</w:t>
      </w:r>
      <w:r>
        <w:rPr>
          <w:rFonts w:hint="eastAsia" w:eastAsia="仿宋"/>
          <w:color w:val="000000"/>
          <w:sz w:val="32"/>
          <w:szCs w:val="32"/>
        </w:rPr>
        <w:t>：</w:t>
      </w:r>
      <w:r>
        <w:rPr>
          <w:rFonts w:eastAsia="仿宋"/>
          <w:color w:val="000000"/>
          <w:sz w:val="32"/>
          <w:szCs w:val="32"/>
        </w:rPr>
        <w:t>指反映行政事业单位按</w:t>
      </w:r>
      <w:r>
        <w:rPr>
          <w:rFonts w:hint="eastAsia" w:eastAsia="仿宋"/>
          <w:color w:val="000000"/>
          <w:sz w:val="32"/>
          <w:szCs w:val="32"/>
        </w:rPr>
        <w:t>人力资源和社会保障部</w:t>
      </w:r>
      <w:r>
        <w:rPr>
          <w:rFonts w:eastAsia="仿宋"/>
          <w:color w:val="000000"/>
          <w:sz w:val="32"/>
          <w:szCs w:val="32"/>
        </w:rPr>
        <w:t>、财政部门规定的基本工资和津贴补贴以及规定比例为职工缴纳的住房公积金。</w:t>
      </w:r>
    </w:p>
    <w:p>
      <w:pPr>
        <w:spacing w:line="600" w:lineRule="exact"/>
        <w:ind w:firstLine="640"/>
        <w:rPr>
          <w:rFonts w:eastAsia="仿宋"/>
          <w:color w:val="000000"/>
          <w:sz w:val="32"/>
          <w:szCs w:val="32"/>
        </w:rPr>
      </w:pPr>
      <w:r>
        <w:rPr>
          <w:rFonts w:hint="eastAsia" w:eastAsia="仿宋"/>
          <w:color w:val="000000"/>
          <w:sz w:val="32"/>
          <w:szCs w:val="32"/>
        </w:rPr>
        <w:t>11</w:t>
      </w:r>
      <w:r>
        <w:rPr>
          <w:rFonts w:eastAsia="仿宋"/>
          <w:color w:val="000000"/>
          <w:sz w:val="32"/>
          <w:szCs w:val="32"/>
        </w:rPr>
        <w:t>.基本支出：指为保障机构正常运转、完成日常工作任务而发生的人员支出和公用支出。</w:t>
      </w:r>
    </w:p>
    <w:p>
      <w:pPr>
        <w:spacing w:line="600" w:lineRule="exact"/>
        <w:ind w:firstLine="640"/>
        <w:rPr>
          <w:rFonts w:eastAsia="仿宋"/>
          <w:color w:val="000000"/>
          <w:sz w:val="32"/>
          <w:szCs w:val="32"/>
        </w:rPr>
      </w:pPr>
      <w:r>
        <w:rPr>
          <w:rFonts w:hint="eastAsia" w:eastAsia="仿宋"/>
          <w:color w:val="000000"/>
          <w:sz w:val="32"/>
          <w:szCs w:val="32"/>
        </w:rPr>
        <w:t>12</w:t>
      </w:r>
      <w:r>
        <w:rPr>
          <w:rFonts w:eastAsia="仿宋"/>
          <w:color w:val="000000"/>
          <w:sz w:val="32"/>
          <w:szCs w:val="32"/>
        </w:rPr>
        <w:t xml:space="preserve">.项目支出：指在基本支出之外为完成特定行政任务和事业发展目标所发生的支出。 </w:t>
      </w:r>
    </w:p>
    <w:p>
      <w:pPr>
        <w:spacing w:line="600" w:lineRule="exact"/>
        <w:ind w:firstLine="640"/>
        <w:rPr>
          <w:rFonts w:eastAsia="仿宋"/>
          <w:color w:val="000000"/>
          <w:sz w:val="32"/>
          <w:szCs w:val="32"/>
        </w:rPr>
      </w:pPr>
      <w:r>
        <w:rPr>
          <w:rFonts w:hint="eastAsia" w:eastAsia="仿宋"/>
          <w:color w:val="000000"/>
          <w:sz w:val="32"/>
          <w:szCs w:val="32"/>
        </w:rPr>
        <w:t>13</w:t>
      </w:r>
      <w:r>
        <w:rPr>
          <w:rFonts w:eastAsia="仿宋"/>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s="黑体"/>
          <w:color w:val="auto"/>
          <w:sz w:val="32"/>
          <w:szCs w:val="32"/>
        </w:rPr>
      </w:pPr>
    </w:p>
    <w:p>
      <w:pPr>
        <w:pStyle w:val="23"/>
        <w:spacing w:line="560" w:lineRule="exact"/>
        <w:ind w:firstLine="640" w:firstLineChars="200"/>
        <w:rPr>
          <w:rFonts w:ascii="仿宋_GB2312" w:eastAsia="仿宋_GB2312" w:cs="黑体"/>
          <w:color w:val="auto"/>
          <w:sz w:val="32"/>
          <w:szCs w:val="32"/>
        </w:rPr>
      </w:pPr>
    </w:p>
    <w:p>
      <w:pPr>
        <w:rPr>
          <w:rFonts w:ascii="仿宋" w:hAnsi="仿宋" w:eastAsia="仿宋"/>
          <w:b/>
          <w:sz w:val="32"/>
          <w:szCs w:val="32"/>
        </w:rPr>
      </w:pP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587" w:tblpY="112"/>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rPr>
              <w:t>攀枝花市</w:t>
            </w:r>
            <w:r>
              <w:rPr>
                <w:rFonts w:hint="eastAsia" w:ascii="宋体" w:hAnsi="宋体" w:cs="宋体"/>
                <w:sz w:val="24"/>
                <w:lang w:eastAsia="zh-CN"/>
              </w:rPr>
              <w:t>科学技术局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攀枝花市决策咨询服务中心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101.78</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101.78</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研究成果通过验收组评审，争取获得市领导肯定性批示，并力争在部门层面得到采纳、转化；为70名左右的委员提供报刊，向市委市政府提出有效建议，专家为市委市政府各部门重大事项提供可靠咨询论证。</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全年开展小组活动25次、专题调研10次、重大项目咨询论证5次，启动重大决策咨询课题15项，编印决策咨询活动情况13期；向市领导和各专业组发送省决策咨询期刊360余册，为我市借鉴外市成功经验提供了捷径。</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一级</w:t>
            </w:r>
          </w:p>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二级</w:t>
            </w:r>
          </w:p>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三级</w:t>
            </w:r>
          </w:p>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完成</w:t>
            </w:r>
          </w:p>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开展专题调研、课题研讨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形成高质量报告，为市委、市政府提供决策参考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形成高质量报告，为市委、市政府提供决策参考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开展各类重大事项论证、咨询、调研活动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101.78万元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促进企业发展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为企业发展建言献策，提升企业竞争力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为企业发展建言献策，提升企业竞争力</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为全市发展献策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开展决策咨询，</w:t>
            </w:r>
            <w:r>
              <w:rPr>
                <w:rFonts w:hint="eastAsia" w:ascii="仿宋_GB2312" w:hAnsi="仿宋_GB2312" w:eastAsia="仿宋_GB2312" w:cs="仿宋_GB2312"/>
                <w:sz w:val="24"/>
                <w:szCs w:val="24"/>
                <w:lang w:eastAsia="zh-CN"/>
              </w:rPr>
              <w:t>形成</w:t>
            </w:r>
            <w:r>
              <w:rPr>
                <w:rFonts w:hint="eastAsia" w:ascii="仿宋_GB2312" w:hAnsi="仿宋_GB2312" w:eastAsia="仿宋_GB2312" w:cs="仿宋_GB2312"/>
                <w:sz w:val="24"/>
                <w:szCs w:val="24"/>
              </w:rPr>
              <w:t>决策咨询报告和委员建言献策建议</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为全市发展提交高质量的决策咨询报告和委员建言献策建议</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满意</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满意度</w:t>
            </w:r>
          </w:p>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90%以上</w:t>
            </w:r>
          </w:p>
        </w:tc>
      </w:tr>
    </w:tbl>
    <w:p>
      <w:pPr>
        <w:spacing w:line="600" w:lineRule="exact"/>
        <w:jc w:val="center"/>
        <w:outlineLvl w:val="0"/>
        <w:rPr>
          <w:rFonts w:ascii="黑体" w:hAnsi="黑体" w:eastAsia="黑体"/>
          <w:sz w:val="44"/>
          <w:szCs w:val="44"/>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rPr>
          <w:rFonts w:hint="eastAsia" w:ascii="黑体" w:hAnsi="黑体" w:eastAsia="黑体"/>
          <w:sz w:val="44"/>
          <w:szCs w:val="44"/>
        </w:rPr>
      </w:pPr>
      <w:r>
        <w:rPr>
          <w:rFonts w:hint="eastAsia" w:ascii="黑体" w:hAnsi="黑体" w:eastAsia="黑体"/>
          <w:sz w:val="44"/>
          <w:szCs w:val="44"/>
        </w:rPr>
        <w:br w:type="page"/>
      </w: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5"/>
    </w:p>
    <w:p>
      <w:pPr>
        <w:pStyle w:val="4"/>
        <w:rPr>
          <w:rStyle w:val="26"/>
          <w:rFonts w:ascii="仿宋" w:hAnsi="仿宋" w:eastAsia="仿宋"/>
          <w:b w:val="0"/>
          <w:bCs w:val="0"/>
        </w:rPr>
      </w:pPr>
      <w:bookmarkStart w:id="6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6"/>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17</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493A"/>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4262"/>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482D"/>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7D5"/>
    <w:rsid w:val="0066343B"/>
    <w:rsid w:val="00664777"/>
    <w:rsid w:val="006748A4"/>
    <w:rsid w:val="00681A31"/>
    <w:rsid w:val="00683E73"/>
    <w:rsid w:val="006A3141"/>
    <w:rsid w:val="006A5E34"/>
    <w:rsid w:val="006B2422"/>
    <w:rsid w:val="006B2B9A"/>
    <w:rsid w:val="006C1937"/>
    <w:rsid w:val="006F020C"/>
    <w:rsid w:val="007112AD"/>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5A29"/>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63D5"/>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6459"/>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0FF136B3"/>
    <w:rsid w:val="10C055FF"/>
    <w:rsid w:val="118107EC"/>
    <w:rsid w:val="11DD6519"/>
    <w:rsid w:val="16BB723D"/>
    <w:rsid w:val="18015F3F"/>
    <w:rsid w:val="1BE8440E"/>
    <w:rsid w:val="1D155CEE"/>
    <w:rsid w:val="1DA3E129"/>
    <w:rsid w:val="1DF77D81"/>
    <w:rsid w:val="1F3D6E7B"/>
    <w:rsid w:val="20F57F95"/>
    <w:rsid w:val="240371BF"/>
    <w:rsid w:val="25C741E6"/>
    <w:rsid w:val="27842671"/>
    <w:rsid w:val="291F69FF"/>
    <w:rsid w:val="29FD04D3"/>
    <w:rsid w:val="2ABE7A3E"/>
    <w:rsid w:val="2EFA178C"/>
    <w:rsid w:val="2F67637B"/>
    <w:rsid w:val="2F73E266"/>
    <w:rsid w:val="30B46D73"/>
    <w:rsid w:val="319F7F4E"/>
    <w:rsid w:val="373F9300"/>
    <w:rsid w:val="39AE70AB"/>
    <w:rsid w:val="3AB19CF6"/>
    <w:rsid w:val="3AF7272E"/>
    <w:rsid w:val="3BF37C04"/>
    <w:rsid w:val="3C0C0783"/>
    <w:rsid w:val="3F5FD384"/>
    <w:rsid w:val="3F78B39D"/>
    <w:rsid w:val="3F9F3A96"/>
    <w:rsid w:val="3FECCA54"/>
    <w:rsid w:val="437E7EFE"/>
    <w:rsid w:val="47F6C492"/>
    <w:rsid w:val="47FF30B7"/>
    <w:rsid w:val="493C27E9"/>
    <w:rsid w:val="496F39ED"/>
    <w:rsid w:val="49FF41D3"/>
    <w:rsid w:val="4BE068DB"/>
    <w:rsid w:val="4BF6002B"/>
    <w:rsid w:val="4ECE2238"/>
    <w:rsid w:val="4FBBDCED"/>
    <w:rsid w:val="51DB4B86"/>
    <w:rsid w:val="55333C3E"/>
    <w:rsid w:val="5AFB56AC"/>
    <w:rsid w:val="5DAE94E5"/>
    <w:rsid w:val="641F3FC7"/>
    <w:rsid w:val="64CA39A1"/>
    <w:rsid w:val="65FC0DC6"/>
    <w:rsid w:val="66FF4429"/>
    <w:rsid w:val="67C22485"/>
    <w:rsid w:val="67FF16BF"/>
    <w:rsid w:val="6C4A05C8"/>
    <w:rsid w:val="6FF470BF"/>
    <w:rsid w:val="72734D90"/>
    <w:rsid w:val="775D926E"/>
    <w:rsid w:val="77EF07D2"/>
    <w:rsid w:val="77FEF5E3"/>
    <w:rsid w:val="78FB7763"/>
    <w:rsid w:val="79E7B28D"/>
    <w:rsid w:val="7AF5BE3F"/>
    <w:rsid w:val="7AFB1C4E"/>
    <w:rsid w:val="7BF4C1A2"/>
    <w:rsid w:val="7BFF5697"/>
    <w:rsid w:val="7CE2EB98"/>
    <w:rsid w:val="7CFD4357"/>
    <w:rsid w:val="7DCD9270"/>
    <w:rsid w:val="7EAE2543"/>
    <w:rsid w:val="7EF5D423"/>
    <w:rsid w:val="7F3D08F0"/>
    <w:rsid w:val="7F7AA58A"/>
    <w:rsid w:val="7F9F20EE"/>
    <w:rsid w:val="7FAF7259"/>
    <w:rsid w:val="7FCF2A4B"/>
    <w:rsid w:val="7FE500D5"/>
    <w:rsid w:val="7FFEE8ED"/>
    <w:rsid w:val="9E3A10E2"/>
    <w:rsid w:val="AEBD3777"/>
    <w:rsid w:val="AFFD6FFE"/>
    <w:rsid w:val="B33E4EEE"/>
    <w:rsid w:val="BBFFD104"/>
    <w:rsid w:val="BC5254E2"/>
    <w:rsid w:val="BCDD5995"/>
    <w:rsid w:val="BD77151F"/>
    <w:rsid w:val="BFF7F03E"/>
    <w:rsid w:val="BFFF1072"/>
    <w:rsid w:val="BFFF647C"/>
    <w:rsid w:val="CDDD5D27"/>
    <w:rsid w:val="D94E9046"/>
    <w:rsid w:val="D9CDA7B2"/>
    <w:rsid w:val="DBF7CEB4"/>
    <w:rsid w:val="DF37A85C"/>
    <w:rsid w:val="DFDFD013"/>
    <w:rsid w:val="E3F7770E"/>
    <w:rsid w:val="ECFE741C"/>
    <w:rsid w:val="ED3FFD2E"/>
    <w:rsid w:val="EDBB5318"/>
    <w:rsid w:val="EE7D0E35"/>
    <w:rsid w:val="EFD010F8"/>
    <w:rsid w:val="EFEFA7CC"/>
    <w:rsid w:val="EFFF3E7B"/>
    <w:rsid w:val="F2E1F9D4"/>
    <w:rsid w:val="F64A1812"/>
    <w:rsid w:val="F7880819"/>
    <w:rsid w:val="F7DF5042"/>
    <w:rsid w:val="F7E7C435"/>
    <w:rsid w:val="F92FC562"/>
    <w:rsid w:val="FB2BAD8D"/>
    <w:rsid w:val="FB7FEB0A"/>
    <w:rsid w:val="FDAE44B5"/>
    <w:rsid w:val="FDF5EF63"/>
    <w:rsid w:val="FEEF1277"/>
    <w:rsid w:val="FF3F985D"/>
    <w:rsid w:val="FF777290"/>
    <w:rsid w:val="FFA453BE"/>
    <w:rsid w:val="FFBB053B"/>
    <w:rsid w:val="FFDF8C57"/>
    <w:rsid w:val="FFE78B8C"/>
    <w:rsid w:val="FFF9F2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Normal Indent"/>
    <w:basedOn w:val="1"/>
    <w:qFormat/>
    <w:uiPriority w:val="0"/>
    <w:pPr>
      <w:suppressAutoHyphens/>
    </w:pPr>
    <w:rPr>
      <w:rFonts w:ascii="Calibri" w:hAnsi="Calibri"/>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7501</Words>
  <Characters>850</Characters>
  <Lines>7</Lines>
  <Paragraphs>16</Paragraphs>
  <TotalTime>6</TotalTime>
  <ScaleCrop>false</ScaleCrop>
  <LinksUpToDate>false</LinksUpToDate>
  <CharactersWithSpaces>8335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user</cp:lastModifiedBy>
  <cp:lastPrinted>2022-08-09T10:23:00Z</cp:lastPrinted>
  <dcterms:modified xsi:type="dcterms:W3CDTF">2023-08-02T12:55:14Z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