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00" w:lineRule="exact"/>
        <w:jc w:val="center"/>
        <w:rPr>
          <w:rFonts w:ascii="方正小标宋_GBK" w:hAnsi="宋体" w:eastAsia="方正小标宋_GBK"/>
          <w:sz w:val="44"/>
          <w:szCs w:val="44"/>
        </w:rPr>
      </w:pPr>
      <w:r>
        <w:rPr>
          <w:rFonts w:hint="eastAsia" w:ascii="方正小标宋_GBK" w:hAnsi="宋体" w:eastAsia="方正小标宋_GBK"/>
          <w:sz w:val="44"/>
          <w:szCs w:val="44"/>
        </w:rPr>
        <w:t>攀枝花市科技基础条件平台服务中心</w:t>
      </w:r>
    </w:p>
    <w:p>
      <w:pPr>
        <w:spacing w:line="700" w:lineRule="exact"/>
        <w:jc w:val="center"/>
        <w:rPr>
          <w:rFonts w:ascii="方正小标宋_GBK" w:hAnsi="宋体" w:eastAsia="方正小标宋_GBK"/>
          <w:sz w:val="44"/>
          <w:szCs w:val="44"/>
        </w:rPr>
      </w:pPr>
      <w:r>
        <w:rPr>
          <w:rFonts w:hint="eastAsia" w:ascii="方正小标宋_GBK" w:hAnsi="宋体" w:eastAsia="方正小标宋_GBK"/>
          <w:sz w:val="44"/>
          <w:szCs w:val="44"/>
        </w:rPr>
        <w:t>2021年部门预算编制说明</w:t>
      </w:r>
    </w:p>
    <w:p>
      <w:pPr>
        <w:widowControl/>
        <w:jc w:val="center"/>
        <w:outlineLvl w:val="0"/>
        <w:rPr>
          <w:rFonts w:eastAsia="方正小标宋简体" w:cs="方正小标宋简体"/>
          <w:kern w:val="0"/>
          <w:sz w:val="36"/>
          <w:szCs w:val="36"/>
        </w:rPr>
      </w:pPr>
    </w:p>
    <w:p>
      <w:pPr>
        <w:widowControl/>
        <w:jc w:val="center"/>
        <w:outlineLvl w:val="0"/>
        <w:rPr>
          <w:rStyle w:val="9"/>
          <w:rFonts w:eastAsia="黑体" w:cs="宋体"/>
          <w:b w:val="0"/>
          <w:color w:val="333333"/>
        </w:rPr>
      </w:pPr>
      <w:r>
        <w:rPr>
          <w:rFonts w:hint="eastAsia" w:eastAsia="方正小标宋简体" w:cs="方正小标宋简体"/>
          <w:b/>
          <w:kern w:val="0"/>
          <w:sz w:val="36"/>
          <w:szCs w:val="36"/>
        </w:rPr>
        <w:t>目录</w:t>
      </w:r>
    </w:p>
    <w:p>
      <w:pPr>
        <w:pStyle w:val="6"/>
        <w:spacing w:line="360" w:lineRule="exact"/>
        <w:ind w:firstLine="640" w:firstLineChars="200"/>
        <w:jc w:val="both"/>
        <w:outlineLvl w:val="1"/>
        <w:rPr>
          <w:rFonts w:eastAsia="仿宋_GB2312" w:cs="仿宋_GB2312"/>
          <w:szCs w:val="32"/>
        </w:rPr>
      </w:pPr>
      <w:r>
        <w:rPr>
          <w:rFonts w:hint="eastAsia" w:ascii="Times New Roman" w:hAnsi="Times New Roman" w:eastAsia="仿宋_GB2312" w:cs="仿宋_GB2312"/>
          <w:color w:val="333333"/>
          <w:sz w:val="32"/>
          <w:szCs w:val="32"/>
        </w:rPr>
        <w:t>一、基本职能及主要工作</w:t>
      </w:r>
      <w:r>
        <w:rPr>
          <w:rFonts w:ascii="Times New Roman" w:hAnsi="Times New Roman" w:eastAsia="仿宋_GB2312" w:cs="仿宋_GB2312"/>
          <w:color w:val="333333"/>
          <w:sz w:val="32"/>
          <w:szCs w:val="32"/>
        </w:rPr>
        <w:t>....................................</w:t>
      </w:r>
      <w:r>
        <w:rPr>
          <w:rFonts w:hint="eastAsia" w:ascii="Times New Roman" w:hAnsi="Times New Roman" w:eastAsia="仿宋_GB2312" w:cs="仿宋_GB2312"/>
          <w:color w:val="333333"/>
          <w:sz w:val="32"/>
          <w:szCs w:val="32"/>
        </w:rPr>
        <w:t>3</w:t>
      </w:r>
    </w:p>
    <w:p>
      <w:pPr>
        <w:pStyle w:val="6"/>
        <w:spacing w:line="360" w:lineRule="exact"/>
        <w:ind w:firstLine="640" w:firstLineChars="200"/>
        <w:jc w:val="both"/>
        <w:outlineLvl w:val="1"/>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（一）职能简介</w:t>
      </w:r>
      <w:r>
        <w:rPr>
          <w:rFonts w:ascii="Times New Roman" w:hAnsi="Times New Roman" w:eastAsia="仿宋_GB2312" w:cs="仿宋_GB2312"/>
          <w:color w:val="333333"/>
          <w:sz w:val="32"/>
          <w:szCs w:val="32"/>
        </w:rPr>
        <w:t>....................................................</w:t>
      </w:r>
      <w:r>
        <w:rPr>
          <w:rFonts w:hint="eastAsia" w:ascii="Times New Roman" w:hAnsi="Times New Roman" w:eastAsia="仿宋_GB2312" w:cs="仿宋_GB2312"/>
          <w:color w:val="333333"/>
          <w:sz w:val="32"/>
          <w:szCs w:val="32"/>
        </w:rPr>
        <w:t>3</w:t>
      </w:r>
    </w:p>
    <w:p>
      <w:pPr>
        <w:pStyle w:val="6"/>
        <w:spacing w:line="360" w:lineRule="exact"/>
        <w:ind w:firstLine="640" w:firstLineChars="200"/>
        <w:jc w:val="both"/>
        <w:outlineLvl w:val="1"/>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（二）</w:t>
      </w:r>
      <w:r>
        <w:rPr>
          <w:rFonts w:ascii="Times New Roman" w:hAnsi="Times New Roman" w:eastAsia="仿宋_GB2312" w:cs="仿宋_GB2312"/>
          <w:color w:val="333333"/>
          <w:sz w:val="32"/>
          <w:szCs w:val="32"/>
        </w:rPr>
        <w:t>2021</w:t>
      </w:r>
      <w:r>
        <w:rPr>
          <w:rFonts w:hint="eastAsia" w:ascii="Times New Roman" w:hAnsi="Times New Roman" w:eastAsia="仿宋_GB2312" w:cs="仿宋_GB2312"/>
          <w:color w:val="333333"/>
          <w:sz w:val="32"/>
          <w:szCs w:val="32"/>
        </w:rPr>
        <w:t>年重点工作</w:t>
      </w:r>
      <w:r>
        <w:rPr>
          <w:rFonts w:ascii="Times New Roman" w:hAnsi="Times New Roman" w:eastAsia="仿宋_GB2312" w:cs="仿宋_GB2312"/>
          <w:color w:val="333333"/>
          <w:sz w:val="32"/>
          <w:szCs w:val="32"/>
        </w:rPr>
        <w:t>.......................................</w:t>
      </w:r>
      <w:r>
        <w:rPr>
          <w:rFonts w:hint="eastAsia" w:ascii="Times New Roman" w:hAnsi="Times New Roman" w:eastAsia="仿宋_GB2312" w:cs="仿宋_GB2312"/>
          <w:color w:val="333333"/>
          <w:sz w:val="32"/>
          <w:szCs w:val="32"/>
        </w:rPr>
        <w:t>3</w:t>
      </w:r>
    </w:p>
    <w:p>
      <w:pPr>
        <w:pStyle w:val="6"/>
        <w:spacing w:line="360" w:lineRule="exact"/>
        <w:ind w:firstLine="640" w:firstLineChars="200"/>
        <w:jc w:val="both"/>
        <w:outlineLvl w:val="1"/>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二、机构设置情况</w:t>
      </w:r>
      <w:r>
        <w:rPr>
          <w:rFonts w:ascii="Times New Roman" w:hAnsi="Times New Roman" w:eastAsia="仿宋_GB2312" w:cs="仿宋_GB2312"/>
          <w:color w:val="333333"/>
          <w:sz w:val="32"/>
          <w:szCs w:val="32"/>
        </w:rPr>
        <w:t>................................................</w:t>
      </w:r>
      <w:r>
        <w:rPr>
          <w:rFonts w:hint="eastAsia" w:ascii="Times New Roman" w:hAnsi="Times New Roman" w:eastAsia="仿宋_GB2312" w:cs="仿宋_GB2312"/>
          <w:color w:val="333333"/>
          <w:sz w:val="32"/>
          <w:szCs w:val="32"/>
        </w:rPr>
        <w:t>4</w:t>
      </w:r>
    </w:p>
    <w:p>
      <w:pPr>
        <w:pStyle w:val="6"/>
        <w:spacing w:line="360" w:lineRule="exact"/>
        <w:ind w:firstLine="640" w:firstLineChars="200"/>
        <w:jc w:val="both"/>
        <w:outlineLvl w:val="1"/>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三、收支预算情况说明</w:t>
      </w:r>
      <w:r>
        <w:rPr>
          <w:rFonts w:ascii="Times New Roman" w:hAnsi="Times New Roman" w:eastAsia="仿宋_GB2312" w:cs="仿宋_GB2312"/>
          <w:color w:val="333333"/>
          <w:sz w:val="32"/>
          <w:szCs w:val="32"/>
        </w:rPr>
        <w:t>........................................</w:t>
      </w:r>
      <w:r>
        <w:rPr>
          <w:rFonts w:hint="eastAsia" w:ascii="Times New Roman" w:hAnsi="Times New Roman" w:eastAsia="仿宋_GB2312" w:cs="仿宋_GB2312"/>
          <w:color w:val="333333"/>
          <w:sz w:val="32"/>
          <w:szCs w:val="32"/>
        </w:rPr>
        <w:t>4</w:t>
      </w:r>
    </w:p>
    <w:p>
      <w:pPr>
        <w:pStyle w:val="6"/>
        <w:spacing w:line="360" w:lineRule="exact"/>
        <w:ind w:firstLine="640" w:firstLineChars="200"/>
        <w:jc w:val="both"/>
        <w:outlineLvl w:val="1"/>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（一）收入预算情况</w:t>
      </w:r>
      <w:r>
        <w:rPr>
          <w:rFonts w:ascii="Times New Roman" w:hAnsi="Times New Roman" w:eastAsia="仿宋_GB2312" w:cs="仿宋_GB2312"/>
          <w:color w:val="333333"/>
          <w:sz w:val="32"/>
          <w:szCs w:val="32"/>
        </w:rPr>
        <w:t>............................................</w:t>
      </w:r>
      <w:r>
        <w:rPr>
          <w:rFonts w:hint="eastAsia" w:ascii="Times New Roman" w:hAnsi="Times New Roman" w:eastAsia="仿宋_GB2312" w:cs="仿宋_GB2312"/>
          <w:color w:val="333333"/>
          <w:sz w:val="32"/>
          <w:szCs w:val="32"/>
        </w:rPr>
        <w:t>4</w:t>
      </w:r>
    </w:p>
    <w:p>
      <w:pPr>
        <w:pStyle w:val="6"/>
        <w:spacing w:line="360" w:lineRule="exact"/>
        <w:ind w:firstLine="640" w:firstLineChars="200"/>
        <w:jc w:val="both"/>
        <w:outlineLvl w:val="1"/>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（二）支出预算情况</w:t>
      </w:r>
      <w:r>
        <w:rPr>
          <w:rFonts w:ascii="Times New Roman" w:hAnsi="Times New Roman" w:eastAsia="仿宋_GB2312" w:cs="仿宋_GB2312"/>
          <w:color w:val="333333"/>
          <w:sz w:val="32"/>
          <w:szCs w:val="32"/>
        </w:rPr>
        <w:t>............................................</w:t>
      </w:r>
      <w:r>
        <w:rPr>
          <w:rFonts w:hint="eastAsia" w:ascii="Times New Roman" w:hAnsi="Times New Roman" w:eastAsia="仿宋_GB2312" w:cs="仿宋_GB2312"/>
          <w:color w:val="333333"/>
          <w:sz w:val="32"/>
          <w:szCs w:val="32"/>
        </w:rPr>
        <w:t>4</w:t>
      </w:r>
    </w:p>
    <w:p>
      <w:pPr>
        <w:pStyle w:val="6"/>
        <w:spacing w:line="360" w:lineRule="exact"/>
        <w:ind w:firstLine="640" w:firstLineChars="200"/>
        <w:jc w:val="both"/>
        <w:outlineLvl w:val="1"/>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四、财政拨款收支预算情况说明</w:t>
      </w:r>
      <w:r>
        <w:rPr>
          <w:rFonts w:ascii="Times New Roman" w:hAnsi="Times New Roman" w:eastAsia="仿宋_GB2312" w:cs="仿宋_GB2312"/>
          <w:color w:val="333333"/>
          <w:sz w:val="32"/>
          <w:szCs w:val="32"/>
        </w:rPr>
        <w:t>........................</w:t>
      </w:r>
      <w:r>
        <w:rPr>
          <w:rFonts w:hint="eastAsia" w:ascii="Times New Roman" w:hAnsi="Times New Roman" w:eastAsia="仿宋_GB2312" w:cs="仿宋_GB2312"/>
          <w:color w:val="333333"/>
          <w:sz w:val="32"/>
          <w:szCs w:val="32"/>
        </w:rPr>
        <w:t>5</w:t>
      </w:r>
    </w:p>
    <w:p>
      <w:pPr>
        <w:pStyle w:val="6"/>
        <w:spacing w:line="360" w:lineRule="exact"/>
        <w:ind w:firstLine="640" w:firstLineChars="200"/>
        <w:jc w:val="both"/>
        <w:outlineLvl w:val="1"/>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五、一般公共预算当年拨款情况说明</w:t>
      </w:r>
      <w:r>
        <w:rPr>
          <w:rFonts w:ascii="Times New Roman" w:hAnsi="Times New Roman" w:eastAsia="仿宋_GB2312" w:cs="仿宋_GB2312"/>
          <w:color w:val="333333"/>
          <w:sz w:val="32"/>
          <w:szCs w:val="32"/>
        </w:rPr>
        <w:t>................</w:t>
      </w:r>
      <w:r>
        <w:rPr>
          <w:rFonts w:hint="eastAsia" w:ascii="Times New Roman" w:hAnsi="Times New Roman" w:eastAsia="仿宋_GB2312" w:cs="仿宋_GB2312"/>
          <w:color w:val="333333"/>
          <w:sz w:val="32"/>
          <w:szCs w:val="32"/>
        </w:rPr>
        <w:t>5</w:t>
      </w:r>
    </w:p>
    <w:p>
      <w:pPr>
        <w:pStyle w:val="6"/>
        <w:spacing w:line="360" w:lineRule="exact"/>
        <w:ind w:firstLine="640" w:firstLineChars="200"/>
        <w:jc w:val="both"/>
        <w:outlineLvl w:val="1"/>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（一）一般公共预算当年拨款规模变化情况</w:t>
      </w:r>
      <w:r>
        <w:rPr>
          <w:rFonts w:ascii="Times New Roman" w:hAnsi="Times New Roman" w:eastAsia="仿宋_GB2312" w:cs="仿宋_GB2312"/>
          <w:color w:val="333333"/>
          <w:sz w:val="32"/>
          <w:szCs w:val="32"/>
        </w:rPr>
        <w:t>...</w:t>
      </w:r>
      <w:r>
        <w:rPr>
          <w:rFonts w:hint="eastAsia" w:ascii="Times New Roman" w:hAnsi="Times New Roman" w:eastAsia="仿宋_GB2312" w:cs="仿宋_GB2312"/>
          <w:color w:val="333333"/>
          <w:sz w:val="32"/>
          <w:szCs w:val="32"/>
        </w:rPr>
        <w:t>5</w:t>
      </w:r>
    </w:p>
    <w:p>
      <w:pPr>
        <w:pStyle w:val="6"/>
        <w:spacing w:line="360" w:lineRule="exact"/>
        <w:ind w:firstLine="640" w:firstLineChars="200"/>
        <w:jc w:val="both"/>
        <w:outlineLvl w:val="1"/>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（二）一般公共预算当年拨款结构情况</w:t>
      </w:r>
      <w:r>
        <w:rPr>
          <w:rFonts w:ascii="Times New Roman" w:hAnsi="Times New Roman" w:eastAsia="仿宋_GB2312" w:cs="仿宋_GB2312"/>
          <w:color w:val="333333"/>
          <w:sz w:val="32"/>
          <w:szCs w:val="32"/>
        </w:rPr>
        <w:t>............5</w:t>
      </w:r>
    </w:p>
    <w:p>
      <w:pPr>
        <w:pStyle w:val="6"/>
        <w:spacing w:line="360" w:lineRule="exact"/>
        <w:ind w:firstLine="640" w:firstLineChars="200"/>
        <w:jc w:val="both"/>
        <w:outlineLvl w:val="1"/>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（三）一般公共预算当年拨款具体使用情况</w:t>
      </w:r>
      <w:r>
        <w:rPr>
          <w:rFonts w:ascii="Times New Roman" w:hAnsi="Times New Roman" w:eastAsia="仿宋_GB2312" w:cs="仿宋_GB2312"/>
          <w:color w:val="333333"/>
          <w:sz w:val="32"/>
          <w:szCs w:val="32"/>
        </w:rPr>
        <w:t>...</w:t>
      </w:r>
      <w:r>
        <w:rPr>
          <w:rFonts w:hint="eastAsia" w:ascii="Times New Roman" w:hAnsi="Times New Roman" w:eastAsia="仿宋_GB2312" w:cs="仿宋_GB2312"/>
          <w:color w:val="333333"/>
          <w:sz w:val="32"/>
          <w:szCs w:val="32"/>
        </w:rPr>
        <w:t>5</w:t>
      </w:r>
    </w:p>
    <w:p>
      <w:pPr>
        <w:pStyle w:val="6"/>
        <w:spacing w:line="360" w:lineRule="exact"/>
        <w:ind w:firstLine="640" w:firstLineChars="200"/>
        <w:jc w:val="both"/>
        <w:outlineLvl w:val="1"/>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六、一般公共预算基本支出情况说明</w:t>
      </w:r>
      <w:r>
        <w:rPr>
          <w:rFonts w:ascii="Times New Roman" w:hAnsi="Times New Roman" w:eastAsia="仿宋_GB2312" w:cs="仿宋_GB2312"/>
          <w:color w:val="333333"/>
          <w:sz w:val="32"/>
          <w:szCs w:val="32"/>
        </w:rPr>
        <w:t>................</w:t>
      </w:r>
      <w:r>
        <w:rPr>
          <w:rFonts w:hint="eastAsia" w:ascii="Times New Roman" w:hAnsi="Times New Roman" w:eastAsia="仿宋_GB2312" w:cs="仿宋_GB2312"/>
          <w:color w:val="333333"/>
          <w:sz w:val="32"/>
          <w:szCs w:val="32"/>
        </w:rPr>
        <w:t>6</w:t>
      </w:r>
    </w:p>
    <w:p>
      <w:pPr>
        <w:pStyle w:val="6"/>
        <w:spacing w:line="360" w:lineRule="exact"/>
        <w:ind w:firstLine="640" w:firstLineChars="200"/>
        <w:jc w:val="both"/>
        <w:outlineLvl w:val="1"/>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七、</w:t>
      </w:r>
      <w:r>
        <w:rPr>
          <w:rFonts w:ascii="Times New Roman" w:hAnsi="Times New Roman" w:eastAsia="仿宋_GB2312" w:cs="仿宋_GB2312"/>
          <w:color w:val="333333"/>
          <w:sz w:val="32"/>
          <w:szCs w:val="32"/>
        </w:rPr>
        <w:t>“</w:t>
      </w:r>
      <w:r>
        <w:rPr>
          <w:rFonts w:hint="eastAsia" w:ascii="Times New Roman" w:hAnsi="Times New Roman" w:eastAsia="仿宋_GB2312" w:cs="仿宋_GB2312"/>
          <w:color w:val="333333"/>
          <w:sz w:val="32"/>
          <w:szCs w:val="32"/>
        </w:rPr>
        <w:t>三公</w:t>
      </w:r>
      <w:r>
        <w:rPr>
          <w:rFonts w:ascii="Times New Roman" w:hAnsi="Times New Roman" w:eastAsia="仿宋_GB2312" w:cs="仿宋_GB2312"/>
          <w:color w:val="333333"/>
          <w:sz w:val="32"/>
          <w:szCs w:val="32"/>
        </w:rPr>
        <w:t>”</w:t>
      </w:r>
      <w:r>
        <w:rPr>
          <w:rFonts w:hint="eastAsia" w:ascii="Times New Roman" w:hAnsi="Times New Roman" w:eastAsia="仿宋_GB2312" w:cs="仿宋_GB2312"/>
          <w:color w:val="333333"/>
          <w:sz w:val="32"/>
          <w:szCs w:val="32"/>
        </w:rPr>
        <w:t>经费财政拨款预算安排情况说明</w:t>
      </w:r>
      <w:r>
        <w:rPr>
          <w:rFonts w:ascii="Times New Roman" w:hAnsi="Times New Roman" w:eastAsia="仿宋_GB2312" w:cs="仿宋_GB2312"/>
          <w:color w:val="333333"/>
          <w:sz w:val="32"/>
          <w:szCs w:val="32"/>
        </w:rPr>
        <w:t>....</w:t>
      </w:r>
      <w:r>
        <w:rPr>
          <w:rFonts w:hint="eastAsia" w:ascii="Times New Roman" w:hAnsi="Times New Roman" w:eastAsia="仿宋_GB2312" w:cs="仿宋_GB2312"/>
          <w:color w:val="333333"/>
          <w:sz w:val="32"/>
          <w:szCs w:val="32"/>
        </w:rPr>
        <w:t>7</w:t>
      </w:r>
    </w:p>
    <w:p>
      <w:pPr>
        <w:pStyle w:val="6"/>
        <w:spacing w:line="360" w:lineRule="exact"/>
        <w:ind w:firstLine="640" w:firstLineChars="200"/>
        <w:jc w:val="both"/>
        <w:outlineLvl w:val="1"/>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八、政府性基金预算支出情况说明</w:t>
      </w:r>
      <w:r>
        <w:rPr>
          <w:rFonts w:ascii="Times New Roman" w:hAnsi="Times New Roman" w:eastAsia="仿宋_GB2312" w:cs="仿宋_GB2312"/>
          <w:color w:val="333333"/>
          <w:sz w:val="32"/>
          <w:szCs w:val="32"/>
        </w:rPr>
        <w:t>.....................</w:t>
      </w:r>
      <w:r>
        <w:rPr>
          <w:rFonts w:hint="eastAsia" w:ascii="Times New Roman" w:hAnsi="Times New Roman" w:eastAsia="仿宋_GB2312" w:cs="仿宋_GB2312"/>
          <w:color w:val="333333"/>
          <w:sz w:val="32"/>
          <w:szCs w:val="32"/>
        </w:rPr>
        <w:t>8</w:t>
      </w:r>
    </w:p>
    <w:p>
      <w:pPr>
        <w:pStyle w:val="6"/>
        <w:spacing w:line="360" w:lineRule="exact"/>
        <w:ind w:firstLine="640" w:firstLineChars="200"/>
        <w:jc w:val="both"/>
        <w:outlineLvl w:val="1"/>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九、其他重要事项的情况说明</w:t>
      </w:r>
      <w:r>
        <w:rPr>
          <w:rFonts w:ascii="Times New Roman" w:hAnsi="Times New Roman" w:eastAsia="仿宋_GB2312" w:cs="仿宋_GB2312"/>
          <w:color w:val="333333"/>
          <w:sz w:val="32"/>
          <w:szCs w:val="32"/>
        </w:rPr>
        <w:t>............................</w:t>
      </w:r>
      <w:r>
        <w:rPr>
          <w:rFonts w:hint="eastAsia" w:ascii="Times New Roman" w:hAnsi="Times New Roman" w:eastAsia="仿宋_GB2312" w:cs="仿宋_GB2312"/>
          <w:color w:val="333333"/>
          <w:sz w:val="32"/>
          <w:szCs w:val="32"/>
        </w:rPr>
        <w:t>.8</w:t>
      </w:r>
    </w:p>
    <w:p>
      <w:pPr>
        <w:pStyle w:val="6"/>
        <w:spacing w:line="360" w:lineRule="exact"/>
        <w:ind w:firstLine="640" w:firstLineChars="200"/>
        <w:jc w:val="both"/>
        <w:outlineLvl w:val="1"/>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（一）机关运行经费</w:t>
      </w:r>
      <w:r>
        <w:rPr>
          <w:rFonts w:ascii="Times New Roman" w:hAnsi="Times New Roman" w:eastAsia="仿宋_GB2312" w:cs="仿宋_GB2312"/>
          <w:color w:val="333333"/>
          <w:sz w:val="32"/>
          <w:szCs w:val="32"/>
        </w:rPr>
        <w:t>............................................</w:t>
      </w:r>
      <w:r>
        <w:rPr>
          <w:rFonts w:hint="eastAsia" w:ascii="Times New Roman" w:hAnsi="Times New Roman" w:eastAsia="仿宋_GB2312" w:cs="仿宋_GB2312"/>
          <w:color w:val="333333"/>
          <w:sz w:val="32"/>
          <w:szCs w:val="32"/>
        </w:rPr>
        <w:t>.8</w:t>
      </w:r>
    </w:p>
    <w:p>
      <w:pPr>
        <w:pStyle w:val="6"/>
        <w:spacing w:line="360" w:lineRule="exact"/>
        <w:ind w:firstLine="640" w:firstLineChars="200"/>
        <w:jc w:val="both"/>
        <w:outlineLvl w:val="1"/>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（二）国有资产占有使用情况</w:t>
      </w:r>
      <w:r>
        <w:rPr>
          <w:rFonts w:ascii="Times New Roman" w:hAnsi="Times New Roman" w:eastAsia="仿宋_GB2312" w:cs="仿宋_GB2312"/>
          <w:color w:val="333333"/>
          <w:sz w:val="32"/>
          <w:szCs w:val="32"/>
        </w:rPr>
        <w:t>............................</w:t>
      </w:r>
      <w:r>
        <w:rPr>
          <w:rFonts w:hint="eastAsia" w:ascii="Times New Roman" w:hAnsi="Times New Roman" w:eastAsia="仿宋_GB2312" w:cs="仿宋_GB2312"/>
          <w:color w:val="333333"/>
          <w:sz w:val="32"/>
          <w:szCs w:val="32"/>
        </w:rPr>
        <w:t>.8</w:t>
      </w:r>
    </w:p>
    <w:p>
      <w:pPr>
        <w:pStyle w:val="6"/>
        <w:spacing w:line="360" w:lineRule="exact"/>
        <w:ind w:firstLine="640" w:firstLineChars="200"/>
        <w:jc w:val="both"/>
        <w:outlineLvl w:val="1"/>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（三）绩效目标设置情况</w:t>
      </w:r>
      <w:r>
        <w:rPr>
          <w:rFonts w:ascii="Times New Roman" w:hAnsi="Times New Roman" w:eastAsia="仿宋_GB2312" w:cs="仿宋_GB2312"/>
          <w:color w:val="333333"/>
          <w:sz w:val="32"/>
          <w:szCs w:val="32"/>
        </w:rPr>
        <w:t>....................................</w:t>
      </w:r>
      <w:r>
        <w:rPr>
          <w:rFonts w:hint="eastAsia" w:ascii="Times New Roman" w:hAnsi="Times New Roman" w:eastAsia="仿宋_GB2312" w:cs="仿宋_GB2312"/>
          <w:color w:val="333333"/>
          <w:sz w:val="32"/>
          <w:szCs w:val="32"/>
        </w:rPr>
        <w:t>8</w:t>
      </w:r>
    </w:p>
    <w:p>
      <w:pPr>
        <w:pStyle w:val="6"/>
        <w:spacing w:line="360" w:lineRule="exact"/>
        <w:ind w:firstLine="640" w:firstLineChars="200"/>
        <w:jc w:val="both"/>
        <w:outlineLvl w:val="1"/>
        <w:rPr>
          <w:rFonts w:ascii="Times New Roman" w:hAnsi="Times New Roman" w:eastAsia="仿宋_GB2312" w:cs="仿宋_GB2312"/>
          <w:color w:val="333333"/>
          <w:sz w:val="32"/>
          <w:szCs w:val="32"/>
        </w:rPr>
      </w:pPr>
      <w:r>
        <w:rPr>
          <w:rFonts w:hint="eastAsia" w:ascii="Times New Roman" w:hAnsi="Times New Roman" w:eastAsia="仿宋_GB2312" w:cs="仿宋_GB2312"/>
          <w:color w:val="333333"/>
          <w:sz w:val="32"/>
          <w:szCs w:val="32"/>
        </w:rPr>
        <w:t>十、名词解释</w:t>
      </w:r>
      <w:r>
        <w:rPr>
          <w:rFonts w:ascii="Times New Roman" w:hAnsi="Times New Roman" w:eastAsia="仿宋_GB2312" w:cs="仿宋_GB2312"/>
          <w:color w:val="333333"/>
          <w:sz w:val="32"/>
          <w:szCs w:val="32"/>
        </w:rPr>
        <w:t>........................................................</w:t>
      </w:r>
      <w:r>
        <w:rPr>
          <w:rFonts w:hint="eastAsia" w:ascii="Times New Roman" w:hAnsi="Times New Roman" w:eastAsia="仿宋_GB2312" w:cs="仿宋_GB2312"/>
          <w:color w:val="333333"/>
          <w:sz w:val="32"/>
          <w:szCs w:val="32"/>
        </w:rPr>
        <w:t>8</w:t>
      </w:r>
    </w:p>
    <w:p>
      <w:pPr>
        <w:spacing w:line="360" w:lineRule="exact"/>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500" w:lineRule="exact"/>
        <w:rPr>
          <w:rFonts w:ascii="方正小标宋_GBK" w:hAnsi="宋体" w:eastAsia="方正小标宋_GBK"/>
          <w:sz w:val="44"/>
          <w:szCs w:val="44"/>
          <w:u w:val="single"/>
        </w:rPr>
      </w:pPr>
    </w:p>
    <w:p>
      <w:pPr>
        <w:spacing w:line="600" w:lineRule="exact"/>
        <w:ind w:firstLine="640" w:firstLineChars="200"/>
        <w:jc w:val="left"/>
        <w:rPr>
          <w:rFonts w:ascii="黑体" w:hAnsi="黑体" w:eastAsia="黑体"/>
        </w:rPr>
      </w:pPr>
      <w:r>
        <w:rPr>
          <w:rFonts w:hint="eastAsia" w:ascii="黑体" w:hAnsi="黑体" w:eastAsia="黑体"/>
        </w:rPr>
        <w:t>一、基本职能及主要工作</w:t>
      </w:r>
    </w:p>
    <w:p>
      <w:pPr>
        <w:spacing w:line="600" w:lineRule="exact"/>
        <w:ind w:firstLine="642" w:firstLineChars="200"/>
        <w:jc w:val="left"/>
        <w:rPr>
          <w:rFonts w:ascii="楷体" w:hAnsi="楷体" w:eastAsia="楷体"/>
          <w:sz w:val="44"/>
          <w:szCs w:val="44"/>
          <w:u w:val="single"/>
        </w:rPr>
      </w:pPr>
      <w:r>
        <w:rPr>
          <w:rFonts w:hint="eastAsia" w:ascii="楷体" w:hAnsi="楷体" w:eastAsia="楷体"/>
          <w:b/>
        </w:rPr>
        <w:t>（一）</w:t>
      </w:r>
      <w:r>
        <w:rPr>
          <w:rFonts w:hint="eastAsia" w:ascii="楷体" w:hAnsi="楷体" w:eastAsia="楷体"/>
        </w:rPr>
        <w:t>攀枝花市科技基础条件平台服务中心职能简介</w:t>
      </w:r>
    </w:p>
    <w:p>
      <w:pPr>
        <w:pStyle w:val="6"/>
        <w:shd w:val="clear" w:color="auto" w:fill="FFFFFF"/>
        <w:spacing w:before="0" w:beforeAutospacing="0" w:after="0" w:afterAutospacing="0" w:line="600" w:lineRule="exact"/>
        <w:ind w:firstLine="640" w:firstLineChars="200"/>
        <w:rPr>
          <w:rFonts w:ascii="仿宋_GB2312" w:hAnsi="Arial" w:eastAsia="仿宋_GB2312" w:cs="Arial"/>
          <w:color w:val="333333"/>
          <w:sz w:val="32"/>
          <w:szCs w:val="32"/>
        </w:rPr>
      </w:pPr>
      <w:r>
        <w:rPr>
          <w:rFonts w:hint="eastAsia" w:ascii="仿宋_GB2312" w:hAnsi="Arial" w:eastAsia="仿宋_GB2312" w:cs="Arial"/>
          <w:color w:val="333333"/>
          <w:sz w:val="32"/>
          <w:szCs w:val="32"/>
        </w:rPr>
        <w:t>研究实验基地和大型科学仪器设备共享平台的建设与管理，市级重点实验室的管理，自然科技资源共享平台的建设和管理，科学数据共享平台的建设与管理，科技文献共享平台的建设与管理，成果转化公共服务平台的建设与管理，网络科技环境平台的建设与管理，全市技术创新人才库的建设与管理，承担农村产业科技服务工作。</w:t>
      </w:r>
    </w:p>
    <w:p>
      <w:pPr>
        <w:pStyle w:val="6"/>
        <w:shd w:val="clear" w:color="auto" w:fill="FFFFFF"/>
        <w:spacing w:before="0" w:beforeAutospacing="0" w:after="0" w:afterAutospacing="0" w:line="600" w:lineRule="exact"/>
        <w:ind w:firstLine="627" w:firstLineChars="196"/>
        <w:rPr>
          <w:rFonts w:ascii="楷体" w:hAnsi="楷体" w:eastAsia="楷体" w:cs="Arial"/>
          <w:color w:val="333333"/>
          <w:sz w:val="32"/>
          <w:szCs w:val="32"/>
        </w:rPr>
      </w:pPr>
      <w:r>
        <w:rPr>
          <w:rFonts w:hint="eastAsia" w:ascii="楷体" w:hAnsi="楷体" w:eastAsia="楷体"/>
          <w:sz w:val="32"/>
          <w:szCs w:val="32"/>
        </w:rPr>
        <w:t>（二）攀枝花市科技基础条件平台服务中心2021年重点工作</w:t>
      </w:r>
      <w:r>
        <w:rPr>
          <w:rFonts w:hint="eastAsia" w:ascii="楷体" w:hAnsi="楷体" w:eastAsia="楷体" w:cs="Arial"/>
          <w:color w:val="333333"/>
          <w:sz w:val="32"/>
          <w:szCs w:val="32"/>
        </w:rPr>
        <w:t>　</w:t>
      </w:r>
    </w:p>
    <w:p>
      <w:pPr>
        <w:pStyle w:val="6"/>
        <w:shd w:val="clear" w:color="auto" w:fill="FFFFFF"/>
        <w:spacing w:before="0" w:beforeAutospacing="0" w:after="0" w:afterAutospacing="0" w:line="600" w:lineRule="exact"/>
        <w:ind w:firstLine="627" w:firstLineChars="196"/>
        <w:rPr>
          <w:rFonts w:ascii="仿宋_GB2312" w:hAnsi="Arial" w:eastAsia="仿宋_GB2312" w:cs="Arial"/>
          <w:color w:val="333333"/>
          <w:sz w:val="32"/>
          <w:szCs w:val="32"/>
        </w:rPr>
      </w:pPr>
      <w:r>
        <w:rPr>
          <w:rFonts w:hint="eastAsia" w:ascii="仿宋_GB2312" w:hAnsi="Arial" w:eastAsia="仿宋_GB2312" w:cs="Arial"/>
          <w:color w:val="333333"/>
          <w:sz w:val="32"/>
          <w:szCs w:val="32"/>
        </w:rPr>
        <w:t>1.服务市科技局中心工作，为局系统提供网络和信息化服务，按要求完成科知局网站，公众信息网上版块和科技局微信、微博的日常运维，更新政府信息公开目录信息，保证网络安全和网站安全。</w:t>
      </w:r>
    </w:p>
    <w:p>
      <w:pPr>
        <w:pStyle w:val="6"/>
        <w:shd w:val="clear" w:color="auto" w:fill="FFFFFF"/>
        <w:spacing w:before="0" w:beforeAutospacing="0" w:after="0" w:afterAutospacing="0" w:line="600" w:lineRule="exact"/>
        <w:rPr>
          <w:rFonts w:ascii="仿宋_GB2312" w:hAnsi="Arial" w:eastAsia="仿宋_GB2312" w:cs="Arial"/>
          <w:color w:val="333333"/>
          <w:sz w:val="32"/>
          <w:szCs w:val="32"/>
        </w:rPr>
      </w:pPr>
      <w:r>
        <w:rPr>
          <w:rFonts w:hint="eastAsia" w:ascii="仿宋_GB2312" w:hAnsi="Arial" w:eastAsia="仿宋_GB2312" w:cs="Arial"/>
          <w:color w:val="333333"/>
          <w:sz w:val="32"/>
          <w:szCs w:val="32"/>
        </w:rPr>
        <w:t>　　2.发挥平台职能，试点科技基础平台建设、管理和应用工作。重点放在大型科研仪器共享平台制度建设，作用发挥上，高分数据应用项目试点和争取数据分发本地化，强化农村产业技术服务，承接省级农村领域科技项目管理，开展农业科技成果转化工作，培训为重点的农业科技推广上。</w:t>
      </w:r>
    </w:p>
    <w:p>
      <w:pPr>
        <w:pStyle w:val="6"/>
        <w:shd w:val="clear" w:color="auto" w:fill="FFFFFF"/>
        <w:spacing w:before="0" w:beforeAutospacing="0" w:after="0" w:afterAutospacing="0" w:line="600" w:lineRule="exact"/>
        <w:ind w:firstLine="630"/>
        <w:rPr>
          <w:rFonts w:ascii="仿宋_GB2312" w:hAnsi="Arial" w:eastAsia="仿宋_GB2312" w:cs="Arial"/>
          <w:color w:val="333333"/>
          <w:sz w:val="32"/>
          <w:szCs w:val="32"/>
        </w:rPr>
      </w:pPr>
      <w:r>
        <w:rPr>
          <w:rFonts w:hint="eastAsia" w:ascii="仿宋_GB2312" w:hAnsi="Arial" w:eastAsia="仿宋_GB2312" w:cs="Arial"/>
          <w:color w:val="333333"/>
          <w:sz w:val="32"/>
          <w:szCs w:val="32"/>
        </w:rPr>
        <w:t>3.突出科技服务，提升平台显示度工作。重点放在依托农技110建设攀枝花市科技扶贫在线，实现与省科技厅该项工作的无缝对接；多形式开展成果评价，成果登记；开展科技查新，科技项目服务，开展科技会展服务，科学数据和科技文献二次加工服务。</w:t>
      </w:r>
    </w:p>
    <w:p>
      <w:pPr>
        <w:pStyle w:val="6"/>
        <w:shd w:val="clear" w:color="auto" w:fill="FFFFFF"/>
        <w:spacing w:before="0" w:beforeAutospacing="0" w:after="0" w:afterAutospacing="0" w:line="600" w:lineRule="exact"/>
        <w:ind w:firstLine="630"/>
        <w:rPr>
          <w:rFonts w:ascii="仿宋_GB2312" w:hAnsi="Arial" w:eastAsia="仿宋_GB2312" w:cs="Arial"/>
          <w:color w:val="333333"/>
          <w:sz w:val="32"/>
          <w:szCs w:val="32"/>
        </w:rPr>
      </w:pPr>
      <w:r>
        <w:rPr>
          <w:rFonts w:hint="eastAsia" w:ascii="黑体" w:hAnsi="黑体" w:eastAsia="黑体"/>
          <w:sz w:val="32"/>
          <w:szCs w:val="32"/>
        </w:rPr>
        <w:t>二、</w:t>
      </w:r>
      <w:r>
        <w:rPr>
          <w:rFonts w:eastAsia="黑体"/>
          <w:sz w:val="32"/>
          <w:szCs w:val="32"/>
        </w:rPr>
        <w:t>机构设置情况</w:t>
      </w:r>
    </w:p>
    <w:p>
      <w:pPr>
        <w:spacing w:line="600" w:lineRule="exact"/>
        <w:ind w:firstLine="640" w:firstLineChars="200"/>
        <w:rPr>
          <w:rFonts w:hint="eastAsia" w:ascii="仿宋_GB2312" w:hAnsi="Arial" w:eastAsia="仿宋_GB2312" w:cs="Arial"/>
          <w:color w:val="333333"/>
          <w:kern w:val="0"/>
          <w:sz w:val="32"/>
          <w:szCs w:val="32"/>
          <w:lang w:val="en-US" w:eastAsia="zh-CN" w:bidi="ar-SA"/>
        </w:rPr>
      </w:pPr>
      <w:r>
        <w:rPr>
          <w:rFonts w:hint="eastAsia" w:ascii="仿宋_GB2312" w:hAnsi="Arial" w:eastAsia="仿宋_GB2312" w:cs="Arial"/>
          <w:color w:val="333333"/>
          <w:kern w:val="0"/>
          <w:sz w:val="32"/>
          <w:szCs w:val="32"/>
          <w:lang w:val="en-US" w:eastAsia="zh-CN" w:bidi="ar-SA"/>
        </w:rPr>
        <w:t>攀枝花市科技基础条件平台服务中心下属非独立核算单位0个，其中行政单位0个，参照公务员法管理的事业单位0个，其他事业单位0个。</w:t>
      </w:r>
    </w:p>
    <w:p>
      <w:pPr>
        <w:spacing w:line="600" w:lineRule="exact"/>
        <w:ind w:firstLine="640" w:firstLineChars="200"/>
        <w:rPr>
          <w:rFonts w:ascii="黑体" w:hAnsi="黑体" w:eastAsia="黑体"/>
        </w:rPr>
      </w:pPr>
      <w:r>
        <w:rPr>
          <w:rFonts w:hint="eastAsia" w:ascii="黑体" w:hAnsi="黑体" w:eastAsia="黑体"/>
        </w:rPr>
        <w:t>三、收支预算情况说明</w:t>
      </w:r>
    </w:p>
    <w:p>
      <w:pPr>
        <w:spacing w:line="600" w:lineRule="exact"/>
        <w:ind w:firstLine="640" w:firstLineChars="200"/>
        <w:rPr>
          <w:rFonts w:ascii="仿宋_GB2312" w:hAnsi="Arial" w:cs="Arial"/>
          <w:color w:val="333333"/>
        </w:rPr>
      </w:pPr>
      <w:r>
        <w:rPr>
          <w:rFonts w:hint="eastAsia" w:ascii="仿宋_GB2312"/>
        </w:rPr>
        <w:t>按照综合预算的原则，</w:t>
      </w:r>
      <w:r>
        <w:rPr>
          <w:rFonts w:hint="eastAsia" w:ascii="仿宋_GB2312" w:hAnsi="Arial" w:cs="Arial"/>
          <w:color w:val="333333"/>
        </w:rPr>
        <w:t>攀枝花市科技基础条件平台服务中心</w:t>
      </w:r>
      <w:r>
        <w:rPr>
          <w:rFonts w:hint="eastAsia" w:ascii="仿宋_GB2312"/>
        </w:rPr>
        <w:t>所有收入和支出均纳入部门预算管理。收入包括：一般公共预算拨款收入</w:t>
      </w:r>
      <w:r>
        <w:rPr>
          <w:rFonts w:hint="eastAsia" w:ascii="仿宋_GB2312" w:hAnsi="Arial" w:cs="Arial"/>
          <w:color w:val="333333"/>
        </w:rPr>
        <w:t>181.68万元。</w:t>
      </w:r>
      <w:r>
        <w:rPr>
          <w:rFonts w:hint="eastAsia" w:ascii="仿宋_GB2312"/>
        </w:rPr>
        <w:t>支出包括：</w:t>
      </w:r>
      <w:r>
        <w:rPr>
          <w:rFonts w:hint="eastAsia" w:ascii="仿宋_GB2312" w:hAnsi="宋体" w:cs="宋体"/>
          <w:kern w:val="0"/>
        </w:rPr>
        <w:t>科学技术支出、社会保障和就业支出、住房保障支出。</w:t>
      </w:r>
      <w:r>
        <w:rPr>
          <w:rFonts w:hint="eastAsia" w:ascii="仿宋_GB2312" w:hAnsi="Arial" w:cs="Arial"/>
          <w:color w:val="333333"/>
        </w:rPr>
        <w:t>攀枝花市科技基础条件平台服务中心2021年收支总预算181.68万元。</w:t>
      </w:r>
      <w:r>
        <w:rPr>
          <w:rFonts w:ascii="仿宋_GB2312" w:hAnsi="Arial" w:cs="Arial"/>
          <w:color w:val="333333"/>
        </w:rPr>
        <w:t>比202</w:t>
      </w:r>
      <w:r>
        <w:rPr>
          <w:rFonts w:hint="eastAsia" w:ascii="仿宋_GB2312" w:hAnsi="Arial" w:cs="Arial"/>
          <w:color w:val="333333"/>
        </w:rPr>
        <w:t>0</w:t>
      </w:r>
      <w:r>
        <w:rPr>
          <w:rFonts w:ascii="仿宋_GB2312" w:hAnsi="Arial" w:cs="Arial"/>
          <w:color w:val="333333"/>
        </w:rPr>
        <w:t>年预算数</w:t>
      </w:r>
      <w:r>
        <w:rPr>
          <w:rFonts w:hint="eastAsia" w:ascii="仿宋_GB2312" w:hAnsi="Arial" w:cs="Arial"/>
          <w:color w:val="333333"/>
        </w:rPr>
        <w:t>增加11.49万元</w:t>
      </w:r>
      <w:r>
        <w:rPr>
          <w:rFonts w:ascii="仿宋_GB2312" w:hAnsi="Arial" w:cs="Arial"/>
          <w:color w:val="333333"/>
        </w:rPr>
        <w:t>，主要是</w:t>
      </w:r>
      <w:r>
        <w:rPr>
          <w:rFonts w:hint="eastAsia" w:ascii="仿宋_GB2312" w:hAnsi="Arial" w:cs="Arial"/>
          <w:color w:val="333333"/>
        </w:rPr>
        <w:t>2021年公招一名工作人员，人员经费增加。</w:t>
      </w:r>
    </w:p>
    <w:p>
      <w:pPr>
        <w:spacing w:line="600" w:lineRule="exact"/>
        <w:ind w:firstLine="640" w:firstLineChars="200"/>
        <w:rPr>
          <w:rFonts w:ascii="楷体" w:hAnsi="楷体" w:eastAsia="楷体" w:cs="宋体"/>
          <w:kern w:val="0"/>
        </w:rPr>
      </w:pPr>
      <w:r>
        <w:rPr>
          <w:rFonts w:hint="eastAsia" w:ascii="楷体" w:hAnsi="楷体" w:eastAsia="楷体"/>
        </w:rPr>
        <w:t>（一）收入预算情况</w:t>
      </w:r>
    </w:p>
    <w:p>
      <w:pPr>
        <w:spacing w:line="600" w:lineRule="exact"/>
        <w:ind w:firstLine="640" w:firstLineChars="200"/>
        <w:rPr>
          <w:rFonts w:ascii="仿宋_GB2312" w:hAnsi="宋体" w:cs="宋体"/>
          <w:kern w:val="0"/>
        </w:rPr>
      </w:pPr>
      <w:r>
        <w:rPr>
          <w:rFonts w:hint="eastAsia" w:ascii="仿宋_GB2312" w:hAnsi="Arial" w:cs="Arial"/>
          <w:color w:val="333333"/>
        </w:rPr>
        <w:t>攀枝花市科技基础条件平台服务中心</w:t>
      </w:r>
      <w:r>
        <w:rPr>
          <w:rFonts w:hint="eastAsia" w:ascii="仿宋_GB2312"/>
        </w:rPr>
        <w:t xml:space="preserve">2021年收入预算181.68万元，其中：上年结转0万元，占0%；一般公共预算拨款收入181.68万元，占100%；政府性基金预算拨款收入0万元，占0%；事业收入0万元，占0%； </w:t>
      </w:r>
    </w:p>
    <w:p>
      <w:pPr>
        <w:spacing w:line="600" w:lineRule="exact"/>
        <w:ind w:firstLine="640" w:firstLineChars="200"/>
        <w:rPr>
          <w:rFonts w:ascii="楷体" w:hAnsi="楷体" w:eastAsia="楷体"/>
        </w:rPr>
      </w:pPr>
      <w:r>
        <w:rPr>
          <w:rFonts w:hint="eastAsia" w:ascii="楷体" w:hAnsi="楷体" w:eastAsia="楷体"/>
        </w:rPr>
        <w:t>（二）支出预算情况</w:t>
      </w:r>
    </w:p>
    <w:p>
      <w:pPr>
        <w:spacing w:line="600" w:lineRule="exact"/>
        <w:ind w:firstLine="640" w:firstLineChars="200"/>
        <w:rPr>
          <w:rFonts w:ascii="仿宋_GB2312"/>
          <w:u w:val="single"/>
        </w:rPr>
      </w:pPr>
      <w:r>
        <w:rPr>
          <w:rFonts w:hint="eastAsia" w:ascii="仿宋_GB2312" w:hAnsi="Arial" w:cs="Arial"/>
          <w:color w:val="333333"/>
        </w:rPr>
        <w:t>攀枝花市科技基础条件平台服务中心</w:t>
      </w:r>
      <w:r>
        <w:rPr>
          <w:rFonts w:hint="eastAsia" w:ascii="仿宋_GB2312"/>
        </w:rPr>
        <w:t>2021年支出预算181.68万元，其中：基本支出179.68万元，占99%；项目支出2万元，占1%。</w:t>
      </w:r>
    </w:p>
    <w:p>
      <w:pPr>
        <w:spacing w:line="600" w:lineRule="exact"/>
        <w:ind w:firstLine="640" w:firstLineChars="200"/>
        <w:rPr>
          <w:rFonts w:ascii="黑体" w:hAnsi="黑体" w:eastAsia="黑体"/>
        </w:rPr>
      </w:pPr>
      <w:r>
        <w:rPr>
          <w:rFonts w:hint="eastAsia" w:ascii="黑体" w:hAnsi="黑体" w:eastAsia="黑体"/>
        </w:rPr>
        <w:t>四、财政拨款收支预算情况说明</w:t>
      </w:r>
    </w:p>
    <w:p>
      <w:pPr>
        <w:spacing w:line="600" w:lineRule="exact"/>
        <w:ind w:firstLine="640" w:firstLineChars="200"/>
        <w:rPr>
          <w:rFonts w:ascii="仿宋_GB2312"/>
        </w:rPr>
      </w:pPr>
      <w:r>
        <w:rPr>
          <w:rFonts w:hint="eastAsia" w:ascii="仿宋_GB2312" w:hAnsi="Arial" w:cs="Arial"/>
          <w:color w:val="333333"/>
        </w:rPr>
        <w:t>攀枝花市科技基础条件平台服务中心</w:t>
      </w:r>
      <w:r>
        <w:rPr>
          <w:rFonts w:hint="eastAsia" w:ascii="仿宋_GB2312"/>
        </w:rPr>
        <w:t>2021年财政拨款收支总预算181.68万元。收入包括：本年一般公共预算拨款收入181.68万元、支出包括：科学技术支出147.55万元、社会保障和就业支出20.64万元、住房保障支出13.49万元。</w:t>
      </w:r>
    </w:p>
    <w:p>
      <w:pPr>
        <w:spacing w:line="600" w:lineRule="exact"/>
        <w:ind w:firstLine="640" w:firstLineChars="200"/>
        <w:rPr>
          <w:rFonts w:ascii="黑体" w:hAnsi="黑体" w:eastAsia="黑体"/>
        </w:rPr>
      </w:pPr>
      <w:r>
        <w:rPr>
          <w:rFonts w:hint="eastAsia" w:ascii="黑体" w:hAnsi="黑体" w:eastAsia="黑体"/>
        </w:rPr>
        <w:t>五、一般公共预算当年拨款情况说明</w:t>
      </w:r>
    </w:p>
    <w:p>
      <w:pPr>
        <w:spacing w:line="600" w:lineRule="exact"/>
        <w:ind w:firstLine="642" w:firstLineChars="200"/>
        <w:rPr>
          <w:rFonts w:ascii="楷体" w:hAnsi="楷体" w:eastAsia="楷体"/>
          <w:b/>
          <w:bCs/>
        </w:rPr>
      </w:pPr>
      <w:r>
        <w:rPr>
          <w:rFonts w:hint="eastAsia" w:ascii="楷体" w:hAnsi="楷体" w:eastAsia="楷体"/>
          <w:b/>
          <w:bCs/>
        </w:rPr>
        <w:t>（一）一般公共预算当年拨款规模变化情况。</w:t>
      </w:r>
    </w:p>
    <w:p>
      <w:pPr>
        <w:spacing w:line="600" w:lineRule="exact"/>
        <w:ind w:firstLine="640" w:firstLineChars="200"/>
        <w:rPr>
          <w:rFonts w:ascii="仿宋_GB2312"/>
        </w:rPr>
      </w:pPr>
      <w:r>
        <w:rPr>
          <w:rFonts w:hint="eastAsia" w:ascii="仿宋_GB2312"/>
        </w:rPr>
        <w:t>攀枝花市科技基础条件平台服务中心2021年一般公共预算当年拨款181.68万元，比2020年预算数增加11.49万元，主要是我单位在2020年5月增加了对外公开招聘工作人员一名。</w:t>
      </w:r>
    </w:p>
    <w:p>
      <w:pPr>
        <w:spacing w:line="600" w:lineRule="exact"/>
        <w:ind w:firstLine="642" w:firstLineChars="200"/>
        <w:rPr>
          <w:rFonts w:ascii="仿宋_GB2312"/>
          <w:b/>
          <w:bCs/>
        </w:rPr>
      </w:pPr>
      <w:r>
        <w:rPr>
          <w:rFonts w:hint="eastAsia" w:ascii="仿宋_GB2312"/>
          <w:b/>
          <w:bCs/>
        </w:rPr>
        <w:t>（二）一般公共预算当年拨款结构情况。</w:t>
      </w:r>
    </w:p>
    <w:p>
      <w:pPr>
        <w:spacing w:line="600" w:lineRule="exact"/>
        <w:ind w:firstLine="640" w:firstLineChars="200"/>
        <w:rPr>
          <w:rFonts w:ascii="仿宋_GB2312"/>
        </w:rPr>
      </w:pPr>
      <w:r>
        <w:rPr>
          <w:rFonts w:hint="eastAsia" w:ascii="仿宋_GB2312"/>
        </w:rPr>
        <w:t>机构运行支出140.36万元，占77.26%；其他科技条件与服务支出2万元，占1.1%；其他科学技术支出5.2万元，占2.86%；事业单位离退休6.38万元，占3.51%；机关事业单位基本养老保险缴费出14.26万元，占7.85%；住房公积金13.49万元，占7.42%。</w:t>
      </w:r>
    </w:p>
    <w:p>
      <w:pPr>
        <w:spacing w:line="600" w:lineRule="exact"/>
        <w:ind w:firstLine="642" w:firstLineChars="200"/>
        <w:rPr>
          <w:rFonts w:ascii="楷体" w:hAnsi="楷体" w:eastAsia="楷体"/>
          <w:b/>
          <w:bCs/>
        </w:rPr>
      </w:pPr>
      <w:r>
        <w:rPr>
          <w:rFonts w:hint="eastAsia" w:ascii="楷体" w:hAnsi="楷体" w:eastAsia="楷体"/>
          <w:b/>
          <w:bCs/>
        </w:rPr>
        <w:t>（三）一般公共预算当年拨款具体使用情况。</w:t>
      </w:r>
    </w:p>
    <w:p>
      <w:pPr>
        <w:spacing w:line="600" w:lineRule="exact"/>
        <w:ind w:firstLine="640" w:firstLineChars="200"/>
      </w:pPr>
      <w:r>
        <w:rPr>
          <w:rFonts w:hint="eastAsia"/>
        </w:rPr>
        <w:t>1.科学技术支出（类）科技条件与服务（款）机构运行（项）2021年预算数为140.36万元，主要用于在职职工人员及公用经费使用，同时为在职工作人员提升业务能力的同时，逐步建立各领域人才梯队。</w:t>
      </w:r>
    </w:p>
    <w:p>
      <w:pPr>
        <w:spacing w:line="600" w:lineRule="exact"/>
        <w:ind w:firstLine="640" w:firstLineChars="200"/>
      </w:pPr>
      <w:r>
        <w:rPr>
          <w:rFonts w:hint="eastAsia"/>
        </w:rPr>
        <w:t>2.科学技术支出（类）科技条件与服务（款）其他科技条件与服务支出（项）2021年预算数为2万元，主要用于</w:t>
      </w:r>
      <w:r>
        <w:rPr>
          <w:rFonts w:hint="eastAsia" w:ascii="仿宋_GB2312"/>
        </w:rPr>
        <w:t>科技平台运行及维护费。</w:t>
      </w:r>
    </w:p>
    <w:p>
      <w:pPr>
        <w:spacing w:line="600" w:lineRule="exact"/>
        <w:ind w:firstLine="640" w:firstLineChars="200"/>
      </w:pPr>
      <w:r>
        <w:rPr>
          <w:rFonts w:hint="eastAsia"/>
        </w:rPr>
        <w:t>3.科学技术支出（类）其他科学技术支出（款）其他科学技术支出（项）2021年预算数为5.2万元，主要用于带薪年休假支出</w:t>
      </w:r>
      <w:r>
        <w:rPr>
          <w:rFonts w:hint="eastAsia" w:ascii="仿宋_GB2312"/>
        </w:rPr>
        <w:t>。</w:t>
      </w:r>
    </w:p>
    <w:p>
      <w:pPr>
        <w:spacing w:line="600" w:lineRule="exact"/>
        <w:ind w:firstLine="640" w:firstLineChars="200"/>
      </w:pPr>
      <w:r>
        <w:rPr>
          <w:rFonts w:hint="eastAsia"/>
        </w:rPr>
        <w:t>4.社会保障和就业支出（类）行政事业单位养老支出（款）事业单位离退休（项）2021年预算数为6.38万元，主要用于本单位退休人员的各项经费，保障退休人员养老金按时发放等工作。</w:t>
      </w:r>
    </w:p>
    <w:p>
      <w:pPr>
        <w:spacing w:line="600" w:lineRule="exact"/>
        <w:ind w:firstLine="640" w:firstLineChars="200"/>
      </w:pPr>
      <w:r>
        <w:rPr>
          <w:rFonts w:hint="eastAsia"/>
        </w:rPr>
        <w:t>5.社会保障和就业支出（类）行政事业单位养老支出（款）机关事业单位基本养老保险缴费支出（项）支出2021年预算数为14.25万元，主要用于单位职工养老金足额缴纳。</w:t>
      </w:r>
    </w:p>
    <w:p>
      <w:pPr>
        <w:spacing w:line="600" w:lineRule="exact"/>
        <w:ind w:firstLine="640" w:firstLineChars="200"/>
      </w:pPr>
      <w:r>
        <w:rPr>
          <w:rFonts w:hint="eastAsia"/>
        </w:rPr>
        <w:t>6.住房保障支出（类）住房改革支出（款）住房公积金支出（项）2021年预算数为13.49万元，主要用于单位职工住房公积金足额缴纳。</w:t>
      </w:r>
    </w:p>
    <w:p>
      <w:pPr>
        <w:spacing w:line="600" w:lineRule="exact"/>
        <w:ind w:firstLine="640" w:firstLineChars="200"/>
        <w:rPr>
          <w:rFonts w:ascii="黑体" w:hAnsi="黑体" w:eastAsia="黑体"/>
        </w:rPr>
      </w:pPr>
      <w:r>
        <w:rPr>
          <w:rFonts w:hint="eastAsia" w:ascii="黑体" w:hAnsi="黑体" w:eastAsia="黑体"/>
        </w:rPr>
        <w:t>六、一般公共预算基本支出情况说明</w:t>
      </w:r>
    </w:p>
    <w:p>
      <w:pPr>
        <w:spacing w:line="600" w:lineRule="exact"/>
        <w:ind w:firstLine="640" w:firstLineChars="200"/>
      </w:pPr>
      <w:r>
        <w:rPr>
          <w:rFonts w:hint="eastAsia"/>
        </w:rPr>
        <w:t>攀枝花市科技基础条件平台服务中心2021年一般公共预算基本支出179.68万元，其中：</w:t>
      </w:r>
    </w:p>
    <w:p>
      <w:pPr>
        <w:spacing w:line="600" w:lineRule="exact"/>
        <w:ind w:firstLine="640" w:firstLineChars="200"/>
      </w:pPr>
      <w:r>
        <w:rPr>
          <w:rFonts w:hint="eastAsia"/>
        </w:rPr>
        <w:t>人员经费162.02万元，主要包括：基本工资48.01万元、津贴补贴5.11万元、绩效工资59.33万元，机关事业单位基本养老保险缴费14.25万元，住房公积金13.50万元，其他工资福利支出5.2万元。退休费5.27万元，医疗费补助0.32万元，医保费11.03万元。</w:t>
      </w:r>
    </w:p>
    <w:p>
      <w:pPr>
        <w:spacing w:line="600" w:lineRule="exact"/>
        <w:ind w:firstLine="640" w:firstLineChars="200"/>
      </w:pPr>
      <w:r>
        <w:rPr>
          <w:rFonts w:hint="eastAsia"/>
        </w:rPr>
        <w:t>公用经费17.66万元，主要包括：办公费1.53、水费0.31，电费0.77万元，邮电费0.72万元，差旅费6.12万元，公务接待费0.33万元，工会经费2.25万元，福利费1.54万元，公务用车运行维护费1.62万元，其他商品和服务支出2.47万元。</w:t>
      </w:r>
    </w:p>
    <w:p>
      <w:pPr>
        <w:spacing w:line="600" w:lineRule="exact"/>
        <w:ind w:firstLine="640" w:firstLineChars="200"/>
        <w:rPr>
          <w:rFonts w:ascii="黑体" w:hAnsi="黑体" w:eastAsia="黑体"/>
        </w:rPr>
      </w:pPr>
      <w:r>
        <w:rPr>
          <w:rFonts w:hint="eastAsia" w:ascii="黑体" w:hAnsi="黑体" w:eastAsia="黑体"/>
        </w:rPr>
        <w:t>七、“三公”经费财政拨款预算安排情况说明</w:t>
      </w:r>
    </w:p>
    <w:p>
      <w:pPr>
        <w:spacing w:line="600" w:lineRule="exact"/>
        <w:ind w:firstLine="640" w:firstLineChars="200"/>
        <w:rPr>
          <w:rFonts w:hint="eastAsia"/>
        </w:rPr>
      </w:pPr>
      <w:r>
        <w:rPr>
          <w:rFonts w:hint="eastAsia"/>
        </w:rPr>
        <w:t>攀枝花市科技基础条件平台服务中心2021年“三公”经费财政拨款预算数1.95万元，其中：因公出国（境）经费0万元，公务接待费0.33万元，公务用车购置及运行维护费1.62万元，其中公务用车购置0万元，运行维护费1.62万元。</w:t>
      </w:r>
    </w:p>
    <w:p>
      <w:pPr>
        <w:spacing w:line="600" w:lineRule="exact"/>
        <w:ind w:firstLine="642" w:firstLineChars="200"/>
        <w:rPr>
          <w:rFonts w:hint="eastAsia"/>
        </w:rPr>
      </w:pPr>
      <w:r>
        <w:rPr>
          <w:rFonts w:eastAsia="楷体_GB2312"/>
          <w:b/>
        </w:rPr>
        <w:t>（一）因公出国（境）经费与202</w:t>
      </w:r>
      <w:r>
        <w:rPr>
          <w:rFonts w:hint="eastAsia" w:eastAsia="楷体_GB2312"/>
          <w:b/>
        </w:rPr>
        <w:t>0</w:t>
      </w:r>
      <w:r>
        <w:rPr>
          <w:rFonts w:eastAsia="楷体_GB2312"/>
          <w:b/>
        </w:rPr>
        <w:t>年预算持平。</w:t>
      </w:r>
      <w:r>
        <w:rPr>
          <w:rFonts w:hint="eastAsia"/>
        </w:rPr>
        <w:t>主要原因是</w:t>
      </w:r>
      <w:r>
        <w:rPr>
          <w:rFonts w:hint="default"/>
        </w:rPr>
        <w:t>是</w:t>
      </w:r>
      <w:r>
        <w:rPr>
          <w:rFonts w:hint="eastAsia"/>
        </w:rPr>
        <w:t>没有安排出国出境</w:t>
      </w:r>
      <w:r>
        <w:rPr>
          <w:rFonts w:hint="default"/>
        </w:rPr>
        <w:t>。</w:t>
      </w:r>
    </w:p>
    <w:p>
      <w:pPr>
        <w:spacing w:line="600" w:lineRule="exact"/>
        <w:ind w:firstLine="640" w:firstLineChars="200"/>
      </w:pPr>
      <w:r>
        <w:rPr>
          <w:rFonts w:hint="eastAsia" w:ascii="楷体" w:hAnsi="楷体" w:eastAsia="楷体"/>
        </w:rPr>
        <w:t>（</w:t>
      </w:r>
      <w:r>
        <w:rPr>
          <w:rFonts w:hint="eastAsia" w:eastAsia="楷体_GB2312"/>
          <w:b/>
        </w:rPr>
        <w:t>二）</w:t>
      </w:r>
      <w:r>
        <w:rPr>
          <w:rFonts w:eastAsia="楷体_GB2312"/>
          <w:b/>
        </w:rPr>
        <w:t>公务接待费</w:t>
      </w:r>
      <w:r>
        <w:rPr>
          <w:rFonts w:hint="eastAsia" w:eastAsia="楷体_GB2312"/>
          <w:b/>
        </w:rPr>
        <w:t>与</w:t>
      </w:r>
      <w:r>
        <w:rPr>
          <w:rFonts w:eastAsia="楷体_GB2312"/>
          <w:b/>
        </w:rPr>
        <w:t>202</w:t>
      </w:r>
      <w:r>
        <w:rPr>
          <w:rFonts w:hint="eastAsia" w:eastAsia="楷体_GB2312"/>
          <w:b/>
        </w:rPr>
        <w:t>0</w:t>
      </w:r>
      <w:r>
        <w:rPr>
          <w:rFonts w:eastAsia="楷体_GB2312"/>
          <w:b/>
        </w:rPr>
        <w:t>年预算</w:t>
      </w:r>
      <w:r>
        <w:rPr>
          <w:rFonts w:hint="eastAsia" w:eastAsia="楷体_GB2312"/>
          <w:b/>
        </w:rPr>
        <w:t>持平。</w:t>
      </w:r>
      <w:r>
        <w:rPr>
          <w:rFonts w:hint="eastAsia"/>
        </w:rPr>
        <w:t>主要原因是单位控制公务接待费用。</w:t>
      </w:r>
    </w:p>
    <w:p>
      <w:pPr>
        <w:spacing w:line="600" w:lineRule="exact"/>
        <w:ind w:firstLine="640" w:firstLineChars="200"/>
      </w:pPr>
      <w:r>
        <w:rPr>
          <w:rFonts w:hint="eastAsia"/>
        </w:rPr>
        <w:t>2021年公务接待费计划用于公务接待。</w:t>
      </w:r>
    </w:p>
    <w:p>
      <w:pPr>
        <w:spacing w:line="600" w:lineRule="exact"/>
        <w:ind w:firstLine="642" w:firstLineChars="200"/>
        <w:rPr>
          <w:rFonts w:eastAsia="楷体_GB2312"/>
          <w:b/>
        </w:rPr>
      </w:pPr>
      <w:r>
        <w:rPr>
          <w:rFonts w:hint="eastAsia" w:eastAsia="楷体_GB2312"/>
          <w:b/>
        </w:rPr>
        <w:t>（三）公务用车购置及运行维护费较2020年预算下降。</w:t>
      </w:r>
    </w:p>
    <w:p>
      <w:pPr>
        <w:spacing w:line="600" w:lineRule="exact"/>
        <w:rPr>
          <w:rFonts w:ascii="仿宋_GB2312"/>
          <w:b/>
        </w:rPr>
      </w:pPr>
      <w:r>
        <w:rPr>
          <w:rFonts w:hint="eastAsia" w:ascii="仿宋_GB2312"/>
        </w:rPr>
        <w:t>主要原因是公用经费整体下降。</w:t>
      </w:r>
    </w:p>
    <w:p>
      <w:pPr>
        <w:spacing w:line="600" w:lineRule="exact"/>
        <w:ind w:firstLine="640" w:firstLineChars="200"/>
      </w:pPr>
      <w:r>
        <w:t>单位现有公务用车</w:t>
      </w:r>
      <w:r>
        <w:rPr>
          <w:rFonts w:hint="eastAsia"/>
        </w:rPr>
        <w:t>1</w:t>
      </w:r>
      <w:r>
        <w:t>辆，其中：轿车（含7座以下商务车、城市越野车）</w:t>
      </w:r>
      <w:r>
        <w:rPr>
          <w:rFonts w:hint="eastAsia"/>
        </w:rPr>
        <w:t>1</w:t>
      </w:r>
      <w:r>
        <w:t>辆，7座以上19座（含19座）以下客车</w:t>
      </w:r>
      <w:r>
        <w:rPr>
          <w:rFonts w:hint="eastAsia"/>
        </w:rPr>
        <w:t>0</w:t>
      </w:r>
      <w:r>
        <w:t>辆，越野车</w:t>
      </w:r>
      <w:r>
        <w:rPr>
          <w:rFonts w:hint="eastAsia"/>
        </w:rPr>
        <w:t>0</w:t>
      </w:r>
      <w:r>
        <w:t>辆，货车及19座以上客车</w:t>
      </w:r>
      <w:r>
        <w:rPr>
          <w:rFonts w:hint="eastAsia"/>
        </w:rPr>
        <w:t>0</w:t>
      </w:r>
      <w:r>
        <w:t>辆，摩托车</w:t>
      </w:r>
      <w:r>
        <w:rPr>
          <w:rFonts w:hint="eastAsia"/>
        </w:rPr>
        <w:t>0</w:t>
      </w:r>
      <w:r>
        <w:t>辆。</w:t>
      </w:r>
    </w:p>
    <w:p>
      <w:pPr>
        <w:spacing w:line="600" w:lineRule="exact"/>
        <w:ind w:firstLine="640" w:firstLineChars="200"/>
      </w:pPr>
      <w:r>
        <w:rPr>
          <w:rFonts w:hint="eastAsia"/>
        </w:rPr>
        <w:t xml:space="preserve"> 2021年安排公务用车购置费0万元，购置公务用车0辆。</w:t>
      </w:r>
    </w:p>
    <w:p>
      <w:pPr>
        <w:spacing w:line="600" w:lineRule="exact"/>
        <w:ind w:firstLine="640" w:firstLineChars="200"/>
      </w:pPr>
      <w:r>
        <w:rPr>
          <w:rFonts w:hint="eastAsia"/>
        </w:rPr>
        <w:t>2021年安排公务用车运行维护费1.62万元，用于1辆公务用车（燃油、维修、车辆通行）等方面支出，主要保障科技平台事业等工作开展。</w:t>
      </w:r>
    </w:p>
    <w:p>
      <w:pPr>
        <w:spacing w:line="600" w:lineRule="exact"/>
        <w:ind w:firstLine="640" w:firstLineChars="200"/>
        <w:rPr>
          <w:rFonts w:ascii="黑体" w:hAnsi="黑体" w:eastAsia="黑体"/>
        </w:rPr>
      </w:pPr>
      <w:r>
        <w:rPr>
          <w:rFonts w:hint="eastAsia" w:ascii="黑体" w:hAnsi="黑体" w:eastAsia="黑体"/>
        </w:rPr>
        <w:t>八、政府性基金预算支出情况说明</w:t>
      </w:r>
    </w:p>
    <w:p>
      <w:pPr>
        <w:spacing w:line="600" w:lineRule="exact"/>
        <w:ind w:firstLine="640" w:firstLineChars="200"/>
        <w:rPr>
          <w:rFonts w:hint="eastAsia"/>
        </w:rPr>
      </w:pPr>
      <w:r>
        <w:rPr>
          <w:rFonts w:hint="eastAsia"/>
        </w:rPr>
        <w:t>攀枝花市科技基础条件平台服务中心202</w:t>
      </w:r>
      <w:r>
        <w:rPr>
          <w:rFonts w:hint="eastAsia"/>
          <w:lang w:val="en-US" w:eastAsia="zh-CN"/>
        </w:rPr>
        <w:t>1</w:t>
      </w:r>
      <w:r>
        <w:rPr>
          <w:rFonts w:hint="eastAsia"/>
        </w:rPr>
        <w:t>年政府性基金预算支出0万元，其中：基本支出0万元，项目支出0万元。</w:t>
      </w:r>
    </w:p>
    <w:p>
      <w:pPr>
        <w:spacing w:line="600" w:lineRule="exact"/>
        <w:ind w:firstLine="640" w:firstLineChars="200"/>
        <w:rPr>
          <w:rFonts w:ascii="黑体" w:hAnsi="黑体" w:eastAsia="黑体"/>
        </w:rPr>
      </w:pPr>
      <w:r>
        <w:rPr>
          <w:rFonts w:hint="eastAsia" w:ascii="黑体" w:hAnsi="黑体" w:eastAsia="黑体"/>
        </w:rPr>
        <w:t>九、其他重要事项的情况说明</w:t>
      </w:r>
    </w:p>
    <w:p>
      <w:pPr>
        <w:spacing w:line="600" w:lineRule="exact"/>
        <w:ind w:firstLine="642" w:firstLineChars="200"/>
        <w:rPr>
          <w:rFonts w:eastAsia="楷体_GB2312"/>
          <w:b/>
        </w:rPr>
      </w:pPr>
      <w:r>
        <w:rPr>
          <w:rFonts w:eastAsia="楷体_GB2312"/>
          <w:b/>
        </w:rPr>
        <w:t>（一）机关运行经费。</w:t>
      </w:r>
    </w:p>
    <w:p>
      <w:pPr>
        <w:spacing w:line="600" w:lineRule="exact"/>
        <w:ind w:firstLine="640" w:firstLineChars="200"/>
        <w:rPr>
          <w:rFonts w:hint="eastAsia"/>
        </w:rPr>
      </w:pPr>
      <w:bookmarkStart w:id="0" w:name="_GoBack"/>
      <w:bookmarkEnd w:id="0"/>
      <w:r>
        <w:rPr>
          <w:rFonts w:hint="eastAsia"/>
        </w:rPr>
        <w:t>攀枝花市科技基础条件平台服务中心为事业单位，按规定未使用机关运行的相关科目。</w:t>
      </w:r>
    </w:p>
    <w:p>
      <w:pPr>
        <w:spacing w:line="600" w:lineRule="exact"/>
        <w:ind w:firstLine="642" w:firstLineChars="200"/>
        <w:rPr>
          <w:rFonts w:eastAsia="楷体_GB2312"/>
          <w:b/>
        </w:rPr>
      </w:pPr>
      <w:r>
        <w:rPr>
          <w:rFonts w:hint="eastAsia" w:eastAsia="楷体_GB2312"/>
          <w:b/>
        </w:rPr>
        <w:t>（二）国有资产占有使用情况。</w:t>
      </w:r>
    </w:p>
    <w:p>
      <w:pPr>
        <w:spacing w:line="600" w:lineRule="exact"/>
        <w:ind w:firstLine="640" w:firstLineChars="200"/>
        <w:rPr>
          <w:rFonts w:ascii="仿宋_GB2312"/>
        </w:rPr>
      </w:pPr>
      <w:r>
        <w:rPr>
          <w:rFonts w:hint="eastAsia" w:ascii="仿宋_GB2312"/>
        </w:rPr>
        <w:t>截至2020年底，</w:t>
      </w:r>
      <w:r>
        <w:rPr>
          <w:rFonts w:hint="eastAsia" w:ascii="仿宋_GB2312" w:hAnsi="Arial" w:cs="Arial"/>
          <w:color w:val="333333"/>
        </w:rPr>
        <w:t>攀枝花市科技基础条件平台服务中心</w:t>
      </w:r>
      <w:r>
        <w:rPr>
          <w:rFonts w:hint="eastAsia" w:ascii="仿宋_GB2312"/>
        </w:rPr>
        <w:t>及所属的非独立核算单位共有车辆1辆，其中，执法执勤用车0辆。单位价值200万元以上大型设备0台（套）。</w:t>
      </w:r>
    </w:p>
    <w:p>
      <w:pPr>
        <w:spacing w:line="600" w:lineRule="exact"/>
        <w:ind w:firstLine="642" w:firstLineChars="200"/>
        <w:rPr>
          <w:rFonts w:eastAsia="楷体_GB2312"/>
          <w:b/>
        </w:rPr>
      </w:pPr>
      <w:r>
        <w:rPr>
          <w:rFonts w:hint="eastAsia" w:eastAsia="楷体_GB2312"/>
          <w:b/>
        </w:rPr>
        <w:t>（三）绩效目标设置情况。</w:t>
      </w:r>
    </w:p>
    <w:p>
      <w:pPr>
        <w:spacing w:line="600" w:lineRule="exact"/>
        <w:ind w:firstLine="640" w:firstLineChars="200"/>
        <w:rPr>
          <w:rFonts w:ascii="仿宋_GB2312"/>
        </w:rPr>
      </w:pPr>
      <w:r>
        <w:rPr>
          <w:rFonts w:hint="eastAsia" w:ascii="仿宋_GB2312"/>
        </w:rPr>
        <w:t>2021年</w:t>
      </w:r>
      <w:r>
        <w:rPr>
          <w:rFonts w:hint="eastAsia" w:ascii="仿宋_GB2312" w:hAnsi="Arial" w:cs="Arial"/>
          <w:color w:val="333333"/>
        </w:rPr>
        <w:t>攀枝花市科技基础条件平台服务中心</w:t>
      </w:r>
      <w:r>
        <w:rPr>
          <w:rFonts w:hint="eastAsia" w:ascii="仿宋_GB2312"/>
        </w:rPr>
        <w:t>部门通用项目和专用项目均按要求实行绩效目标管理，涉及一般公共预算当年拨款2万元。</w:t>
      </w:r>
    </w:p>
    <w:p>
      <w:pPr>
        <w:spacing w:line="600" w:lineRule="exact"/>
        <w:ind w:firstLine="640" w:firstLineChars="200"/>
        <w:rPr>
          <w:rFonts w:ascii="黑体" w:hAnsi="黑体" w:eastAsia="黑体"/>
        </w:rPr>
      </w:pPr>
      <w:r>
        <w:rPr>
          <w:rFonts w:hint="eastAsia" w:ascii="黑体" w:hAnsi="黑体" w:eastAsia="黑体"/>
        </w:rPr>
        <w:t>十、名词解释</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ascii="仿宋_GB2312"/>
        </w:rPr>
      </w:pPr>
      <w:r>
        <w:rPr>
          <w:rFonts w:hint="eastAsia" w:ascii="仿宋_GB2312"/>
        </w:rPr>
        <w:t>1.一般公共预算拨款收入：指市级财政当年拨付的资金。</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ascii="仿宋_GB2312"/>
        </w:rPr>
      </w:pPr>
      <w:r>
        <w:rPr>
          <w:rFonts w:hint="eastAsia" w:ascii="仿宋_GB2312"/>
        </w:rPr>
        <w:t>2.科学技术支出（类）科技条件与服务（款）机构运行（项）指科技服务机构用于人员工资、日常公用等基本支出。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ascii="仿宋_GB2312"/>
        </w:rPr>
      </w:pPr>
      <w:r>
        <w:rPr>
          <w:rFonts w:hint="eastAsia" w:ascii="仿宋_GB2312"/>
        </w:rPr>
        <w:t>3.科学技术支出（类）科技条件与服务（款）其他科技条件与服务支出（项）：指其他用于科技条件与服务方面的支出。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ascii="仿宋_GB2312"/>
        </w:rPr>
      </w:pPr>
      <w:r>
        <w:rPr>
          <w:rFonts w:hint="eastAsia" w:ascii="仿宋_GB2312"/>
        </w:rPr>
        <w:t>4.</w:t>
      </w:r>
      <w:r>
        <w:rPr>
          <w:rFonts w:hint="eastAsia"/>
        </w:rPr>
        <w:t>科学技术支出（类）其他科学技术支出（款）其他科学技术支出（项）：指其他用于科技方面的支出。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ascii="仿宋_GB2312"/>
        </w:rPr>
      </w:pPr>
      <w:r>
        <w:rPr>
          <w:rFonts w:hint="eastAsia" w:ascii="仿宋_GB2312"/>
        </w:rPr>
        <w:t>5.社会保障和就业支出（类）行政事业单位养老支出（款）事业单位离退休（项）：指事业单位离退休费支出。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ascii="仿宋_GB2312"/>
        </w:rPr>
      </w:pPr>
      <w:r>
        <w:rPr>
          <w:rFonts w:hint="eastAsia" w:ascii="仿宋_GB2312"/>
        </w:rPr>
        <w:t>6.社会保障和就业支出（类）行政事业单位养老支出（款）机关事业单位基本养老保险缴费支出（项）：指机关事业单位用于缴纳单位基本养老保险支出。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ascii="仿宋_GB2312"/>
        </w:rPr>
      </w:pPr>
      <w:r>
        <w:rPr>
          <w:rFonts w:hint="eastAsia" w:ascii="仿宋_GB2312"/>
        </w:rPr>
        <w:t>7.住房保障支出（类）住房改革支出（款）住房公积金支出（项）：指机关事业单位用于缴纳职工住房公积金支出。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ascii="仿宋_GB2312"/>
        </w:rPr>
      </w:pPr>
      <w:r>
        <w:rPr>
          <w:rFonts w:hint="eastAsia" w:ascii="仿宋_GB2312"/>
        </w:rPr>
        <w:t>8.基本支出：指为保证机构正常运转，完成日常工作任务而发生的人员支出和公用支出。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ascii="仿宋_GB2312"/>
        </w:rPr>
      </w:pPr>
      <w:r>
        <w:rPr>
          <w:rFonts w:hint="eastAsia" w:ascii="仿宋_GB2312"/>
        </w:rPr>
        <w:t>9.项目支出：指在基本支出之外为完成特定的工作任务和事业发展目标所发生的支出。</w:t>
      </w:r>
    </w:p>
    <w:p>
      <w:pPr>
        <w:pBdr>
          <w:top w:val="single" w:color="FFFFFF" w:sz="4" w:space="0"/>
          <w:left w:val="single" w:color="FFFFFF" w:sz="4" w:space="5"/>
          <w:bottom w:val="single" w:color="FFFFFF" w:sz="4" w:space="31"/>
          <w:right w:val="single" w:color="FFFFFF" w:sz="4" w:space="3"/>
        </w:pBdr>
        <w:adjustRightInd w:val="0"/>
        <w:snapToGrid w:val="0"/>
        <w:spacing w:line="600" w:lineRule="exact"/>
        <w:ind w:firstLine="640" w:firstLineChars="200"/>
        <w:rPr>
          <w:rFonts w:ascii="仿宋_GB2312"/>
        </w:rPr>
      </w:pPr>
      <w:r>
        <w:rPr>
          <w:rFonts w:hint="eastAsia" w:ascii="仿宋_GB2312"/>
        </w:rPr>
        <w:t>10.“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rPr>
          <w:rFonts w:ascii="仿宋_GB2312"/>
        </w:rPr>
      </w:pPr>
      <w:r>
        <w:rPr>
          <w:rFonts w:hint="eastAsia" w:ascii="仿宋_GB2312"/>
        </w:rPr>
        <w:t>附件：表1.部门收支总表</w:t>
      </w:r>
    </w:p>
    <w:p>
      <w:pPr>
        <w:spacing w:line="600" w:lineRule="exact"/>
        <w:rPr>
          <w:rFonts w:ascii="仿宋_GB2312"/>
        </w:rPr>
      </w:pPr>
      <w:r>
        <w:rPr>
          <w:rFonts w:hint="eastAsia" w:ascii="仿宋_GB2312"/>
        </w:rPr>
        <w:t xml:space="preserve">          表1-1.部门收入总表</w:t>
      </w:r>
    </w:p>
    <w:p>
      <w:pPr>
        <w:spacing w:line="600" w:lineRule="exact"/>
        <w:rPr>
          <w:rFonts w:ascii="仿宋_GB2312"/>
        </w:rPr>
      </w:pPr>
      <w:r>
        <w:rPr>
          <w:rFonts w:hint="eastAsia" w:ascii="仿宋_GB2312"/>
        </w:rPr>
        <w:t xml:space="preserve">          表1-2.部门支出总表</w:t>
      </w:r>
    </w:p>
    <w:p>
      <w:pPr>
        <w:spacing w:line="600" w:lineRule="exact"/>
        <w:ind w:firstLine="1600" w:firstLineChars="500"/>
        <w:rPr>
          <w:rFonts w:ascii="仿宋_GB2312"/>
        </w:rPr>
      </w:pPr>
      <w:r>
        <w:rPr>
          <w:rFonts w:hint="eastAsia" w:ascii="仿宋_GB2312"/>
        </w:rPr>
        <w:t>表2.财政拨款收支预算总表</w:t>
      </w:r>
    </w:p>
    <w:p>
      <w:pPr>
        <w:spacing w:line="600" w:lineRule="exact"/>
        <w:ind w:firstLine="1600" w:firstLineChars="500"/>
        <w:rPr>
          <w:rFonts w:ascii="仿宋_GB2312"/>
        </w:rPr>
      </w:pPr>
      <w:r>
        <w:rPr>
          <w:rFonts w:hint="eastAsia" w:ascii="仿宋_GB2312"/>
        </w:rPr>
        <w:t>表2-1.财政拨款支出预算表</w:t>
      </w:r>
    </w:p>
    <w:p>
      <w:pPr>
        <w:spacing w:line="600" w:lineRule="exact"/>
        <w:ind w:firstLine="1600" w:firstLineChars="500"/>
        <w:rPr>
          <w:rFonts w:ascii="仿宋_GB2312"/>
        </w:rPr>
      </w:pPr>
      <w:r>
        <w:rPr>
          <w:rFonts w:hint="eastAsia" w:ascii="仿宋_GB2312"/>
        </w:rPr>
        <w:t>表3.一般公共预算支出预算表</w:t>
      </w:r>
    </w:p>
    <w:p>
      <w:pPr>
        <w:spacing w:line="600" w:lineRule="exact"/>
        <w:ind w:firstLine="1600" w:firstLineChars="500"/>
        <w:rPr>
          <w:rFonts w:ascii="仿宋_GB2312"/>
        </w:rPr>
      </w:pPr>
      <w:r>
        <w:rPr>
          <w:rFonts w:hint="eastAsia" w:ascii="仿宋_GB2312"/>
        </w:rPr>
        <w:t>表3-1.一般公共预算基本支出预算表</w:t>
      </w:r>
    </w:p>
    <w:p>
      <w:pPr>
        <w:spacing w:line="600" w:lineRule="exact"/>
        <w:ind w:firstLine="1600" w:firstLineChars="500"/>
        <w:rPr>
          <w:rFonts w:ascii="仿宋_GB2312"/>
        </w:rPr>
      </w:pPr>
      <w:r>
        <w:rPr>
          <w:rFonts w:hint="eastAsia" w:ascii="仿宋_GB2312"/>
        </w:rPr>
        <w:t>表3-2.一般公共预算项目支出预算表</w:t>
      </w:r>
    </w:p>
    <w:p>
      <w:pPr>
        <w:spacing w:line="600" w:lineRule="exact"/>
        <w:ind w:firstLine="1600" w:firstLineChars="500"/>
        <w:rPr>
          <w:rFonts w:ascii="仿宋_GB2312"/>
        </w:rPr>
      </w:pPr>
      <w:r>
        <w:rPr>
          <w:rFonts w:hint="eastAsia" w:ascii="仿宋_GB2312"/>
        </w:rPr>
        <w:t>表3-3.一般公共预算“三公”经费支出预算表</w:t>
      </w:r>
    </w:p>
    <w:p>
      <w:pPr>
        <w:spacing w:line="600" w:lineRule="exact"/>
        <w:ind w:firstLine="1600" w:firstLineChars="500"/>
        <w:rPr>
          <w:rFonts w:ascii="仿宋_GB2312"/>
        </w:rPr>
      </w:pPr>
      <w:r>
        <w:rPr>
          <w:rFonts w:hint="eastAsia" w:ascii="仿宋_GB2312"/>
        </w:rPr>
        <w:t>表4.政府性基金支出预算表</w:t>
      </w:r>
    </w:p>
    <w:p>
      <w:pPr>
        <w:spacing w:line="600" w:lineRule="exact"/>
        <w:ind w:firstLine="1600" w:firstLineChars="500"/>
        <w:rPr>
          <w:rFonts w:ascii="仿宋_GB2312"/>
        </w:rPr>
      </w:pPr>
      <w:r>
        <w:rPr>
          <w:rFonts w:hint="eastAsia" w:ascii="仿宋_GB2312"/>
        </w:rPr>
        <w:t>表4-1.政府性基金预算“三公”经费支出预算表</w:t>
      </w:r>
    </w:p>
    <w:p>
      <w:pPr>
        <w:spacing w:line="600" w:lineRule="exact"/>
        <w:ind w:firstLine="1600" w:firstLineChars="500"/>
        <w:rPr>
          <w:rFonts w:ascii="仿宋_GB2312"/>
        </w:rPr>
      </w:pPr>
      <w:r>
        <w:rPr>
          <w:rFonts w:hint="eastAsia" w:ascii="仿宋_GB2312"/>
        </w:rPr>
        <w:t>表5.国有资本经营预算支出预算表</w:t>
      </w:r>
    </w:p>
    <w:p>
      <w:pPr>
        <w:spacing w:line="600" w:lineRule="exact"/>
        <w:ind w:firstLine="1600" w:firstLineChars="500"/>
        <w:rPr>
          <w:rFonts w:ascii="仿宋_GB2312"/>
        </w:rPr>
      </w:pPr>
      <w:r>
        <w:rPr>
          <w:rFonts w:hint="eastAsia" w:ascii="仿宋_GB2312"/>
        </w:rPr>
        <w:t>表6.部门（单位）预算项目支出绩效目标表</w:t>
      </w:r>
    </w:p>
    <w:p>
      <w:pPr>
        <w:spacing w:line="600" w:lineRule="exact"/>
        <w:jc w:val="center"/>
        <w:rPr>
          <w:rFonts w:ascii="仿宋_GB2312"/>
        </w:rPr>
      </w:pPr>
    </w:p>
    <w:sectPr>
      <w:footerReference r:id="rId3" w:type="default"/>
      <w:footerReference r:id="rId4" w:type="even"/>
      <w:pgSz w:w="11906" w:h="16838"/>
      <w:pgMar w:top="1247" w:right="1542" w:bottom="1247" w:left="2098" w:header="851" w:footer="992" w:gutter="0"/>
      <w:pgNumType w:fmt="numberInDash" w:start="1"/>
      <w:cols w:space="0" w:num="1"/>
      <w:docGrid w:type="lines" w:linePitch="4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Fonts w:ascii="宋体" w:hAnsi="宋体"/>
        <w:sz w:val="30"/>
        <w:szCs w:val="30"/>
      </w:rPr>
    </w:pPr>
    <w:r>
      <w:rPr>
        <w:rFonts w:ascii="宋体" w:hAnsi="宋体"/>
        <w:sz w:val="30"/>
        <w:szCs w:val="30"/>
      </w:rPr>
      <w:fldChar w:fldCharType="begin"/>
    </w:r>
    <w:r>
      <w:rPr>
        <w:rStyle w:val="10"/>
        <w:rFonts w:ascii="宋体" w:hAnsi="宋体"/>
        <w:sz w:val="30"/>
        <w:szCs w:val="30"/>
      </w:rPr>
      <w:instrText xml:space="preserve">PAGE  </w:instrText>
    </w:r>
    <w:r>
      <w:rPr>
        <w:rFonts w:ascii="宋体" w:hAnsi="宋体"/>
        <w:sz w:val="30"/>
        <w:szCs w:val="30"/>
      </w:rPr>
      <w:fldChar w:fldCharType="separate"/>
    </w:r>
    <w:r>
      <w:rPr>
        <w:rStyle w:val="10"/>
        <w:rFonts w:ascii="宋体" w:hAnsi="宋体"/>
        <w:sz w:val="30"/>
        <w:szCs w:val="30"/>
      </w:rPr>
      <w:t>- 10 -</w:t>
    </w:r>
    <w:r>
      <w:rPr>
        <w:rFonts w:ascii="宋体" w:hAnsi="宋体"/>
        <w:sz w:val="30"/>
        <w:szCs w:val="3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60"/>
  <w:drawingGridVerticalSpacing w:val="224"/>
  <w:displayHorizontalDrawingGridEvery w:val="2"/>
  <w:displayVerticalDrawingGridEvery w:val="2"/>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4C1C"/>
    <w:rsid w:val="000151CA"/>
    <w:rsid w:val="00056B71"/>
    <w:rsid w:val="000D3E79"/>
    <w:rsid w:val="001637E6"/>
    <w:rsid w:val="00172A27"/>
    <w:rsid w:val="0019782E"/>
    <w:rsid w:val="001C7BFE"/>
    <w:rsid w:val="001F6C17"/>
    <w:rsid w:val="0028610D"/>
    <w:rsid w:val="002C6C2E"/>
    <w:rsid w:val="003F40E4"/>
    <w:rsid w:val="0042483C"/>
    <w:rsid w:val="004501DD"/>
    <w:rsid w:val="004A4AEF"/>
    <w:rsid w:val="004B6894"/>
    <w:rsid w:val="00612105"/>
    <w:rsid w:val="006429F5"/>
    <w:rsid w:val="00643A48"/>
    <w:rsid w:val="00682C39"/>
    <w:rsid w:val="00683839"/>
    <w:rsid w:val="0076160B"/>
    <w:rsid w:val="007700E6"/>
    <w:rsid w:val="00776A3E"/>
    <w:rsid w:val="007C25B6"/>
    <w:rsid w:val="008741D8"/>
    <w:rsid w:val="00933C82"/>
    <w:rsid w:val="00AB04D6"/>
    <w:rsid w:val="00B70541"/>
    <w:rsid w:val="00B94FC3"/>
    <w:rsid w:val="00BE0FDD"/>
    <w:rsid w:val="00C16AF8"/>
    <w:rsid w:val="00C7103A"/>
    <w:rsid w:val="00CA3BA7"/>
    <w:rsid w:val="00E13C2B"/>
    <w:rsid w:val="00E67E06"/>
    <w:rsid w:val="00F400A8"/>
    <w:rsid w:val="00F527A7"/>
    <w:rsid w:val="00F52A58"/>
    <w:rsid w:val="00F862D3"/>
    <w:rsid w:val="00FD444E"/>
    <w:rsid w:val="15FE361A"/>
    <w:rsid w:val="16ED45BA"/>
    <w:rsid w:val="2A7A4CF5"/>
    <w:rsid w:val="2E3B44ED"/>
    <w:rsid w:val="2EA9B188"/>
    <w:rsid w:val="2FFE0025"/>
    <w:rsid w:val="33EE5A61"/>
    <w:rsid w:val="357F58F8"/>
    <w:rsid w:val="37FC4C60"/>
    <w:rsid w:val="3AC04E69"/>
    <w:rsid w:val="3BF14C87"/>
    <w:rsid w:val="3DE2AA96"/>
    <w:rsid w:val="3EDFFA06"/>
    <w:rsid w:val="4B270992"/>
    <w:rsid w:val="50FE1F1C"/>
    <w:rsid w:val="590402F8"/>
    <w:rsid w:val="592FEFA4"/>
    <w:rsid w:val="5BB9925E"/>
    <w:rsid w:val="5D3F36C2"/>
    <w:rsid w:val="5EFFA649"/>
    <w:rsid w:val="5FF9BA93"/>
    <w:rsid w:val="66ACF7FD"/>
    <w:rsid w:val="6BBE9859"/>
    <w:rsid w:val="6BCE43A3"/>
    <w:rsid w:val="6C3C5FE7"/>
    <w:rsid w:val="6DBD130E"/>
    <w:rsid w:val="6EB748C5"/>
    <w:rsid w:val="73A008DD"/>
    <w:rsid w:val="777F1F78"/>
    <w:rsid w:val="7A3C4FCE"/>
    <w:rsid w:val="7D37B79C"/>
    <w:rsid w:val="7E6243A5"/>
    <w:rsid w:val="7F7F7221"/>
    <w:rsid w:val="7FA88ABB"/>
    <w:rsid w:val="8FF48BB7"/>
    <w:rsid w:val="AEF81B88"/>
    <w:rsid w:val="AF3F9CA8"/>
    <w:rsid w:val="AFDD9FC5"/>
    <w:rsid w:val="B1FE5325"/>
    <w:rsid w:val="B7DF97D0"/>
    <w:rsid w:val="BEFFD8D0"/>
    <w:rsid w:val="D74C3A59"/>
    <w:rsid w:val="DB31A513"/>
    <w:rsid w:val="DBE5FCB3"/>
    <w:rsid w:val="DF3F341D"/>
    <w:rsid w:val="E7CD03E6"/>
    <w:rsid w:val="EDA3C12B"/>
    <w:rsid w:val="EFEEA276"/>
    <w:rsid w:val="EFFB576B"/>
    <w:rsid w:val="F3F53599"/>
    <w:rsid w:val="F4079802"/>
    <w:rsid w:val="F5FE6E11"/>
    <w:rsid w:val="FB1757B9"/>
    <w:rsid w:val="FB3D0553"/>
    <w:rsid w:val="FBFFC827"/>
    <w:rsid w:val="FEBB9571"/>
    <w:rsid w:val="FF5AFD2E"/>
    <w:rsid w:val="FF9E977D"/>
    <w:rsid w:val="FFBD05D1"/>
    <w:rsid w:val="FFEB7A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Lines="30"/>
    </w:pPr>
    <w:rPr>
      <w:rFonts w:ascii="仿宋_GB2312"/>
      <w:sz w:val="30"/>
    </w:rPr>
  </w:style>
  <w:style w:type="paragraph" w:styleId="3">
    <w:name w:val="Balloon Text"/>
    <w:basedOn w:val="1"/>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Char Char Char Char Char Char Char Char Char Char Char Char"/>
    <w:basedOn w:val="1"/>
    <w:qFormat/>
    <w:uiPriority w:val="0"/>
    <w:rPr>
      <w:szCs w:val="21"/>
    </w:rPr>
  </w:style>
  <w:style w:type="paragraph" w:customStyle="1" w:styleId="12">
    <w:name w:val="Char Char1 Char Char Char Char Char Char Char Char"/>
    <w:basedOn w:val="1"/>
    <w:next w:val="1"/>
    <w:qFormat/>
    <w:uiPriority w:val="0"/>
    <w:pPr>
      <w:spacing w:line="240" w:lineRule="atLeast"/>
      <w:ind w:left="420" w:firstLine="420"/>
      <w:jc w:val="left"/>
    </w:pPr>
    <w:rPr>
      <w:rFonts w:eastAsia="宋体"/>
      <w:kern w:val="0"/>
      <w:sz w:val="21"/>
      <w:szCs w:val="21"/>
    </w:rPr>
  </w:style>
  <w:style w:type="character" w:customStyle="1" w:styleId="13">
    <w:name w:val="页脚 Char"/>
    <w:basedOn w:val="8"/>
    <w:link w:val="4"/>
    <w:qFormat/>
    <w:uiPriority w:val="99"/>
    <w:rPr>
      <w:rFonts w:eastAsia="仿宋_GB2312"/>
      <w:kern w:val="2"/>
      <w:sz w:val="18"/>
      <w:szCs w:val="18"/>
    </w:rPr>
  </w:style>
  <w:style w:type="character" w:customStyle="1" w:styleId="14">
    <w:name w:val="页眉 Char"/>
    <w:basedOn w:val="8"/>
    <w:link w:val="5"/>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728</Words>
  <Characters>4154</Characters>
  <Lines>34</Lines>
  <Paragraphs>9</Paragraphs>
  <TotalTime>1</TotalTime>
  <ScaleCrop>false</ScaleCrop>
  <LinksUpToDate>false</LinksUpToDate>
  <CharactersWithSpaces>4873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2021-03-09T19:22:00Z</dcterms:created>
  <dc:creator>赵树子</dc:creator>
  <cp:lastModifiedBy>user</cp:lastModifiedBy>
  <cp:lastPrinted>2021-03-09T19:44:00Z</cp:lastPrinted>
  <dcterms:modified xsi:type="dcterms:W3CDTF">2022-07-19T08:58:33Z</dcterms:modified>
  <dc:title>四川省财政厅2011年部门预算编制说明</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