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0" w:rightChars="4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widowControl w:val="0"/>
        <w:snapToGrid w:val="0"/>
        <w:spacing w:line="360" w:lineRule="auto"/>
        <w:ind w:left="454"/>
        <w:jc w:val="center"/>
        <w:rPr>
          <w:rFonts w:hint="default" w:ascii="Times New Roman" w:hAnsi="Times New Roman" w:eastAsia="黑体" w:cs="Times New Roman"/>
          <w:b/>
          <w:color w:val="333333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kern w:val="2"/>
          <w:sz w:val="36"/>
          <w:szCs w:val="36"/>
          <w:lang w:val="en-US" w:eastAsia="zh-CN" w:bidi="ar-SA"/>
        </w:rPr>
        <w:t>四川省工程技术研究中心建设</w:t>
      </w:r>
      <w:r>
        <w:rPr>
          <w:rFonts w:hint="default" w:ascii="Times New Roman" w:hAnsi="Times New Roman" w:eastAsia="黑体" w:cs="Times New Roman"/>
          <w:b/>
          <w:color w:val="333333"/>
          <w:kern w:val="2"/>
          <w:sz w:val="36"/>
          <w:szCs w:val="36"/>
          <w:lang w:val="en-US" w:eastAsia="zh-CN" w:bidi="ar-SA"/>
        </w:rPr>
        <w:t>情况信息表</w:t>
      </w:r>
    </w:p>
    <w:p>
      <w:pPr>
        <w:widowControl/>
        <w:numPr>
          <w:ilvl w:val="0"/>
          <w:numId w:val="0"/>
        </w:numPr>
        <w:ind w:firstLine="1686" w:firstLineChars="600"/>
        <w:jc w:val="both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依托单位及工程中心基本情况</w:t>
      </w:r>
    </w:p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表1-1                       基本情况表                       </w:t>
      </w: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55"/>
        <w:gridCol w:w="1182"/>
        <w:gridCol w:w="861"/>
        <w:gridCol w:w="755"/>
        <w:gridCol w:w="123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 心 名 称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依托单位名称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依托单位性质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企业（含转制科研院所）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科研院所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高等学校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工程中心是否有独立法人资格</w:t>
            </w:r>
          </w:p>
        </w:tc>
        <w:tc>
          <w:tcPr>
            <w:tcW w:w="43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工程中心批复时间</w:t>
            </w:r>
          </w:p>
        </w:tc>
        <w:tc>
          <w:tcPr>
            <w:tcW w:w="43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中心所在技术领域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电子信息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装备制造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食品饮料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先进材料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能源化工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数字经济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现代农业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中心主任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座机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中心联系人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座机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中心通讯地址</w:t>
            </w:r>
          </w:p>
        </w:tc>
        <w:tc>
          <w:tcPr>
            <w:tcW w:w="699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联合共建单位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新增工程化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基建条件 </w:t>
      </w:r>
    </w:p>
    <w:tbl>
      <w:tblPr>
        <w:tblStyle w:val="9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592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1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原有研发场地面积</w:t>
            </w:r>
          </w:p>
        </w:tc>
        <w:tc>
          <w:tcPr>
            <w:tcW w:w="563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1" w:type="dxa"/>
            <w:vMerge w:val="restart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研发场地面积</w:t>
            </w:r>
          </w:p>
        </w:tc>
        <w:tc>
          <w:tcPr>
            <w:tcW w:w="563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工程试验用房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办公用房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仪器设备总数（台）</w:t>
            </w:r>
          </w:p>
        </w:tc>
        <w:tc>
          <w:tcPr>
            <w:tcW w:w="563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仪器设备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值（万元）</w:t>
            </w:r>
          </w:p>
        </w:tc>
        <w:tc>
          <w:tcPr>
            <w:tcW w:w="563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ind w:firstLine="602" w:firstLineChars="200"/>
        <w:jc w:val="left"/>
        <w:rPr>
          <w:rFonts w:hint="default" w:ascii="Times New Roman" w:hAnsi="Times New Roman" w:eastAsia="黑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上一年度经济效益</w:t>
      </w:r>
      <w:r>
        <w:rPr>
          <w:rFonts w:hint="default" w:ascii="Times New Roman" w:hAnsi="Times New Roman" w:eastAsia="黑体" w:cs="Times New Roman"/>
          <w:b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研究开发经费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及成果转化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情况</w:t>
      </w:r>
    </w:p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表2-1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上一年度经济效益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仅依托企业组建填写）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单位：万元</w:t>
      </w:r>
    </w:p>
    <w:tbl>
      <w:tblPr>
        <w:tblStyle w:val="9"/>
        <w:tblW w:w="87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112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项   目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单位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全年总产值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其中：新产品产值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营业收入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产品销售收入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对外技术服务收入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投资性收入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全年总出口额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万美元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表2-2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上一年度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研究开发经费情况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仅依托企业组建填写）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单位：万元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862"/>
        <w:gridCol w:w="112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研究开发经费投入合计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其中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资本化支出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费用化支出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研发经费占营业收入比重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经费来源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企业税前从销售额中提取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财政经费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横向合作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其    他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620" w:type="dxa"/>
            <w:gridSpan w:val="2"/>
            <w:noWrap w:val="0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研究开发经费支出合计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研究开发经费支出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仪器设备购置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费（计算设备原值）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材料费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测试化验加工外协费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人员费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知识产权费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差旅费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会议费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委托研究开发费用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其    他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ind w:right="-313" w:rightChars="-149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上一年度成果转化情况（仅依托高校、科研院所组建填写）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单位：万元/项</w:t>
      </w:r>
    </w:p>
    <w:tbl>
      <w:tblPr>
        <w:tblStyle w:val="9"/>
        <w:tblW w:w="8601" w:type="dxa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24"/>
        <w:gridCol w:w="1419"/>
        <w:gridCol w:w="1708"/>
        <w:gridCol w:w="137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成果名称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交易单位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协议签订时间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到账金额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到账时间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ind w:firstLine="2810" w:firstLineChars="1000"/>
        <w:jc w:val="both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三、创新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团队建设与人才培养</w:t>
      </w:r>
    </w:p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-1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依托单位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团队规模与结构层次            单位：人</w:t>
      </w:r>
    </w:p>
    <w:tbl>
      <w:tblPr>
        <w:tblStyle w:val="9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104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研发人员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数量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其中：固定研发人员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新增研发人员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其中：固定研发人员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其中：职称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</w:t>
            </w: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高级职称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初级职称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其中：学历结构</w:t>
            </w: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3-2                        人才引进和培养以及激励                </w:t>
      </w:r>
    </w:p>
    <w:tbl>
      <w:tblPr>
        <w:tblStyle w:val="9"/>
        <w:tblW w:w="84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999"/>
        <w:gridCol w:w="724"/>
        <w:gridCol w:w="1724"/>
        <w:gridCol w:w="1723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是否建立人才激励制度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引进人才</w:t>
            </w:r>
          </w:p>
        </w:tc>
        <w:tc>
          <w:tcPr>
            <w:tcW w:w="5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职称引进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正高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副高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学历引进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培养人才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职称培养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正高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副高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学历培养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</w:tbl>
    <w:p>
      <w:pPr>
        <w:widowControl/>
        <w:numPr>
          <w:ilvl w:val="0"/>
          <w:numId w:val="0"/>
        </w:numPr>
        <w:ind w:firstLine="2529" w:firstLineChars="900"/>
        <w:jc w:val="both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firstLine="2529" w:firstLineChars="900"/>
        <w:jc w:val="both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四、工程化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研发产出与运行成效</w:t>
      </w:r>
    </w:p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上一年度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获得的自主知识产权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单位：项</w:t>
      </w:r>
    </w:p>
    <w:tbl>
      <w:tblPr>
        <w:tblStyle w:val="9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45"/>
        <w:gridCol w:w="1140"/>
        <w:gridCol w:w="870"/>
        <w:gridCol w:w="1065"/>
        <w:gridCol w:w="915"/>
        <w:gridCol w:w="103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知识产权总数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发明专利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植物新品种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农作物新品种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国家新药证书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国家一级中药保护品种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集成电路布图设计专有权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上一年度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制修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订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标准情况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单位：项</w:t>
      </w:r>
    </w:p>
    <w:tbl>
      <w:tblPr>
        <w:tblStyle w:val="9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83"/>
        <w:gridCol w:w="1358"/>
        <w:gridCol w:w="1257"/>
        <w:gridCol w:w="1378"/>
        <w:gridCol w:w="121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总数</w:t>
            </w:r>
          </w:p>
        </w:tc>
        <w:tc>
          <w:tcPr>
            <w:tcW w:w="649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国际标准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国家标准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地方标准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行业标准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主持制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订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参与制修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订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表4-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成果来源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单位：项</w:t>
      </w:r>
    </w:p>
    <w:tbl>
      <w:tblPr>
        <w:tblStyle w:val="9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628"/>
        <w:gridCol w:w="2734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来源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自行开发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合作研究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成果数（项）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表4-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成果推广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单位：项</w:t>
      </w:r>
    </w:p>
    <w:tbl>
      <w:tblPr>
        <w:tblStyle w:val="9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0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已推广、转让成果（产品、技术）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总数：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0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802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其中：本行业应用：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外行业应用：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widowControl/>
        <w:numPr>
          <w:ilvl w:val="0"/>
          <w:numId w:val="0"/>
        </w:numPr>
        <w:ind w:firstLine="2529" w:firstLineChars="900"/>
        <w:jc w:val="both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开放</w:t>
      </w:r>
      <w:r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  <w:t>服务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与运行管理</w:t>
      </w:r>
    </w:p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交流情况         单位：次、人、项、万元</w:t>
      </w:r>
    </w:p>
    <w:tbl>
      <w:tblPr>
        <w:tblStyle w:val="9"/>
        <w:tblW w:w="0" w:type="auto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693"/>
        <w:gridCol w:w="2059"/>
        <w:gridCol w:w="124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级别（国家级/省级/行业）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参与形式（主办/承办/协办）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表5-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培训人员情况             单位：次、人</w:t>
      </w:r>
    </w:p>
    <w:tbl>
      <w:tblPr>
        <w:tblStyle w:val="9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740"/>
        <w:gridCol w:w="1350"/>
        <w:gridCol w:w="178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培训会议名称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主办单位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（人数）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承担行业技术服务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情况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单位：次、人、项、万元</w:t>
      </w:r>
    </w:p>
    <w:tbl>
      <w:tblPr>
        <w:tblStyle w:val="9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2059"/>
        <w:gridCol w:w="1252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服务内容/名称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合作单位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对外开放服务情况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情况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小时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条</w:t>
      </w:r>
    </w:p>
    <w:tbl>
      <w:tblPr>
        <w:tblStyle w:val="9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80"/>
        <w:gridCol w:w="1515"/>
        <w:gridCol w:w="1515"/>
        <w:gridCol w:w="1252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开放实（试）验室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开放设备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开放生产线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数量（个）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服务时间（小时）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数量（台/套）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服务时间（小时）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数量（条）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服务时间（小时）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4745355</wp:posOffset>
              </wp:positionH>
              <wp:positionV relativeFrom="paragraph">
                <wp:posOffset>-139700</wp:posOffset>
              </wp:positionV>
              <wp:extent cx="511810" cy="2851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181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65pt;margin-top:-11pt;height:22.45pt;width:40.3pt;mso-position-horizontal-relative:margin;z-index:251659264;mso-width-relative:page;mso-height-relative:page;" filled="f" stroked="f" coordsize="21600,21600" o:gfxdata="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k+5MaNkAAAAKAQAADwAAAAAAAAABACAAAAA4AAAAZHJzL2Rvd25yZXYueG1s&#10;UEsBAhQAFAAAAAgAh07iQPu0650aAgAAG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0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-130175</wp:posOffset>
              </wp:positionV>
              <wp:extent cx="530860" cy="2762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086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25pt;height:21.75pt;width:41.8pt;mso-position-horizontal-relative:margin;z-index:251660288;mso-width-relative:page;mso-height-relative:page;" filled="f" stroked="f" coordsize="21600,21600" o:gfxdata="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tRHP41QAAAAYBAAAPAAAAAAAAAAEAIAAAADgAAABkcnMvZG93bnJldi54bWxQSwEC&#10;FAAUAAAACACHTuJACIGs3RoCAAAZ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23A"/>
    <w:rsid w:val="07832835"/>
    <w:rsid w:val="0B8749AF"/>
    <w:rsid w:val="0C006EB6"/>
    <w:rsid w:val="114446C3"/>
    <w:rsid w:val="12FC2B62"/>
    <w:rsid w:val="131B6706"/>
    <w:rsid w:val="181B06C7"/>
    <w:rsid w:val="1B903061"/>
    <w:rsid w:val="1D484BC7"/>
    <w:rsid w:val="1E67231D"/>
    <w:rsid w:val="1F65380A"/>
    <w:rsid w:val="1FFD488F"/>
    <w:rsid w:val="23AA1F3A"/>
    <w:rsid w:val="272C59EF"/>
    <w:rsid w:val="29372F6C"/>
    <w:rsid w:val="2A0A0130"/>
    <w:rsid w:val="302D0F22"/>
    <w:rsid w:val="30624177"/>
    <w:rsid w:val="366F17BA"/>
    <w:rsid w:val="36E6F920"/>
    <w:rsid w:val="39281C55"/>
    <w:rsid w:val="3BDFECE8"/>
    <w:rsid w:val="3BE248B0"/>
    <w:rsid w:val="3DC51601"/>
    <w:rsid w:val="3F6E98C0"/>
    <w:rsid w:val="461D07A5"/>
    <w:rsid w:val="4A8E3DD2"/>
    <w:rsid w:val="4C761C84"/>
    <w:rsid w:val="5069734D"/>
    <w:rsid w:val="520C25F6"/>
    <w:rsid w:val="540255D9"/>
    <w:rsid w:val="54FF7E0D"/>
    <w:rsid w:val="59AA014D"/>
    <w:rsid w:val="5A777C07"/>
    <w:rsid w:val="5B9DC5B4"/>
    <w:rsid w:val="5F1B393C"/>
    <w:rsid w:val="5F9DAD71"/>
    <w:rsid w:val="63EC7C91"/>
    <w:rsid w:val="767F7ACB"/>
    <w:rsid w:val="778F052D"/>
    <w:rsid w:val="7A450E5F"/>
    <w:rsid w:val="7B0C3DC3"/>
    <w:rsid w:val="7BDAA77D"/>
    <w:rsid w:val="7BF78814"/>
    <w:rsid w:val="7FE71191"/>
    <w:rsid w:val="BAFBA06B"/>
    <w:rsid w:val="BCFF58CE"/>
    <w:rsid w:val="C7EFD32E"/>
    <w:rsid w:val="DB7D72CB"/>
    <w:rsid w:val="DBBDFEAD"/>
    <w:rsid w:val="DED19560"/>
    <w:rsid w:val="EE87BE7E"/>
    <w:rsid w:val="EFFF8455"/>
    <w:rsid w:val="FCFF476A"/>
    <w:rsid w:val="FFCCD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5">
    <w:name w:val="Date"/>
    <w:basedOn w:val="1"/>
    <w:next w:val="1"/>
    <w:qFormat/>
    <w:uiPriority w:val="0"/>
    <w:rPr>
      <w:rFonts w:ascii="宋体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font9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14976</Words>
  <Characters>15600</Characters>
  <Lines>44</Lines>
  <Paragraphs>12</Paragraphs>
  <TotalTime>36</TotalTime>
  <ScaleCrop>false</ScaleCrop>
  <LinksUpToDate>false</LinksUpToDate>
  <CharactersWithSpaces>16844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2020-10-20T10:44:00Z</dcterms:created>
  <dc:creator>施福忠</dc:creator>
  <cp:lastModifiedBy>user</cp:lastModifiedBy>
  <cp:lastPrinted>2019-06-18T14:08:00Z</cp:lastPrinted>
  <dcterms:modified xsi:type="dcterms:W3CDTF">2022-03-28T18:14:26Z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3A779E8A56934574B969A1EEA244E56E</vt:lpwstr>
  </property>
</Properties>
</file>