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eastAsia="方正小标宋简体"/>
          <w:color w:val="000000"/>
          <w:sz w:val="72"/>
          <w:szCs w:val="72"/>
        </w:rPr>
      </w:pPr>
      <w:bookmarkStart w:id="0" w:name="_Toc15306267"/>
    </w:p>
    <w:p>
      <w:pPr>
        <w:spacing w:line="600" w:lineRule="exact"/>
        <w:jc w:val="center"/>
        <w:outlineLvl w:val="0"/>
        <w:rPr>
          <w:rFonts w:eastAsia="方正小标宋简体"/>
          <w:color w:val="000000"/>
          <w:sz w:val="72"/>
          <w:szCs w:val="72"/>
        </w:rPr>
      </w:pPr>
    </w:p>
    <w:p>
      <w:pPr>
        <w:spacing w:line="600" w:lineRule="exact"/>
        <w:jc w:val="center"/>
        <w:outlineLvl w:val="0"/>
        <w:rPr>
          <w:rFonts w:eastAsia="方正小标宋简体"/>
          <w:color w:val="000000"/>
          <w:sz w:val="72"/>
          <w:szCs w:val="72"/>
        </w:rPr>
      </w:pPr>
    </w:p>
    <w:p>
      <w:pPr>
        <w:adjustRightInd w:val="0"/>
        <w:snapToGrid w:val="0"/>
        <w:spacing w:line="360" w:lineRule="auto"/>
        <w:jc w:val="center"/>
        <w:outlineLvl w:val="0"/>
        <w:rPr>
          <w:rFonts w:eastAsia="方正小标宋简体"/>
          <w:color w:val="000000"/>
          <w:sz w:val="72"/>
          <w:szCs w:val="72"/>
        </w:rPr>
      </w:pPr>
      <w:bookmarkStart w:id="1" w:name="_Toc15396597"/>
      <w:bookmarkStart w:id="2" w:name="_Toc15377425"/>
      <w:bookmarkStart w:id="3" w:name="_Toc15396475"/>
      <w:bookmarkStart w:id="4" w:name="_Toc15377193"/>
      <w:bookmarkStart w:id="5" w:name="_Toc15378441"/>
      <w:r>
        <w:rPr>
          <w:rFonts w:eastAsia="黑体"/>
          <w:color w:val="000000"/>
          <w:sz w:val="72"/>
          <w:szCs w:val="72"/>
        </w:rPr>
        <w:t>2020</w:t>
      </w:r>
      <w:r>
        <w:rPr>
          <w:rFonts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eastAsia="方正小标宋简体"/>
          <w:color w:val="000000"/>
          <w:sz w:val="72"/>
          <w:szCs w:val="72"/>
        </w:rPr>
      </w:pPr>
      <w:bookmarkStart w:id="6" w:name="_Toc15396598"/>
      <w:bookmarkStart w:id="7" w:name="_Toc15377194"/>
      <w:bookmarkStart w:id="8" w:name="_Toc15396476"/>
      <w:bookmarkStart w:id="9" w:name="_Toc15378442"/>
      <w:bookmarkStart w:id="10" w:name="_Toc15377426"/>
      <w:r>
        <w:rPr>
          <w:rFonts w:eastAsia="方正小标宋简体"/>
          <w:color w:val="000000"/>
          <w:spacing w:val="-17"/>
          <w:sz w:val="72"/>
          <w:szCs w:val="72"/>
        </w:rPr>
        <w:t>四川省</w:t>
      </w:r>
      <w:bookmarkEnd w:id="0"/>
      <w:bookmarkStart w:id="11" w:name="_Toc15306268"/>
      <w:r>
        <w:rPr>
          <w:rFonts w:eastAsia="方正小标宋简体"/>
          <w:color w:val="000000"/>
          <w:spacing w:val="-17"/>
          <w:sz w:val="72"/>
          <w:szCs w:val="72"/>
        </w:rPr>
        <w:t>攀枝花市科学技术局</w:t>
      </w:r>
    </w:p>
    <w:p>
      <w:pPr>
        <w:adjustRightInd w:val="0"/>
        <w:snapToGrid w:val="0"/>
        <w:spacing w:line="360" w:lineRule="auto"/>
        <w:jc w:val="center"/>
        <w:outlineLvl w:val="0"/>
        <w:rPr>
          <w:rFonts w:eastAsia="方正小标宋简体"/>
          <w:color w:val="000000"/>
          <w:sz w:val="72"/>
          <w:szCs w:val="72"/>
        </w:rPr>
      </w:pPr>
      <w:r>
        <w:rPr>
          <w:rFonts w:eastAsia="方正小标宋简体"/>
          <w:color w:val="000000"/>
          <w:sz w:val="72"/>
          <w:szCs w:val="72"/>
        </w:rPr>
        <w:t>部门决算</w:t>
      </w:r>
      <w:bookmarkEnd w:id="6"/>
      <w:bookmarkEnd w:id="7"/>
      <w:bookmarkEnd w:id="8"/>
      <w:bookmarkEnd w:id="9"/>
      <w:bookmarkEnd w:id="10"/>
      <w:bookmarkEnd w:id="11"/>
    </w:p>
    <w:p>
      <w:pPr>
        <w:adjustRightInd w:val="0"/>
        <w:snapToGrid w:val="0"/>
        <w:spacing w:line="360" w:lineRule="auto"/>
        <w:jc w:val="center"/>
        <w:outlineLvl w:val="0"/>
        <w:rPr>
          <w:rFonts w:eastAsia="方正小标宋简体"/>
          <w:color w:val="000000"/>
          <w:sz w:val="52"/>
          <w:szCs w:val="52"/>
        </w:rPr>
      </w:pPr>
    </w:p>
    <w:p>
      <w:pPr>
        <w:widowControl/>
        <w:jc w:val="center"/>
        <w:rPr>
          <w:rFonts w:eastAsia="黑体"/>
          <w:color w:val="000000"/>
          <w:sz w:val="48"/>
          <w:szCs w:val="48"/>
        </w:rPr>
      </w:pPr>
      <w:r>
        <w:rPr>
          <w:rFonts w:eastAsia="方正小标宋简体"/>
          <w:color w:val="000000"/>
          <w:sz w:val="36"/>
          <w:szCs w:val="36"/>
        </w:rPr>
        <w:br w:type="page"/>
      </w:r>
      <w:r>
        <w:rPr>
          <w:rFonts w:eastAsia="黑体"/>
          <w:color w:val="000000"/>
          <w:sz w:val="48"/>
          <w:szCs w:val="48"/>
        </w:rPr>
        <w:t>目录</w:t>
      </w:r>
    </w:p>
    <w:p>
      <w:pPr>
        <w:widowControl/>
        <w:jc w:val="center"/>
        <w:rPr>
          <w:rFonts w:eastAsia="黑体"/>
          <w:sz w:val="28"/>
          <w:szCs w:val="28"/>
        </w:rPr>
      </w:pPr>
    </w:p>
    <w:p>
      <w:pPr>
        <w:pStyle w:val="7"/>
        <w:rPr>
          <w:rFonts w:ascii="Times New Roman" w:hAnsi="Times New Roman"/>
        </w:rPr>
      </w:pPr>
      <w:r>
        <w:rPr>
          <w:rFonts w:ascii="Times New Roman" w:hAnsi="Times New Roman"/>
        </w:rPr>
        <w:t>公开时间：2021年9月</w:t>
      </w:r>
      <w:r>
        <w:rPr>
          <w:rFonts w:hint="eastAsia" w:ascii="Times New Roman" w:hAnsi="Times New Roman"/>
          <w:lang w:val="en-US" w:eastAsia="zh-CN"/>
        </w:rPr>
        <w:t>13</w:t>
      </w:r>
      <w:bookmarkStart w:id="77" w:name="_GoBack"/>
      <w:bookmarkEnd w:id="77"/>
      <w:r>
        <w:rPr>
          <w:rFonts w:ascii="Times New Roman" w:hAnsi="Times New Roman"/>
        </w:rPr>
        <w:t>日</w:t>
      </w:r>
    </w:p>
    <w:p/>
    <w:p>
      <w:pPr>
        <w:pStyle w:val="7"/>
        <w:adjustRightInd w:val="0"/>
        <w:snapToGrid w:val="0"/>
        <w:spacing w:before="0" w:line="440" w:lineRule="exact"/>
        <w:jc w:val="left"/>
        <w:rPr>
          <w:rFonts w:ascii="Times New Roman" w:hAnsi="Times New Roman"/>
          <w:sz w:val="24"/>
          <w:szCs w:val="24"/>
        </w:rPr>
      </w:pPr>
      <w:r>
        <w:rPr>
          <w:rFonts w:ascii="Times New Roman" w:hAnsi="Times New Roman"/>
          <w:sz w:val="24"/>
        </w:rPr>
        <w:t>第一部分 部门概况</w:t>
      </w:r>
      <w:r>
        <w:rPr>
          <w:rFonts w:hint="eastAsia"/>
          <w:sz w:val="24"/>
        </w:rPr>
        <w:t>...............................................</w:t>
      </w:r>
      <w:r>
        <w:rPr>
          <w:rFonts w:hint="eastAsia" w:ascii="Times New Roman" w:hAnsi="Times New Roman" w:eastAsia="宋体"/>
          <w:sz w:val="24"/>
          <w:szCs w:val="24"/>
        </w:rPr>
        <w:t>4</w:t>
      </w:r>
    </w:p>
    <w:p>
      <w:pPr>
        <w:pStyle w:val="8"/>
        <w:adjustRightInd w:val="0"/>
        <w:snapToGrid w:val="0"/>
        <w:spacing w:line="440" w:lineRule="exact"/>
        <w:jc w:val="left"/>
        <w:rPr>
          <w:rFonts w:hint="eastAsia"/>
          <w:sz w:val="24"/>
        </w:rPr>
      </w:pPr>
      <w:r>
        <w:rPr>
          <w:sz w:val="24"/>
        </w:rPr>
        <w:t>一、基本职能及主要工作</w:t>
      </w:r>
      <w:r>
        <w:rPr>
          <w:rFonts w:hint="eastAsia"/>
          <w:sz w:val="24"/>
        </w:rPr>
        <w:t>.............................................................................4</w:t>
      </w:r>
    </w:p>
    <w:p>
      <w:pPr>
        <w:pStyle w:val="8"/>
        <w:adjustRightInd w:val="0"/>
        <w:snapToGrid w:val="0"/>
        <w:spacing w:line="440" w:lineRule="exact"/>
        <w:jc w:val="left"/>
        <w:rPr>
          <w:sz w:val="24"/>
        </w:rPr>
      </w:pPr>
      <w:r>
        <w:rPr>
          <w:sz w:val="24"/>
        </w:rPr>
        <w:t>二、机构设置</w:t>
      </w:r>
      <w:r>
        <w:rPr>
          <w:rFonts w:hint="eastAsia"/>
          <w:sz w:val="24"/>
        </w:rPr>
        <w:t>.................................................................................................9</w:t>
      </w:r>
    </w:p>
    <w:p>
      <w:pPr>
        <w:pStyle w:val="7"/>
        <w:adjustRightInd w:val="0"/>
        <w:snapToGrid w:val="0"/>
        <w:spacing w:before="0" w:line="440" w:lineRule="exact"/>
        <w:jc w:val="left"/>
        <w:rPr>
          <w:rFonts w:ascii="Times New Roman" w:hAnsi="Times New Roman"/>
          <w:sz w:val="24"/>
          <w:szCs w:val="24"/>
        </w:rPr>
      </w:pPr>
      <w:r>
        <w:rPr>
          <w:rFonts w:ascii="Times New Roman" w:hAnsi="Times New Roman"/>
          <w:sz w:val="24"/>
        </w:rPr>
        <w:t>第二部分</w:t>
      </w:r>
      <w:r>
        <w:rPr>
          <w:rFonts w:hint="eastAsia" w:ascii="Times New Roman" w:hAnsi="Times New Roman"/>
          <w:sz w:val="24"/>
        </w:rPr>
        <w:t>2</w:t>
      </w:r>
      <w:r>
        <w:rPr>
          <w:rFonts w:ascii="Times New Roman" w:hAnsi="Times New Roman"/>
          <w:sz w:val="24"/>
        </w:rPr>
        <w:t>020</w:t>
      </w:r>
      <w:r>
        <w:rPr>
          <w:rFonts w:hint="eastAsia" w:ascii="Times New Roman" w:hAnsi="Times New Roman"/>
          <w:sz w:val="24"/>
        </w:rPr>
        <w:t>年</w:t>
      </w:r>
      <w:r>
        <w:rPr>
          <w:rFonts w:ascii="Times New Roman" w:hAnsi="Times New Roman"/>
          <w:sz w:val="24"/>
        </w:rPr>
        <w:t>度部门决算情况说明</w:t>
      </w:r>
      <w:r>
        <w:rPr>
          <w:rFonts w:hint="eastAsia"/>
          <w:sz w:val="24"/>
        </w:rPr>
        <w:t>...............................</w:t>
      </w:r>
      <w:r>
        <w:rPr>
          <w:rFonts w:hint="eastAsia" w:ascii="Times New Roman" w:hAnsi="Times New Roman" w:eastAsia="宋体"/>
          <w:sz w:val="24"/>
          <w:szCs w:val="24"/>
        </w:rPr>
        <w:t>10</w:t>
      </w:r>
    </w:p>
    <w:p>
      <w:pPr>
        <w:pStyle w:val="8"/>
        <w:adjustRightInd w:val="0"/>
        <w:snapToGrid w:val="0"/>
        <w:spacing w:line="440" w:lineRule="exact"/>
        <w:jc w:val="left"/>
        <w:rPr>
          <w:sz w:val="24"/>
        </w:rPr>
      </w:pPr>
      <w:r>
        <w:rPr>
          <w:sz w:val="24"/>
        </w:rPr>
        <w:t>一、收入支出决算总体情况说明</w:t>
      </w:r>
      <w:r>
        <w:rPr>
          <w:rFonts w:hint="eastAsia"/>
          <w:sz w:val="24"/>
        </w:rPr>
        <w:t>................................................................10</w:t>
      </w:r>
    </w:p>
    <w:p>
      <w:pPr>
        <w:pStyle w:val="8"/>
        <w:adjustRightInd w:val="0"/>
        <w:snapToGrid w:val="0"/>
        <w:spacing w:line="440" w:lineRule="exact"/>
        <w:jc w:val="left"/>
        <w:rPr>
          <w:sz w:val="24"/>
        </w:rPr>
      </w:pPr>
      <w:r>
        <w:rPr>
          <w:sz w:val="24"/>
        </w:rPr>
        <w:t>二、收入决算情况说明</w:t>
      </w:r>
      <w:r>
        <w:rPr>
          <w:rFonts w:hint="eastAsia"/>
          <w:sz w:val="24"/>
        </w:rPr>
        <w:t>................................................................................10</w:t>
      </w:r>
    </w:p>
    <w:p>
      <w:pPr>
        <w:pStyle w:val="8"/>
        <w:adjustRightInd w:val="0"/>
        <w:snapToGrid w:val="0"/>
        <w:spacing w:line="440" w:lineRule="exact"/>
        <w:jc w:val="left"/>
        <w:rPr>
          <w:sz w:val="24"/>
        </w:rPr>
      </w:pPr>
      <w:r>
        <w:rPr>
          <w:sz w:val="24"/>
        </w:rPr>
        <w:t>三、支出决算情况说明</w:t>
      </w:r>
      <w:r>
        <w:rPr>
          <w:rFonts w:hint="eastAsia"/>
          <w:sz w:val="24"/>
        </w:rPr>
        <w:t>................................................................................11</w:t>
      </w:r>
    </w:p>
    <w:p>
      <w:pPr>
        <w:pStyle w:val="8"/>
        <w:adjustRightInd w:val="0"/>
        <w:snapToGrid w:val="0"/>
        <w:spacing w:line="440" w:lineRule="exact"/>
        <w:jc w:val="left"/>
        <w:rPr>
          <w:rFonts w:eastAsia="仿宋"/>
          <w:sz w:val="24"/>
        </w:rPr>
      </w:pPr>
      <w:r>
        <w:rPr>
          <w:sz w:val="24"/>
        </w:rPr>
        <w:t>四、财政拨款收入支出决算总体情况说明</w:t>
      </w:r>
      <w:r>
        <w:rPr>
          <w:rFonts w:hint="eastAsia"/>
          <w:sz w:val="24"/>
        </w:rPr>
        <w:t>................................................11</w:t>
      </w:r>
    </w:p>
    <w:p>
      <w:pPr>
        <w:pStyle w:val="8"/>
        <w:adjustRightInd w:val="0"/>
        <w:snapToGrid w:val="0"/>
        <w:spacing w:line="440" w:lineRule="exact"/>
        <w:jc w:val="left"/>
        <w:rPr>
          <w:rFonts w:eastAsia="仿宋"/>
          <w:sz w:val="24"/>
        </w:rPr>
      </w:pPr>
      <w:r>
        <w:rPr>
          <w:sz w:val="24"/>
        </w:rPr>
        <w:t>五、一般公共预算财政拨款支出决算情况说明</w:t>
      </w:r>
      <w:r>
        <w:rPr>
          <w:rFonts w:hint="eastAsia"/>
          <w:sz w:val="24"/>
        </w:rPr>
        <w:t>........................................12</w:t>
      </w:r>
    </w:p>
    <w:p>
      <w:pPr>
        <w:pStyle w:val="8"/>
        <w:adjustRightInd w:val="0"/>
        <w:snapToGrid w:val="0"/>
        <w:spacing w:line="440" w:lineRule="exact"/>
        <w:jc w:val="left"/>
        <w:rPr>
          <w:rFonts w:eastAsia="仿宋"/>
          <w:sz w:val="24"/>
        </w:rPr>
      </w:pPr>
      <w:r>
        <w:rPr>
          <w:sz w:val="24"/>
        </w:rPr>
        <w:t>六、一般公共预算财政拨款基本支出决算情况说明</w:t>
      </w:r>
      <w:r>
        <w:rPr>
          <w:rFonts w:hint="eastAsia"/>
          <w:sz w:val="24"/>
        </w:rPr>
        <w:t>................................15</w:t>
      </w:r>
    </w:p>
    <w:p>
      <w:pPr>
        <w:pStyle w:val="8"/>
        <w:adjustRightInd w:val="0"/>
        <w:snapToGrid w:val="0"/>
        <w:spacing w:line="440" w:lineRule="exact"/>
        <w:jc w:val="left"/>
        <w:rPr>
          <w:rFonts w:eastAsia="仿宋"/>
          <w:sz w:val="24"/>
        </w:rPr>
      </w:pPr>
      <w:r>
        <w:rPr>
          <w:sz w:val="24"/>
        </w:rPr>
        <w:t>七、“三公”经费财政拨款支出决算情况说明</w:t>
      </w:r>
      <w:r>
        <w:rPr>
          <w:rFonts w:hint="eastAsia"/>
          <w:sz w:val="24"/>
        </w:rPr>
        <w:t>............................................16</w:t>
      </w:r>
    </w:p>
    <w:p>
      <w:pPr>
        <w:pStyle w:val="8"/>
        <w:adjustRightInd w:val="0"/>
        <w:snapToGrid w:val="0"/>
        <w:spacing w:line="440" w:lineRule="exact"/>
        <w:jc w:val="left"/>
        <w:rPr>
          <w:rFonts w:hint="eastAsia" w:eastAsia="仿宋"/>
          <w:sz w:val="24"/>
        </w:rPr>
      </w:pPr>
      <w:r>
        <w:rPr>
          <w:sz w:val="24"/>
        </w:rPr>
        <w:t>八、政府性基金预算支出决算情况说明</w:t>
      </w:r>
      <w:r>
        <w:rPr>
          <w:rFonts w:hint="eastAsia"/>
          <w:sz w:val="24"/>
        </w:rPr>
        <w:t>....................................................</w:t>
      </w:r>
      <w:r>
        <w:rPr>
          <w:rFonts w:hint="eastAsia" w:eastAsia="仿宋"/>
          <w:sz w:val="24"/>
        </w:rPr>
        <w:t>17</w:t>
      </w:r>
    </w:p>
    <w:p>
      <w:pPr>
        <w:pStyle w:val="8"/>
        <w:adjustRightInd w:val="0"/>
        <w:snapToGrid w:val="0"/>
        <w:spacing w:line="440" w:lineRule="exact"/>
        <w:jc w:val="left"/>
        <w:rPr>
          <w:rFonts w:eastAsia="仿宋"/>
          <w:sz w:val="24"/>
        </w:rPr>
      </w:pPr>
      <w:r>
        <w:rPr>
          <w:sz w:val="24"/>
        </w:rPr>
        <w:t>九、国有资本经营预算支出决算情况说明</w:t>
      </w:r>
      <w:r>
        <w:rPr>
          <w:rFonts w:hint="eastAsia"/>
          <w:sz w:val="24"/>
        </w:rPr>
        <w:t>................................................17</w:t>
      </w:r>
    </w:p>
    <w:p>
      <w:pPr>
        <w:adjustRightInd w:val="0"/>
        <w:snapToGrid w:val="0"/>
        <w:spacing w:line="440" w:lineRule="exact"/>
        <w:ind w:firstLine="420" w:firstLineChars="175"/>
        <w:jc w:val="left"/>
        <w:rPr>
          <w:rFonts w:eastAsia="仿宋"/>
          <w:sz w:val="24"/>
        </w:rPr>
      </w:pPr>
      <w:r>
        <w:rPr>
          <w:sz w:val="24"/>
        </w:rPr>
        <w:t>十、其他重要事项的情况说明</w:t>
      </w:r>
      <w:r>
        <w:rPr>
          <w:rFonts w:hint="eastAsia"/>
          <w:sz w:val="24"/>
        </w:rPr>
        <w:t>....................................................................18</w:t>
      </w:r>
      <w:r>
        <w:rPr>
          <w:rFonts w:eastAsia="仿宋"/>
          <w:sz w:val="24"/>
        </w:rPr>
        <w:tab/>
      </w:r>
    </w:p>
    <w:p>
      <w:pPr>
        <w:pStyle w:val="7"/>
        <w:adjustRightInd w:val="0"/>
        <w:snapToGrid w:val="0"/>
        <w:spacing w:before="0" w:line="440" w:lineRule="exact"/>
        <w:jc w:val="left"/>
        <w:rPr>
          <w:rFonts w:ascii="Times New Roman" w:hAnsi="Times New Roman" w:eastAsia="宋体"/>
          <w:sz w:val="24"/>
          <w:szCs w:val="24"/>
        </w:rPr>
      </w:pPr>
      <w:r>
        <w:rPr>
          <w:rFonts w:ascii="Times New Roman" w:hAnsi="Times New Roman"/>
          <w:sz w:val="24"/>
        </w:rPr>
        <w:t>第三部分 名词解释</w:t>
      </w:r>
      <w:r>
        <w:rPr>
          <w:rFonts w:hint="eastAsia"/>
          <w:sz w:val="24"/>
        </w:rPr>
        <w:t>...............................................</w:t>
      </w:r>
      <w:r>
        <w:rPr>
          <w:rFonts w:hint="eastAsia" w:ascii="Times New Roman" w:hAnsi="Times New Roman" w:eastAsia="宋体"/>
          <w:sz w:val="24"/>
          <w:szCs w:val="24"/>
        </w:rPr>
        <w:t>27</w:t>
      </w:r>
    </w:p>
    <w:p>
      <w:pPr>
        <w:pStyle w:val="7"/>
        <w:adjustRightInd w:val="0"/>
        <w:snapToGrid w:val="0"/>
        <w:spacing w:before="0" w:line="440" w:lineRule="exact"/>
        <w:jc w:val="left"/>
        <w:rPr>
          <w:rFonts w:ascii="Times New Roman" w:hAnsi="Times New Roman"/>
          <w:sz w:val="24"/>
          <w:szCs w:val="24"/>
        </w:rPr>
      </w:pPr>
      <w:r>
        <w:rPr>
          <w:rFonts w:ascii="Times New Roman" w:hAnsi="Times New Roman"/>
          <w:sz w:val="24"/>
        </w:rPr>
        <w:t>第四部分 附件</w:t>
      </w:r>
      <w:r>
        <w:rPr>
          <w:rFonts w:hint="eastAsia"/>
          <w:sz w:val="24"/>
        </w:rPr>
        <w:t>...................................................</w:t>
      </w:r>
      <w:r>
        <w:rPr>
          <w:rFonts w:hint="eastAsia" w:ascii="Times New Roman" w:hAnsi="Times New Roman" w:eastAsia="宋体"/>
          <w:sz w:val="24"/>
          <w:szCs w:val="24"/>
        </w:rPr>
        <w:t>31</w:t>
      </w:r>
    </w:p>
    <w:p>
      <w:pPr>
        <w:pStyle w:val="8"/>
        <w:adjustRightInd w:val="0"/>
        <w:snapToGrid w:val="0"/>
        <w:spacing w:line="440" w:lineRule="exact"/>
        <w:jc w:val="left"/>
        <w:rPr>
          <w:rFonts w:eastAsia="仿宋"/>
          <w:sz w:val="24"/>
        </w:rPr>
      </w:pPr>
      <w:r>
        <w:rPr>
          <w:sz w:val="24"/>
        </w:rPr>
        <w:t>附件1</w:t>
      </w:r>
      <w:r>
        <w:rPr>
          <w:rFonts w:hint="eastAsia"/>
          <w:sz w:val="24"/>
        </w:rPr>
        <w:t>..............................................................................................................31</w:t>
      </w:r>
    </w:p>
    <w:p>
      <w:pPr>
        <w:pStyle w:val="8"/>
        <w:adjustRightInd w:val="0"/>
        <w:snapToGrid w:val="0"/>
        <w:spacing w:line="440" w:lineRule="exact"/>
        <w:jc w:val="left"/>
        <w:rPr>
          <w:rFonts w:eastAsia="仿宋"/>
          <w:sz w:val="24"/>
        </w:rPr>
      </w:pPr>
      <w:r>
        <w:rPr>
          <w:sz w:val="24"/>
        </w:rPr>
        <w:t>附件2</w:t>
      </w:r>
      <w:r>
        <w:rPr>
          <w:rFonts w:hint="eastAsia"/>
          <w:sz w:val="24"/>
        </w:rPr>
        <w:t>..............................................................................................................36</w:t>
      </w:r>
    </w:p>
    <w:p>
      <w:pPr>
        <w:pStyle w:val="7"/>
        <w:adjustRightInd w:val="0"/>
        <w:snapToGrid w:val="0"/>
        <w:spacing w:before="0" w:line="440" w:lineRule="exact"/>
        <w:jc w:val="left"/>
        <w:rPr>
          <w:rFonts w:ascii="Times New Roman" w:hAnsi="Times New Roman"/>
          <w:sz w:val="24"/>
          <w:szCs w:val="24"/>
        </w:rPr>
      </w:pPr>
      <w:r>
        <w:rPr>
          <w:rFonts w:ascii="Times New Roman" w:hAnsi="Times New Roman"/>
          <w:sz w:val="24"/>
        </w:rPr>
        <w:t>第五部分 附表</w:t>
      </w:r>
      <w:r>
        <w:rPr>
          <w:rFonts w:hint="eastAsia"/>
          <w:sz w:val="24"/>
        </w:rPr>
        <w:t>...................................................</w:t>
      </w:r>
      <w:r>
        <w:rPr>
          <w:rFonts w:hint="eastAsia" w:ascii="Times New Roman" w:hAnsi="Times New Roman" w:eastAsia="宋体"/>
          <w:sz w:val="24"/>
          <w:szCs w:val="24"/>
        </w:rPr>
        <w:t>43</w:t>
      </w:r>
    </w:p>
    <w:p>
      <w:pPr>
        <w:pStyle w:val="8"/>
        <w:adjustRightInd w:val="0"/>
        <w:snapToGrid w:val="0"/>
        <w:spacing w:line="440" w:lineRule="exact"/>
        <w:jc w:val="left"/>
        <w:rPr>
          <w:sz w:val="24"/>
        </w:rPr>
      </w:pPr>
      <w:r>
        <w:rPr>
          <w:sz w:val="24"/>
        </w:rPr>
        <w:t>一、收入支出决算总表</w:t>
      </w:r>
      <w:r>
        <w:rPr>
          <w:rFonts w:hint="eastAsia"/>
          <w:sz w:val="24"/>
        </w:rPr>
        <w:t>.................................................................................43</w:t>
      </w:r>
    </w:p>
    <w:p>
      <w:pPr>
        <w:pStyle w:val="8"/>
        <w:adjustRightInd w:val="0"/>
        <w:snapToGrid w:val="0"/>
        <w:spacing w:line="440" w:lineRule="exact"/>
        <w:jc w:val="left"/>
        <w:rPr>
          <w:sz w:val="24"/>
        </w:rPr>
      </w:pPr>
      <w:r>
        <w:rPr>
          <w:sz w:val="24"/>
        </w:rPr>
        <w:t>二、收入决算表</w:t>
      </w:r>
      <w:r>
        <w:rPr>
          <w:rFonts w:hint="eastAsia"/>
          <w:sz w:val="24"/>
        </w:rPr>
        <w:t>.............................................................................................43</w:t>
      </w:r>
    </w:p>
    <w:p>
      <w:pPr>
        <w:pStyle w:val="8"/>
        <w:adjustRightInd w:val="0"/>
        <w:snapToGrid w:val="0"/>
        <w:spacing w:line="440" w:lineRule="exact"/>
        <w:jc w:val="left"/>
        <w:rPr>
          <w:sz w:val="24"/>
        </w:rPr>
      </w:pPr>
      <w:r>
        <w:rPr>
          <w:sz w:val="24"/>
        </w:rPr>
        <w:t>三、支出决算表</w:t>
      </w:r>
      <w:r>
        <w:rPr>
          <w:rFonts w:hint="eastAsia"/>
          <w:sz w:val="24"/>
        </w:rPr>
        <w:t>.............................................................................................43</w:t>
      </w:r>
    </w:p>
    <w:p>
      <w:pPr>
        <w:pStyle w:val="8"/>
        <w:adjustRightInd w:val="0"/>
        <w:snapToGrid w:val="0"/>
        <w:spacing w:line="440" w:lineRule="exact"/>
        <w:jc w:val="left"/>
        <w:rPr>
          <w:sz w:val="24"/>
        </w:rPr>
      </w:pPr>
      <w:r>
        <w:rPr>
          <w:sz w:val="24"/>
        </w:rPr>
        <w:t>四、财政拨款收入支出决算总表</w:t>
      </w:r>
      <w:r>
        <w:rPr>
          <w:rFonts w:hint="eastAsia"/>
          <w:sz w:val="24"/>
        </w:rPr>
        <w:t>.................................................................43</w:t>
      </w:r>
    </w:p>
    <w:p>
      <w:pPr>
        <w:pStyle w:val="8"/>
        <w:adjustRightInd w:val="0"/>
        <w:snapToGrid w:val="0"/>
        <w:spacing w:line="440" w:lineRule="exact"/>
        <w:jc w:val="left"/>
        <w:rPr>
          <w:sz w:val="24"/>
        </w:rPr>
      </w:pPr>
      <w:r>
        <w:rPr>
          <w:sz w:val="24"/>
        </w:rPr>
        <w:t>五、财政拨款支出决算明细表</w:t>
      </w:r>
      <w:r>
        <w:rPr>
          <w:rFonts w:hint="eastAsia"/>
          <w:sz w:val="24"/>
        </w:rPr>
        <w:t>.....................................................................43</w:t>
      </w:r>
    </w:p>
    <w:p>
      <w:pPr>
        <w:pStyle w:val="8"/>
        <w:adjustRightInd w:val="0"/>
        <w:snapToGrid w:val="0"/>
        <w:spacing w:line="440" w:lineRule="exact"/>
        <w:jc w:val="left"/>
        <w:rPr>
          <w:sz w:val="24"/>
        </w:rPr>
      </w:pPr>
      <w:r>
        <w:rPr>
          <w:sz w:val="24"/>
        </w:rPr>
        <w:t>六、一般公共预算财政拨款支出决算表</w:t>
      </w:r>
      <w:r>
        <w:rPr>
          <w:rFonts w:hint="eastAsia"/>
          <w:sz w:val="24"/>
        </w:rPr>
        <w:t>.....................................................43</w:t>
      </w:r>
    </w:p>
    <w:p>
      <w:pPr>
        <w:pStyle w:val="8"/>
        <w:adjustRightInd w:val="0"/>
        <w:snapToGrid w:val="0"/>
        <w:spacing w:line="440" w:lineRule="exact"/>
        <w:jc w:val="left"/>
        <w:rPr>
          <w:sz w:val="24"/>
        </w:rPr>
      </w:pPr>
      <w:r>
        <w:rPr>
          <w:sz w:val="24"/>
        </w:rPr>
        <w:t>七、一般公共预算财政拨款支出决算明细表</w:t>
      </w:r>
      <w:r>
        <w:rPr>
          <w:rFonts w:hint="eastAsia"/>
          <w:sz w:val="24"/>
        </w:rPr>
        <w:t>.............................................43</w:t>
      </w:r>
    </w:p>
    <w:p>
      <w:pPr>
        <w:pStyle w:val="8"/>
        <w:adjustRightInd w:val="0"/>
        <w:snapToGrid w:val="0"/>
        <w:spacing w:line="440" w:lineRule="exact"/>
        <w:jc w:val="left"/>
        <w:rPr>
          <w:sz w:val="24"/>
        </w:rPr>
      </w:pPr>
      <w:r>
        <w:rPr>
          <w:sz w:val="24"/>
        </w:rPr>
        <w:t>八、一般公共预算财政拨款基本支出决算表</w:t>
      </w:r>
      <w:r>
        <w:rPr>
          <w:rFonts w:hint="eastAsia"/>
          <w:sz w:val="24"/>
        </w:rPr>
        <w:t>............................................43</w:t>
      </w:r>
    </w:p>
    <w:p>
      <w:pPr>
        <w:pStyle w:val="8"/>
        <w:adjustRightInd w:val="0"/>
        <w:snapToGrid w:val="0"/>
        <w:spacing w:line="440" w:lineRule="exact"/>
        <w:jc w:val="left"/>
        <w:rPr>
          <w:sz w:val="24"/>
        </w:rPr>
      </w:pPr>
      <w:r>
        <w:rPr>
          <w:sz w:val="24"/>
        </w:rPr>
        <w:t>九、一般公共预算财政拨款项目支出决算表</w:t>
      </w:r>
      <w:r>
        <w:rPr>
          <w:rFonts w:hint="eastAsia"/>
          <w:sz w:val="24"/>
        </w:rPr>
        <w:t>............................................43</w:t>
      </w:r>
    </w:p>
    <w:p>
      <w:pPr>
        <w:pStyle w:val="8"/>
        <w:adjustRightInd w:val="0"/>
        <w:snapToGrid w:val="0"/>
        <w:spacing w:line="440" w:lineRule="exact"/>
        <w:jc w:val="left"/>
        <w:rPr>
          <w:sz w:val="24"/>
        </w:rPr>
      </w:pPr>
      <w:r>
        <w:rPr>
          <w:sz w:val="24"/>
        </w:rPr>
        <w:t>十、一般公共预算财政拨款“三公”经费支出决算表</w:t>
      </w:r>
      <w:r>
        <w:rPr>
          <w:rFonts w:hint="eastAsia"/>
          <w:sz w:val="24"/>
        </w:rPr>
        <w:t>.................................43</w:t>
      </w:r>
    </w:p>
    <w:p>
      <w:pPr>
        <w:pStyle w:val="8"/>
        <w:adjustRightInd w:val="0"/>
        <w:snapToGrid w:val="0"/>
        <w:spacing w:line="440" w:lineRule="exact"/>
        <w:jc w:val="left"/>
        <w:rPr>
          <w:sz w:val="24"/>
        </w:rPr>
      </w:pPr>
      <w:r>
        <w:rPr>
          <w:sz w:val="24"/>
        </w:rPr>
        <w:t>十一、政府性基金预算财政拨款收入支出决算表</w:t>
      </w:r>
      <w:r>
        <w:rPr>
          <w:rFonts w:hint="eastAsia"/>
          <w:sz w:val="24"/>
        </w:rPr>
        <w:t>.....................................43</w:t>
      </w:r>
    </w:p>
    <w:p>
      <w:pPr>
        <w:pStyle w:val="8"/>
        <w:adjustRightInd w:val="0"/>
        <w:snapToGrid w:val="0"/>
        <w:spacing w:line="440" w:lineRule="exact"/>
        <w:jc w:val="left"/>
        <w:rPr>
          <w:sz w:val="24"/>
        </w:rPr>
      </w:pPr>
      <w:r>
        <w:rPr>
          <w:sz w:val="24"/>
        </w:rPr>
        <w:t>十二、政府性基金预算财政拨款“三公”经费支出决算表</w:t>
      </w:r>
      <w:r>
        <w:rPr>
          <w:rFonts w:hint="eastAsia"/>
          <w:sz w:val="24"/>
        </w:rPr>
        <w:t>.........................43</w:t>
      </w:r>
    </w:p>
    <w:p>
      <w:pPr>
        <w:pStyle w:val="8"/>
        <w:adjustRightInd w:val="0"/>
        <w:snapToGrid w:val="0"/>
        <w:spacing w:line="440" w:lineRule="exact"/>
        <w:jc w:val="left"/>
        <w:rPr>
          <w:sz w:val="24"/>
        </w:rPr>
      </w:pPr>
      <w:r>
        <w:rPr>
          <w:sz w:val="24"/>
        </w:rPr>
        <w:t>十三、国有资本经营预算财政拨款收入支出决算表</w:t>
      </w:r>
      <w:r>
        <w:rPr>
          <w:rFonts w:hint="eastAsia"/>
          <w:sz w:val="24"/>
        </w:rPr>
        <w:t>.................................43</w:t>
      </w:r>
    </w:p>
    <w:p>
      <w:pPr>
        <w:pStyle w:val="8"/>
        <w:adjustRightInd w:val="0"/>
        <w:snapToGrid w:val="0"/>
        <w:spacing w:line="440" w:lineRule="exact"/>
        <w:jc w:val="left"/>
        <w:rPr>
          <w:sz w:val="24"/>
        </w:rPr>
      </w:pPr>
      <w:r>
        <w:rPr>
          <w:sz w:val="24"/>
        </w:rPr>
        <w:t>十四、国有资本经营预算财政拨款支出决算表</w:t>
      </w:r>
      <w:r>
        <w:rPr>
          <w:rFonts w:hint="eastAsia"/>
          <w:sz w:val="24"/>
        </w:rPr>
        <w:t>.........................................43</w:t>
      </w:r>
    </w:p>
    <w:p>
      <w:pPr>
        <w:widowControl/>
        <w:adjustRightInd w:val="0"/>
        <w:snapToGrid w:val="0"/>
        <w:spacing w:line="440" w:lineRule="exact"/>
        <w:ind w:firstLine="1320" w:firstLineChars="550"/>
        <w:jc w:val="left"/>
        <w:rPr>
          <w:rFonts w:eastAsia="仿宋"/>
          <w:color w:val="FF0000"/>
          <w:sz w:val="24"/>
        </w:rPr>
      </w:pPr>
      <w:r>
        <w:rPr>
          <w:rFonts w:eastAsia="仿宋"/>
          <w:color w:val="FF0000"/>
          <w:sz w:val="24"/>
        </w:rPr>
        <w:t>(注：请部门根据实际注明页码)</w:t>
      </w:r>
    </w:p>
    <w:p>
      <w:pPr>
        <w:widowControl/>
        <w:spacing w:line="440" w:lineRule="exact"/>
        <w:jc w:val="left"/>
        <w:rPr>
          <w:rFonts w:eastAsia="仿宋"/>
          <w:bCs/>
          <w:kern w:val="44"/>
          <w:sz w:val="24"/>
        </w:rPr>
      </w:pPr>
      <w:bookmarkStart w:id="12" w:name="_Toc15396599"/>
      <w:bookmarkStart w:id="13" w:name="_Toc15377196"/>
      <w:r>
        <w:rPr>
          <w:rFonts w:eastAsia="仿宋"/>
          <w:b/>
          <w:sz w:val="24"/>
        </w:rPr>
        <w:br w:type="page"/>
      </w:r>
    </w:p>
    <w:p>
      <w:pPr>
        <w:pStyle w:val="2"/>
        <w:jc w:val="center"/>
        <w:rPr>
          <w:rStyle w:val="12"/>
          <w:rFonts w:eastAsia="黑体"/>
          <w:b w:val="0"/>
          <w:bCs w:val="0"/>
        </w:rPr>
      </w:pPr>
      <w:r>
        <w:rPr>
          <w:rFonts w:eastAsia="黑体"/>
          <w:b w:val="0"/>
        </w:rPr>
        <w:t xml:space="preserve">第一部分 </w:t>
      </w:r>
      <w:r>
        <w:rPr>
          <w:rStyle w:val="12"/>
          <w:rFonts w:eastAsia="黑体"/>
          <w:b w:val="0"/>
          <w:bCs w:val="0"/>
        </w:rPr>
        <w:t>部门概况</w:t>
      </w:r>
      <w:bookmarkEnd w:id="12"/>
      <w:bookmarkEnd w:id="13"/>
    </w:p>
    <w:p>
      <w:pPr>
        <w:widowControl/>
        <w:jc w:val="left"/>
        <w:rPr>
          <w:rFonts w:eastAsia="黑体"/>
          <w:color w:val="000000"/>
          <w:sz w:val="32"/>
          <w:szCs w:val="32"/>
        </w:rPr>
      </w:pPr>
    </w:p>
    <w:p>
      <w:pPr>
        <w:pStyle w:val="3"/>
        <w:spacing w:before="0" w:after="0" w:line="600" w:lineRule="exact"/>
        <w:ind w:firstLine="640" w:firstLineChars="200"/>
        <w:rPr>
          <w:rStyle w:val="13"/>
          <w:rFonts w:ascii="Times New Roman" w:hAnsi="Times New Roman" w:eastAsia="黑体"/>
          <w:b w:val="0"/>
          <w:bCs w:val="0"/>
        </w:rPr>
      </w:pPr>
      <w:bookmarkStart w:id="14" w:name="_Toc15377197"/>
      <w:bookmarkStart w:id="15" w:name="_Toc15396600"/>
      <w:r>
        <w:rPr>
          <w:rFonts w:ascii="Times New Roman" w:hAnsi="Times New Roman" w:eastAsia="黑体"/>
          <w:b w:val="0"/>
          <w:color w:val="000000"/>
        </w:rPr>
        <w:t>一、基</w:t>
      </w:r>
      <w:r>
        <w:rPr>
          <w:rStyle w:val="13"/>
          <w:rFonts w:ascii="Times New Roman" w:hAnsi="Times New Roman" w:eastAsia="黑体"/>
          <w:b w:val="0"/>
          <w:bCs w:val="0"/>
        </w:rPr>
        <w:t>本职能及主要工作</w:t>
      </w:r>
      <w:bookmarkEnd w:id="14"/>
      <w:bookmarkEnd w:id="15"/>
    </w:p>
    <w:p>
      <w:pPr>
        <w:pStyle w:val="4"/>
        <w:adjustRightInd w:val="0"/>
        <w:snapToGrid w:val="0"/>
        <w:spacing w:beforeLines="0" w:line="600" w:lineRule="exact"/>
        <w:ind w:firstLine="643" w:firstLineChars="200"/>
        <w:outlineLvl w:val="2"/>
        <w:rPr>
          <w:rFonts w:ascii="Times New Roman" w:eastAsia="仿宋"/>
          <w:b/>
          <w:bCs/>
          <w:color w:val="000000"/>
          <w:sz w:val="32"/>
          <w:szCs w:val="32"/>
        </w:rPr>
      </w:pPr>
      <w:bookmarkStart w:id="16" w:name="_Toc15378445"/>
      <w:bookmarkStart w:id="17" w:name="_Toc15377198"/>
      <w:r>
        <w:rPr>
          <w:rFonts w:ascii="Times New Roman" w:eastAsia="仿宋"/>
          <w:b/>
          <w:bCs/>
          <w:kern w:val="2"/>
          <w:sz w:val="32"/>
          <w:szCs w:val="32"/>
        </w:rPr>
        <w:t>（一）主要职能。</w:t>
      </w:r>
      <w:bookmarkEnd w:id="16"/>
      <w:bookmarkEnd w:id="17"/>
      <w:bookmarkStart w:id="18" w:name="_Toc15377199"/>
      <w:bookmarkStart w:id="19" w:name="_Toc15378446"/>
    </w:p>
    <w:p>
      <w:pPr>
        <w:spacing w:line="600" w:lineRule="exact"/>
        <w:ind w:firstLine="640" w:firstLineChars="200"/>
        <w:rPr>
          <w:rFonts w:eastAsia="仿宋"/>
          <w:sz w:val="32"/>
          <w:szCs w:val="32"/>
        </w:rPr>
      </w:pPr>
      <w:r>
        <w:rPr>
          <w:rFonts w:eastAsia="仿宋"/>
          <w:sz w:val="32"/>
          <w:szCs w:val="32"/>
        </w:rPr>
        <w:t>1.拟订全市创新驱动发展战略以及科技发展、引进国外智力规划和政策措施并组织实施。起草有关科技发展的政策措施并组织实施。</w:t>
      </w:r>
    </w:p>
    <w:p>
      <w:pPr>
        <w:spacing w:line="600" w:lineRule="exact"/>
        <w:ind w:firstLine="640" w:firstLineChars="200"/>
        <w:rPr>
          <w:rFonts w:eastAsia="仿宋"/>
          <w:sz w:val="32"/>
          <w:szCs w:val="32"/>
        </w:rPr>
      </w:pPr>
      <w:r>
        <w:rPr>
          <w:rFonts w:eastAsia="仿宋"/>
          <w:sz w:val="32"/>
          <w:szCs w:val="32"/>
        </w:rPr>
        <w:t>2.统筹推进全市科技创新体系建设和科技体制改革，会同有关部门健全技术创新激励机制。优化科研体系建设，指导科研机构改革发展，推动企业科技创新能力建设，承担推进科技军民融合发展相关工作，推进全市重大科技决策咨询制度建设。组织拟订全市推进创新创业、促进科技金融结合、科技招商的政策措施并组织实施。</w:t>
      </w:r>
    </w:p>
    <w:p>
      <w:pPr>
        <w:spacing w:line="600" w:lineRule="exact"/>
        <w:ind w:firstLine="640" w:firstLineChars="200"/>
        <w:rPr>
          <w:rFonts w:eastAsia="仿宋"/>
          <w:sz w:val="32"/>
          <w:szCs w:val="32"/>
        </w:rPr>
      </w:pPr>
      <w:r>
        <w:rPr>
          <w:rFonts w:eastAsia="仿宋"/>
          <w:sz w:val="32"/>
          <w:szCs w:val="32"/>
        </w:rPr>
        <w:t>3.牵头建立全市科研项目资金协调、实施、评估、监管机制。会同有关部门提出优化配置科技资源的政策措施建议，推动多元化科技投入体系建设。组织拟订市级财政科技计划（专项、基金）并监督和实施。负责本部门预算中的科技经费预决算及经费使用的监督管理。</w:t>
      </w:r>
    </w:p>
    <w:p>
      <w:pPr>
        <w:spacing w:line="600" w:lineRule="exact"/>
        <w:ind w:firstLine="640" w:firstLineChars="200"/>
        <w:rPr>
          <w:rFonts w:eastAsia="仿宋"/>
          <w:sz w:val="32"/>
          <w:szCs w:val="32"/>
        </w:rPr>
      </w:pPr>
      <w:r>
        <w:rPr>
          <w:rFonts w:eastAsia="仿宋"/>
          <w:sz w:val="32"/>
          <w:szCs w:val="32"/>
        </w:rPr>
        <w:t xml:space="preserve">4.组织协调全市重大基础研究和应用基础研究。拟订科技创新基地建设规划并监督实施，参与编制重大科技基础设施建设规划和监督实施。牵头推进在攀的国家、省（部）重点实验室、技术创新中心等重大科研平台建设，推动科研条件保障建设和科技资源开放共享。 </w:t>
      </w:r>
    </w:p>
    <w:p>
      <w:pPr>
        <w:spacing w:line="600" w:lineRule="exact"/>
        <w:ind w:firstLine="640" w:firstLineChars="200"/>
        <w:rPr>
          <w:rFonts w:eastAsia="仿宋"/>
          <w:sz w:val="32"/>
          <w:szCs w:val="32"/>
        </w:rPr>
      </w:pPr>
      <w:r>
        <w:rPr>
          <w:rFonts w:eastAsia="仿宋"/>
          <w:sz w:val="32"/>
          <w:szCs w:val="32"/>
        </w:rPr>
        <w:t xml:space="preserve">5.拟订推进攀西国家战略资源创新开发试验区建设发展的科技支撑计划并组织实施。编制全市重大科技专项方案并组织实施。统筹经济社会发展重要领域的关键共性技术、前沿引领技术、现代工程技术、颠覆性计划的研发和创新，牵头组织重大科技攻关和成果应用示范。组织开展重点领域技术发展需求分析，提出重大科技发展建议并组织实施。负责组织国家、省科学技术奖等科技评奖的申报、审核、推荐工作。 </w:t>
      </w:r>
    </w:p>
    <w:p>
      <w:pPr>
        <w:spacing w:line="600" w:lineRule="exact"/>
        <w:ind w:firstLine="640" w:firstLineChars="200"/>
        <w:rPr>
          <w:rFonts w:eastAsia="仿宋"/>
          <w:sz w:val="32"/>
          <w:szCs w:val="32"/>
        </w:rPr>
      </w:pPr>
      <w:r>
        <w:rPr>
          <w:rFonts w:eastAsia="仿宋"/>
          <w:sz w:val="32"/>
          <w:szCs w:val="32"/>
        </w:rPr>
        <w:t>6.组织拟订高新技术发展及产业化的规划和政策措施并组织实施。指导高新技术企业、创新型企业申报和创新平台建设，负责市级创新平台认定管理工作。组织开展科技型中小企业评价的初审工作。</w:t>
      </w:r>
    </w:p>
    <w:p>
      <w:pPr>
        <w:spacing w:line="600" w:lineRule="exact"/>
        <w:ind w:firstLine="640" w:firstLineChars="200"/>
        <w:rPr>
          <w:rFonts w:eastAsia="仿宋"/>
          <w:sz w:val="32"/>
          <w:szCs w:val="32"/>
        </w:rPr>
      </w:pPr>
      <w:r>
        <w:rPr>
          <w:rFonts w:eastAsia="仿宋"/>
          <w:sz w:val="32"/>
          <w:szCs w:val="32"/>
        </w:rPr>
        <w:t xml:space="preserve">7.组织拟订科技促进农业农村和社会发展的规划、政策和措施，指导现代农业示范基地建设，推进科技服务民生工作。拟订科学普及和科学传播规划，政策措施并组织实施。 </w:t>
      </w:r>
    </w:p>
    <w:p>
      <w:pPr>
        <w:spacing w:line="600" w:lineRule="exact"/>
        <w:ind w:firstLine="640" w:firstLineChars="200"/>
        <w:rPr>
          <w:rFonts w:eastAsia="仿宋"/>
          <w:sz w:val="32"/>
          <w:szCs w:val="32"/>
        </w:rPr>
      </w:pPr>
      <w:r>
        <w:rPr>
          <w:rFonts w:eastAsia="仿宋"/>
          <w:sz w:val="32"/>
          <w:szCs w:val="32"/>
        </w:rPr>
        <w:t xml:space="preserve">8.牵头全市技术转移体系建设，拟订科技成果转移转化和促进产学研结合的相关政策措施并组织实施。指导科技服务业、技术市场和科技中介组织发展。 </w:t>
      </w:r>
    </w:p>
    <w:p>
      <w:pPr>
        <w:spacing w:line="600" w:lineRule="exact"/>
        <w:ind w:firstLine="640" w:firstLineChars="200"/>
        <w:rPr>
          <w:rFonts w:eastAsia="仿宋"/>
          <w:sz w:val="32"/>
          <w:szCs w:val="32"/>
        </w:rPr>
      </w:pPr>
      <w:r>
        <w:rPr>
          <w:rFonts w:eastAsia="仿宋"/>
          <w:sz w:val="32"/>
          <w:szCs w:val="32"/>
        </w:rPr>
        <w:t xml:space="preserve">9.统筹区域科技创新体系建设，指导区域创新发展、科技资源合理布局和协同创新能力建设，推动高新技术园区建设。 </w:t>
      </w:r>
    </w:p>
    <w:p>
      <w:pPr>
        <w:spacing w:line="600" w:lineRule="exact"/>
        <w:ind w:firstLine="640" w:firstLineChars="200"/>
        <w:rPr>
          <w:rFonts w:eastAsia="仿宋"/>
          <w:sz w:val="32"/>
          <w:szCs w:val="32"/>
        </w:rPr>
      </w:pPr>
      <w:r>
        <w:rPr>
          <w:rFonts w:eastAsia="仿宋"/>
          <w:sz w:val="32"/>
          <w:szCs w:val="32"/>
        </w:rPr>
        <w:t xml:space="preserve">10.会同有关部门拟订科技人才队伍建设规划和政策，建立健全科技人才评价和激励机制，组织实施科技人才计划，推动高端科技创新人才队伍建设。 </w:t>
      </w:r>
    </w:p>
    <w:p>
      <w:pPr>
        <w:spacing w:line="600" w:lineRule="exact"/>
        <w:ind w:firstLine="640" w:firstLineChars="200"/>
        <w:rPr>
          <w:rFonts w:eastAsia="仿宋"/>
          <w:sz w:val="32"/>
          <w:szCs w:val="32"/>
        </w:rPr>
      </w:pPr>
      <w:r>
        <w:rPr>
          <w:rFonts w:eastAsia="仿宋"/>
          <w:sz w:val="32"/>
          <w:szCs w:val="32"/>
        </w:rPr>
        <w:t xml:space="preserve">11.负责科技监督评价体系建设和相关科技评估 管理，指导科技评价机制改革，统筹科研诚信建设。组织实施全市创新调查和科技报告制度，指导全市科技保密相关工作。 </w:t>
      </w:r>
    </w:p>
    <w:p>
      <w:pPr>
        <w:spacing w:line="600" w:lineRule="exact"/>
        <w:ind w:firstLine="640" w:firstLineChars="200"/>
        <w:rPr>
          <w:rFonts w:eastAsia="仿宋"/>
          <w:sz w:val="32"/>
          <w:szCs w:val="32"/>
        </w:rPr>
      </w:pPr>
      <w:r>
        <w:rPr>
          <w:rFonts w:eastAsia="仿宋"/>
          <w:sz w:val="32"/>
          <w:szCs w:val="32"/>
        </w:rPr>
        <w:t>12.拟订科技对外交流与创新能力开放合作的规划和政策措施，组织开展对外科技合作与科技人才交流。指导县（区）和相关部门对外科技合作与科技人才交流工作。负责有关科技博览展会参展推广的组织协调工作。</w:t>
      </w:r>
    </w:p>
    <w:p>
      <w:pPr>
        <w:spacing w:line="600" w:lineRule="exact"/>
        <w:ind w:firstLine="640" w:firstLineChars="200"/>
        <w:rPr>
          <w:rFonts w:eastAsia="仿宋"/>
          <w:sz w:val="32"/>
          <w:szCs w:val="32"/>
        </w:rPr>
      </w:pPr>
      <w:r>
        <w:rPr>
          <w:rFonts w:eastAsia="仿宋"/>
          <w:sz w:val="32"/>
          <w:szCs w:val="32"/>
        </w:rPr>
        <w:t xml:space="preserve">13.负责引进国外智力工作。拟订全市重点引进外国专家总体规划、计划并组织实施，建立外国顶尖专家、团队吸引集聚机制和重点外国专家联系服务机制。拟订出国（境）培训总体规划、政策和年度计划并监督实施。会同有关部门制定外国人来攀工作政策、办理相关外国人工作许可。 </w:t>
      </w:r>
    </w:p>
    <w:p>
      <w:pPr>
        <w:spacing w:line="600" w:lineRule="exact"/>
        <w:ind w:firstLine="640" w:firstLineChars="200"/>
        <w:rPr>
          <w:rFonts w:eastAsia="仿宋"/>
          <w:sz w:val="32"/>
          <w:szCs w:val="32"/>
        </w:rPr>
      </w:pPr>
      <w:r>
        <w:rPr>
          <w:rFonts w:eastAsia="仿宋"/>
          <w:sz w:val="32"/>
          <w:szCs w:val="32"/>
        </w:rPr>
        <w:t xml:space="preserve">14.负责职责范围内的安全生产和职业健康、生态环境保护、审批服务便民化等工作。 </w:t>
      </w:r>
    </w:p>
    <w:p>
      <w:pPr>
        <w:spacing w:line="600" w:lineRule="exact"/>
        <w:ind w:firstLine="640" w:firstLineChars="200"/>
        <w:rPr>
          <w:rFonts w:eastAsia="仿宋"/>
          <w:sz w:val="32"/>
          <w:szCs w:val="32"/>
        </w:rPr>
      </w:pPr>
      <w:r>
        <w:rPr>
          <w:rFonts w:eastAsia="仿宋"/>
          <w:sz w:val="32"/>
          <w:szCs w:val="32"/>
        </w:rPr>
        <w:t>15.完成市委、市政府交办的其他任务。</w:t>
      </w:r>
    </w:p>
    <w:p>
      <w:pPr>
        <w:pStyle w:val="4"/>
        <w:adjustRightInd w:val="0"/>
        <w:snapToGrid w:val="0"/>
        <w:spacing w:beforeLines="0" w:line="600" w:lineRule="exact"/>
        <w:ind w:firstLine="643" w:firstLineChars="200"/>
        <w:outlineLvl w:val="2"/>
        <w:rPr>
          <w:rFonts w:ascii="Times New Roman" w:eastAsia="仿宋"/>
          <w:b/>
          <w:bCs/>
          <w:sz w:val="32"/>
          <w:szCs w:val="32"/>
        </w:rPr>
      </w:pPr>
      <w:r>
        <w:rPr>
          <w:rFonts w:ascii="Times New Roman" w:eastAsia="仿宋"/>
          <w:b/>
          <w:bCs/>
          <w:sz w:val="32"/>
          <w:szCs w:val="32"/>
        </w:rPr>
        <w:t>（二）2020年重点工作完成情况。</w:t>
      </w:r>
      <w:bookmarkEnd w:id="18"/>
      <w:bookmarkEnd w:id="19"/>
    </w:p>
    <w:p>
      <w:pPr>
        <w:spacing w:line="600" w:lineRule="exact"/>
        <w:ind w:firstLine="640" w:firstLineChars="200"/>
        <w:rPr>
          <w:rFonts w:eastAsia="仿宋"/>
          <w:sz w:val="32"/>
          <w:szCs w:val="32"/>
        </w:rPr>
      </w:pPr>
      <w:r>
        <w:rPr>
          <w:rFonts w:eastAsia="仿宋"/>
          <w:sz w:val="32"/>
          <w:szCs w:val="32"/>
        </w:rPr>
        <w:t>1.加强党的建设。围绕“服务中心、建设队伍”，加强机关党建标准化建设。推进“不忘初心、牢记使命”主题教育和“守纪律、提效能、强执行、做表率”活动的常态化，持续推进作风建设，深入开展专项整治和问题整改，着力锻造忠诚、干净、担当的党员干部队伍，为贯彻落实中央、省委、市委决策部署，推进“两城”建设、打造区域创新高地、全力推进成渝地区双城经济圈建设等中心工作提供坚强的政治保障、组织保障、作风保障和纪律保障。</w:t>
      </w:r>
    </w:p>
    <w:p>
      <w:pPr>
        <w:spacing w:line="600" w:lineRule="exact"/>
        <w:ind w:firstLine="640" w:firstLineChars="200"/>
        <w:rPr>
          <w:rFonts w:eastAsia="仿宋"/>
          <w:sz w:val="32"/>
          <w:szCs w:val="32"/>
        </w:rPr>
      </w:pPr>
      <w:r>
        <w:rPr>
          <w:rFonts w:eastAsia="仿宋"/>
          <w:sz w:val="32"/>
          <w:szCs w:val="32"/>
        </w:rPr>
        <w:t>2.扎实抓好巡视组反馈问题整改落实。主动认领反馈问题，务实制定整改措施，扎实抓好整改落实，重点整改构建科技创新平台措施不力、质效不佳等问题。</w:t>
      </w:r>
    </w:p>
    <w:p>
      <w:pPr>
        <w:spacing w:line="600" w:lineRule="exact"/>
        <w:ind w:firstLine="640" w:firstLineChars="200"/>
        <w:rPr>
          <w:rFonts w:eastAsia="仿宋"/>
          <w:sz w:val="32"/>
          <w:szCs w:val="32"/>
        </w:rPr>
      </w:pPr>
      <w:r>
        <w:rPr>
          <w:rFonts w:eastAsia="仿宋"/>
          <w:sz w:val="32"/>
          <w:szCs w:val="32"/>
        </w:rPr>
        <w:t>3.全面推动成渝地区双城经济圈建设。对接成渝地区双城经济圈西部科技中心规划，按“一城多园”模式进一步深化攀西科技园规划。</w:t>
      </w:r>
    </w:p>
    <w:p>
      <w:pPr>
        <w:spacing w:line="600" w:lineRule="exact"/>
        <w:ind w:firstLine="640" w:firstLineChars="200"/>
        <w:rPr>
          <w:rFonts w:eastAsia="仿宋"/>
          <w:sz w:val="32"/>
          <w:szCs w:val="32"/>
        </w:rPr>
      </w:pPr>
      <w:r>
        <w:rPr>
          <w:rFonts w:eastAsia="仿宋"/>
          <w:sz w:val="32"/>
          <w:szCs w:val="32"/>
        </w:rPr>
        <w:t>4.奋力推进两城建设。充分发挥国家技术转移西南中心攀西分中心和四川大学技术转移中心攀枝花分中心作用，拓展与成渝地区企业、高校、科研院所的区域科技创新合作，积极对接国内外知名科研院所、高等院校和高技术企业，引进高水平科研机构和专家团队1-2个。争创四川省国际科技合作基地。</w:t>
      </w:r>
    </w:p>
    <w:p>
      <w:pPr>
        <w:spacing w:line="600" w:lineRule="exact"/>
        <w:ind w:firstLine="640" w:firstLineChars="200"/>
        <w:rPr>
          <w:rFonts w:eastAsia="仿宋"/>
          <w:sz w:val="32"/>
          <w:szCs w:val="32"/>
        </w:rPr>
      </w:pPr>
      <w:r>
        <w:rPr>
          <w:rFonts w:eastAsia="仿宋"/>
          <w:sz w:val="32"/>
          <w:szCs w:val="32"/>
        </w:rPr>
        <w:t>5.优化科研项目和经费管理。出台并落实《攀枝花市科技计划项目管理办法》，改进科技项目组织管理方式，持续推行简政放权，实现项目团队自主技术路线决定权，减少实施期内的各类检查，开展科研项目经费“包干制”试点。</w:t>
      </w:r>
    </w:p>
    <w:p>
      <w:pPr>
        <w:spacing w:line="600" w:lineRule="exact"/>
        <w:ind w:firstLine="640" w:firstLineChars="200"/>
        <w:rPr>
          <w:rFonts w:eastAsia="仿宋"/>
          <w:sz w:val="32"/>
          <w:szCs w:val="32"/>
        </w:rPr>
      </w:pPr>
      <w:r>
        <w:rPr>
          <w:rFonts w:eastAsia="仿宋"/>
          <w:sz w:val="32"/>
          <w:szCs w:val="32"/>
        </w:rPr>
        <w:t>6.强化创新主体培育。实施《攀枝花市高新技术企业倍增专项方案（2020—2025年）》，以建立全市企业科技档案为主要抓手，设立高企培育库。开展“普通企业-科技型中小企业-高新技术企业-瞪羚企业”的阶梯式培育，全年培育新增高新技术企业、科技型中小企业23家以上；高新技术主营业务收入突破 660亿元。</w:t>
      </w:r>
    </w:p>
    <w:p>
      <w:pPr>
        <w:spacing w:line="600" w:lineRule="exact"/>
        <w:ind w:firstLine="640" w:firstLineChars="200"/>
        <w:rPr>
          <w:rFonts w:eastAsia="仿宋"/>
          <w:sz w:val="32"/>
          <w:szCs w:val="32"/>
        </w:rPr>
      </w:pPr>
      <w:r>
        <w:rPr>
          <w:rFonts w:eastAsia="仿宋"/>
          <w:sz w:val="32"/>
          <w:szCs w:val="32"/>
        </w:rPr>
        <w:t>7.优化整合科技创新平台。梳理整合市级科研平台、“双创”平台、科普基地，积极对接国家、省实验室规划布局，认真梳理本市建设基础和需求，在钒钛和康养两大领域中开展布局。</w:t>
      </w:r>
    </w:p>
    <w:p>
      <w:pPr>
        <w:spacing w:line="600" w:lineRule="exact"/>
        <w:ind w:firstLine="640" w:firstLineChars="200"/>
        <w:rPr>
          <w:rFonts w:eastAsia="仿宋"/>
          <w:sz w:val="32"/>
          <w:szCs w:val="32"/>
        </w:rPr>
      </w:pPr>
      <w:r>
        <w:rPr>
          <w:rFonts w:eastAsia="仿宋"/>
          <w:sz w:val="32"/>
          <w:szCs w:val="32"/>
        </w:rPr>
        <w:t>8.全力推进“双创”高质量发展。持续举办钛产业双创大赛，抓好大赛成果运用，做好跟踪、落地、转化。落实《攀枝花市科技创新政策六条》，继续抓好“钛及钛合金表面处理”团队项目实施，在条件成熟的情况下，支持和推动用人单位适时引进全市第二支高层次创新创业团队。</w:t>
      </w:r>
    </w:p>
    <w:p>
      <w:pPr>
        <w:spacing w:line="600" w:lineRule="exact"/>
        <w:ind w:firstLine="640" w:firstLineChars="200"/>
        <w:rPr>
          <w:rFonts w:eastAsia="仿宋"/>
          <w:sz w:val="32"/>
          <w:szCs w:val="32"/>
        </w:rPr>
      </w:pPr>
      <w:r>
        <w:rPr>
          <w:rFonts w:eastAsia="仿宋"/>
          <w:sz w:val="32"/>
          <w:szCs w:val="32"/>
        </w:rPr>
        <w:t>9.持续推进攀西试验区重大科技攻关。以第五批攀西试验区重大科技攻关专项项目为抓手，筛选组织实施钒钛领域重大科技攻关项目</w:t>
      </w:r>
      <w:r>
        <w:rPr>
          <w:rFonts w:hint="eastAsia" w:eastAsia="仿宋"/>
          <w:sz w:val="32"/>
          <w:szCs w:val="32"/>
        </w:rPr>
        <w:t>10</w:t>
      </w:r>
      <w:r>
        <w:rPr>
          <w:rFonts w:eastAsia="仿宋"/>
          <w:sz w:val="32"/>
          <w:szCs w:val="32"/>
        </w:rPr>
        <w:t>项。</w:t>
      </w:r>
    </w:p>
    <w:p>
      <w:pPr>
        <w:spacing w:line="600" w:lineRule="exact"/>
        <w:ind w:firstLine="640" w:firstLineChars="200"/>
        <w:rPr>
          <w:rFonts w:eastAsia="仿宋"/>
          <w:sz w:val="32"/>
          <w:szCs w:val="32"/>
        </w:rPr>
      </w:pPr>
      <w:r>
        <w:rPr>
          <w:rFonts w:eastAsia="仿宋"/>
          <w:sz w:val="32"/>
          <w:szCs w:val="32"/>
        </w:rPr>
        <w:t>10.强化特色现代农业、阳光康养产业科技支撑。开展国家农业科技园区创建工作，完成创建规划编制，建设“农业科技在线”服务平台。</w:t>
      </w:r>
    </w:p>
    <w:p>
      <w:pPr>
        <w:spacing w:line="600" w:lineRule="exact"/>
        <w:ind w:firstLine="640" w:firstLineChars="200"/>
        <w:rPr>
          <w:rFonts w:eastAsia="仿宋"/>
          <w:sz w:val="32"/>
          <w:szCs w:val="32"/>
        </w:rPr>
      </w:pPr>
      <w:r>
        <w:rPr>
          <w:rFonts w:eastAsia="仿宋"/>
          <w:sz w:val="32"/>
          <w:szCs w:val="32"/>
        </w:rPr>
        <w:t>11.编制发布“十四五”科技创新规划。聚焦全市中心工作和重点产业、重点领域、重点环节科技创新需求，做好区域创新高地、区域协同创新、科技资源整合、科技体制机制改革、“双创”顶层设计。</w:t>
      </w:r>
    </w:p>
    <w:p>
      <w:pPr>
        <w:spacing w:line="600" w:lineRule="exact"/>
        <w:ind w:firstLine="640" w:firstLineChars="200"/>
        <w:rPr>
          <w:rFonts w:eastAsia="仿宋"/>
          <w:sz w:val="32"/>
          <w:szCs w:val="32"/>
        </w:rPr>
      </w:pPr>
      <w:r>
        <w:rPr>
          <w:rFonts w:eastAsia="仿宋"/>
          <w:sz w:val="32"/>
          <w:szCs w:val="32"/>
        </w:rPr>
        <w:t>12.加强科技金融。落实《攀枝花市科技和知识产权信贷风险补偿管理办法》强化科技金融服务；开展“天府科创贷”推广和培训工作拓展全市科技型中小微型企业融资渠道。</w:t>
      </w:r>
    </w:p>
    <w:p>
      <w:pPr>
        <w:pStyle w:val="3"/>
        <w:spacing w:before="0" w:after="0" w:line="600" w:lineRule="exact"/>
        <w:ind w:firstLine="640" w:firstLineChars="200"/>
        <w:rPr>
          <w:rStyle w:val="13"/>
          <w:rFonts w:ascii="Times New Roman" w:hAnsi="Times New Roman" w:eastAsia="黑体"/>
          <w:b w:val="0"/>
          <w:bCs w:val="0"/>
        </w:rPr>
      </w:pPr>
      <w:bookmarkStart w:id="20" w:name="_Toc15377200"/>
      <w:bookmarkStart w:id="21" w:name="_Toc15396601"/>
      <w:r>
        <w:rPr>
          <w:rFonts w:ascii="Times New Roman" w:hAnsi="Times New Roman" w:eastAsia="黑体"/>
          <w:b w:val="0"/>
          <w:color w:val="000000"/>
        </w:rPr>
        <w:t>二、机</w:t>
      </w:r>
      <w:r>
        <w:rPr>
          <w:rStyle w:val="13"/>
          <w:rFonts w:ascii="Times New Roman" w:hAnsi="Times New Roman" w:eastAsia="黑体"/>
          <w:b w:val="0"/>
          <w:bCs w:val="0"/>
        </w:rPr>
        <w:t>构设置</w:t>
      </w:r>
      <w:bookmarkEnd w:id="20"/>
      <w:bookmarkEnd w:id="21"/>
    </w:p>
    <w:p>
      <w:pPr>
        <w:spacing w:line="600" w:lineRule="exact"/>
        <w:ind w:firstLine="640" w:firstLineChars="200"/>
        <w:rPr>
          <w:rFonts w:eastAsia="仿宋"/>
          <w:sz w:val="32"/>
          <w:szCs w:val="32"/>
        </w:rPr>
      </w:pPr>
      <w:r>
        <w:rPr>
          <w:rFonts w:eastAsia="仿宋"/>
          <w:sz w:val="32"/>
          <w:szCs w:val="32"/>
        </w:rPr>
        <w:t>攀枝花市科学技术局（以下简称市科技局）</w:t>
      </w:r>
      <w:r>
        <w:rPr>
          <w:rFonts w:eastAsia="仿宋"/>
          <w:color w:val="000000"/>
          <w:sz w:val="32"/>
          <w:szCs w:val="32"/>
        </w:rPr>
        <w:t>下属二级单位4个，其中行政单位0个，参照公务员法管理的事业单位</w:t>
      </w:r>
      <w:r>
        <w:rPr>
          <w:rFonts w:eastAsia="仿宋"/>
          <w:bCs/>
          <w:color w:val="000000"/>
          <w:sz w:val="32"/>
          <w:szCs w:val="32"/>
        </w:rPr>
        <w:t>0</w:t>
      </w:r>
      <w:r>
        <w:rPr>
          <w:rFonts w:eastAsia="仿宋"/>
          <w:color w:val="000000"/>
          <w:sz w:val="32"/>
          <w:szCs w:val="32"/>
        </w:rPr>
        <w:t>个，其他事业单位4个。</w:t>
      </w:r>
    </w:p>
    <w:p>
      <w:pPr>
        <w:pStyle w:val="4"/>
        <w:adjustRightInd w:val="0"/>
        <w:snapToGrid w:val="0"/>
        <w:spacing w:beforeLines="0" w:line="600" w:lineRule="exact"/>
        <w:ind w:firstLine="640" w:firstLineChars="200"/>
        <w:rPr>
          <w:rFonts w:ascii="Times New Roman" w:eastAsia="仿宋"/>
          <w:color w:val="000000"/>
          <w:sz w:val="32"/>
          <w:szCs w:val="32"/>
        </w:rPr>
      </w:pPr>
      <w:r>
        <w:rPr>
          <w:rFonts w:ascii="Times New Roman" w:eastAsia="仿宋"/>
          <w:color w:val="000000"/>
          <w:sz w:val="32"/>
          <w:szCs w:val="32"/>
        </w:rPr>
        <w:t>纳入</w:t>
      </w:r>
      <w:r>
        <w:rPr>
          <w:rFonts w:ascii="Times New Roman" w:eastAsia="仿宋"/>
          <w:sz w:val="32"/>
          <w:szCs w:val="32"/>
        </w:rPr>
        <w:t>市科技局</w:t>
      </w:r>
      <w:r>
        <w:rPr>
          <w:rFonts w:ascii="Times New Roman" w:eastAsia="仿宋"/>
          <w:color w:val="000000"/>
          <w:sz w:val="32"/>
          <w:szCs w:val="32"/>
        </w:rPr>
        <w:t>2020年度部门决算编制范围的二级预算单位包括：</w:t>
      </w:r>
    </w:p>
    <w:p>
      <w:pPr>
        <w:pStyle w:val="4"/>
        <w:adjustRightInd w:val="0"/>
        <w:snapToGrid w:val="0"/>
        <w:spacing w:beforeLines="0" w:line="600" w:lineRule="exact"/>
        <w:ind w:firstLine="640" w:firstLineChars="200"/>
        <w:outlineLvl w:val="2"/>
        <w:rPr>
          <w:rFonts w:ascii="Times New Roman" w:eastAsia="仿宋"/>
          <w:color w:val="000000"/>
          <w:sz w:val="32"/>
          <w:szCs w:val="32"/>
        </w:rPr>
      </w:pPr>
      <w:bookmarkStart w:id="22" w:name="_Toc15306276"/>
      <w:bookmarkStart w:id="23" w:name="_Toc15377202"/>
      <w:bookmarkStart w:id="24" w:name="_Toc15377433"/>
      <w:bookmarkStart w:id="25" w:name="_Toc15378449"/>
      <w:r>
        <w:rPr>
          <w:rFonts w:ascii="Times New Roman" w:eastAsia="仿宋"/>
          <w:color w:val="000000"/>
          <w:sz w:val="32"/>
          <w:szCs w:val="32"/>
        </w:rPr>
        <w:t>1.攀枝花市决策咨询服务中心</w:t>
      </w:r>
      <w:bookmarkEnd w:id="22"/>
      <w:bookmarkEnd w:id="23"/>
      <w:bookmarkEnd w:id="24"/>
      <w:bookmarkEnd w:id="25"/>
    </w:p>
    <w:p>
      <w:pPr>
        <w:pStyle w:val="4"/>
        <w:adjustRightInd w:val="0"/>
        <w:snapToGrid w:val="0"/>
        <w:spacing w:beforeLines="0" w:line="600" w:lineRule="exact"/>
        <w:ind w:firstLine="640" w:firstLineChars="200"/>
        <w:outlineLvl w:val="2"/>
        <w:rPr>
          <w:rFonts w:ascii="Times New Roman" w:eastAsia="仿宋"/>
          <w:color w:val="000000"/>
          <w:sz w:val="32"/>
          <w:szCs w:val="32"/>
        </w:rPr>
      </w:pPr>
      <w:r>
        <w:rPr>
          <w:rFonts w:ascii="Times New Roman" w:eastAsia="仿宋"/>
          <w:color w:val="000000"/>
          <w:sz w:val="32"/>
          <w:szCs w:val="32"/>
        </w:rPr>
        <w:t>2.攀枝花市科技发展战略研究所</w:t>
      </w:r>
    </w:p>
    <w:p>
      <w:pPr>
        <w:pStyle w:val="4"/>
        <w:adjustRightInd w:val="0"/>
        <w:snapToGrid w:val="0"/>
        <w:spacing w:beforeLines="0" w:line="600" w:lineRule="exact"/>
        <w:ind w:firstLine="640" w:firstLineChars="200"/>
        <w:outlineLvl w:val="2"/>
        <w:rPr>
          <w:rFonts w:ascii="Times New Roman" w:eastAsia="仿宋"/>
          <w:color w:val="000000"/>
          <w:sz w:val="32"/>
          <w:szCs w:val="32"/>
        </w:rPr>
      </w:pPr>
      <w:r>
        <w:rPr>
          <w:rFonts w:ascii="Times New Roman" w:eastAsia="仿宋"/>
          <w:color w:val="000000"/>
          <w:sz w:val="32"/>
          <w:szCs w:val="32"/>
        </w:rPr>
        <w:t>3.攀枝花市科技基础条件平台服务中心</w:t>
      </w:r>
    </w:p>
    <w:p>
      <w:pPr>
        <w:pStyle w:val="4"/>
        <w:adjustRightInd w:val="0"/>
        <w:snapToGrid w:val="0"/>
        <w:spacing w:beforeLines="0" w:line="600" w:lineRule="exact"/>
        <w:ind w:firstLine="640" w:firstLineChars="200"/>
        <w:outlineLvl w:val="2"/>
        <w:rPr>
          <w:rFonts w:ascii="Times New Roman" w:eastAsia="方正仿宋_GBK"/>
          <w:color w:val="000000"/>
          <w:sz w:val="32"/>
          <w:szCs w:val="32"/>
        </w:rPr>
      </w:pPr>
      <w:r>
        <w:rPr>
          <w:rFonts w:ascii="Times New Roman" w:eastAsia="仿宋"/>
          <w:color w:val="000000"/>
          <w:sz w:val="32"/>
          <w:szCs w:val="32"/>
        </w:rPr>
        <w:t>4.攀枝花市生产力促进中心</w:t>
      </w:r>
    </w:p>
    <w:p>
      <w:pPr>
        <w:widowControl/>
        <w:spacing w:line="600" w:lineRule="exact"/>
        <w:jc w:val="left"/>
        <w:rPr>
          <w:rFonts w:eastAsia="仿宋"/>
          <w:color w:val="000000"/>
          <w:kern w:val="0"/>
          <w:sz w:val="32"/>
          <w:szCs w:val="32"/>
        </w:rPr>
      </w:pPr>
      <w:r>
        <w:rPr>
          <w:rFonts w:eastAsia="仿宋"/>
          <w:color w:val="000000"/>
          <w:sz w:val="32"/>
          <w:szCs w:val="32"/>
        </w:rPr>
        <w:br w:type="page"/>
      </w:r>
    </w:p>
    <w:p>
      <w:pPr>
        <w:pStyle w:val="2"/>
        <w:spacing w:line="600" w:lineRule="exact"/>
        <w:ind w:right="440"/>
        <w:jc w:val="right"/>
        <w:rPr>
          <w:rStyle w:val="12"/>
          <w:rFonts w:eastAsia="黑体"/>
          <w:b w:val="0"/>
          <w:bCs w:val="0"/>
        </w:rPr>
      </w:pPr>
      <w:bookmarkStart w:id="26" w:name="_Toc15396602"/>
      <w:bookmarkStart w:id="27" w:name="_Toc15377204"/>
      <w:r>
        <w:rPr>
          <w:rFonts w:eastAsia="黑体"/>
          <w:b w:val="0"/>
          <w:color w:val="000000"/>
        </w:rPr>
        <w:t>第二部分</w:t>
      </w:r>
      <w:r>
        <w:rPr>
          <w:rFonts w:eastAsia="黑体"/>
          <w:color w:val="000000"/>
        </w:rPr>
        <w:t xml:space="preserve"> </w:t>
      </w:r>
      <w:r>
        <w:rPr>
          <w:rStyle w:val="12"/>
          <w:rFonts w:eastAsia="黑体"/>
          <w:b w:val="0"/>
          <w:bCs w:val="0"/>
        </w:rPr>
        <w:t>2020年度部门决算情况说明</w:t>
      </w:r>
      <w:bookmarkEnd w:id="26"/>
      <w:bookmarkEnd w:id="27"/>
    </w:p>
    <w:p>
      <w:pPr>
        <w:spacing w:line="600" w:lineRule="exact"/>
      </w:pPr>
    </w:p>
    <w:p>
      <w:pPr>
        <w:pStyle w:val="14"/>
        <w:numPr>
          <w:ilvl w:val="0"/>
          <w:numId w:val="1"/>
        </w:numPr>
        <w:spacing w:line="600" w:lineRule="exact"/>
        <w:ind w:firstLineChars="0"/>
        <w:outlineLvl w:val="1"/>
        <w:rPr>
          <w:rStyle w:val="13"/>
          <w:rFonts w:ascii="Times New Roman" w:hAnsi="Times New Roman" w:eastAsia="黑体"/>
          <w:b w:val="0"/>
        </w:rPr>
      </w:pPr>
      <w:bookmarkStart w:id="28" w:name="_Toc15377205"/>
      <w:bookmarkStart w:id="29" w:name="_Toc15396603"/>
      <w:r>
        <w:rPr>
          <w:rFonts w:eastAsia="黑体"/>
          <w:color w:val="000000"/>
          <w:sz w:val="32"/>
          <w:szCs w:val="32"/>
        </w:rPr>
        <w:t>收</w:t>
      </w:r>
      <w:r>
        <w:rPr>
          <w:rStyle w:val="13"/>
          <w:rFonts w:ascii="Times New Roman" w:hAnsi="Times New Roman" w:eastAsia="黑体"/>
          <w:b w:val="0"/>
        </w:rPr>
        <w:t>入支出决算总体情况说明</w:t>
      </w:r>
      <w:bookmarkEnd w:id="28"/>
      <w:bookmarkEnd w:id="29"/>
    </w:p>
    <w:p>
      <w:pPr>
        <w:spacing w:line="600" w:lineRule="exact"/>
        <w:ind w:firstLine="640" w:firstLineChars="200"/>
        <w:rPr>
          <w:rFonts w:eastAsia="仿宋"/>
          <w:color w:val="000000"/>
          <w:sz w:val="32"/>
          <w:szCs w:val="32"/>
        </w:rPr>
      </w:pPr>
      <w:r>
        <w:rPr>
          <w:rFonts w:eastAsia="仿宋"/>
          <w:color w:val="000000"/>
          <w:sz w:val="32"/>
          <w:szCs w:val="32"/>
        </w:rPr>
        <w:t>2020年度收入总计2099.1</w:t>
      </w:r>
      <w:r>
        <w:rPr>
          <w:rFonts w:hint="eastAsia" w:eastAsia="仿宋"/>
          <w:color w:val="000000"/>
          <w:sz w:val="32"/>
          <w:szCs w:val="32"/>
        </w:rPr>
        <w:t>2</w:t>
      </w:r>
      <w:r>
        <w:rPr>
          <w:rFonts w:eastAsia="仿宋"/>
          <w:color w:val="000000"/>
          <w:sz w:val="32"/>
          <w:szCs w:val="32"/>
        </w:rPr>
        <w:t>万元，与2019年相比，收入减少790.62万元，下降27.36%；2020年度支出总计</w:t>
      </w:r>
      <w:r>
        <w:rPr>
          <w:rFonts w:eastAsia="仿宋"/>
          <w:sz w:val="32"/>
          <w:szCs w:val="32"/>
        </w:rPr>
        <w:t>2200.9</w:t>
      </w:r>
      <w:r>
        <w:rPr>
          <w:rFonts w:hint="eastAsia" w:eastAsia="仿宋"/>
          <w:sz w:val="32"/>
          <w:szCs w:val="32"/>
        </w:rPr>
        <w:t>4</w:t>
      </w:r>
      <w:r>
        <w:rPr>
          <w:rFonts w:eastAsia="仿宋"/>
          <w:sz w:val="32"/>
          <w:szCs w:val="32"/>
        </w:rPr>
        <w:t>万元，</w:t>
      </w:r>
      <w:r>
        <w:rPr>
          <w:rFonts w:eastAsia="仿宋"/>
          <w:color w:val="000000"/>
          <w:sz w:val="32"/>
          <w:szCs w:val="32"/>
        </w:rPr>
        <w:t>支出减少1025.</w:t>
      </w:r>
      <w:r>
        <w:rPr>
          <w:rFonts w:hint="eastAsia" w:eastAsia="仿宋"/>
          <w:color w:val="000000"/>
          <w:sz w:val="32"/>
          <w:szCs w:val="32"/>
        </w:rPr>
        <w:t>4</w:t>
      </w:r>
      <w:r>
        <w:rPr>
          <w:rFonts w:eastAsia="仿宋"/>
          <w:color w:val="000000"/>
          <w:sz w:val="32"/>
          <w:szCs w:val="32"/>
        </w:rPr>
        <w:t>万元，下降31.78%。主要变动原因是今年项目资金减少。</w:t>
      </w:r>
    </w:p>
    <w:p>
      <w:pPr>
        <w:spacing w:line="600" w:lineRule="exact"/>
        <w:ind w:firstLine="640" w:firstLineChars="200"/>
        <w:jc w:val="left"/>
        <w:rPr>
          <w:rFonts w:hint="eastAsia" w:eastAsia="仿宋_GB2312"/>
          <w:color w:val="000000"/>
          <w:sz w:val="32"/>
          <w:szCs w:val="32"/>
        </w:rPr>
      </w:pPr>
      <w:r>
        <w:rPr>
          <w:rFonts w:hint="eastAsia" w:eastAsia="仿宋_GB2312"/>
          <w:color w:val="000000"/>
          <w:sz w:val="32"/>
          <w:szCs w:val="32"/>
        </w:rPr>
        <w:drawing>
          <wp:anchor distT="0" distB="0" distL="114300" distR="114300" simplePos="0" relativeHeight="251662336" behindDoc="0" locked="0" layoutInCell="1" allowOverlap="1">
            <wp:simplePos x="0" y="0"/>
            <wp:positionH relativeFrom="column">
              <wp:posOffset>627380</wp:posOffset>
            </wp:positionH>
            <wp:positionV relativeFrom="paragraph">
              <wp:posOffset>168910</wp:posOffset>
            </wp:positionV>
            <wp:extent cx="3959225" cy="2386330"/>
            <wp:effectExtent l="0" t="0" r="0" b="0"/>
            <wp:wrapSquare wrapText="bothSides"/>
            <wp:docPr id="9"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图片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959225" cy="2386330"/>
                    </a:xfrm>
                    <a:prstGeom prst="rect">
                      <a:avLst/>
                    </a:prstGeom>
                    <a:noFill/>
                    <a:ln>
                      <a:noFill/>
                    </a:ln>
                  </pic:spPr>
                </pic:pic>
              </a:graphicData>
            </a:graphic>
          </wp:anchor>
        </w:drawing>
      </w:r>
    </w:p>
    <w:p>
      <w:pPr>
        <w:spacing w:line="600" w:lineRule="exact"/>
        <w:ind w:firstLine="640" w:firstLineChars="200"/>
        <w:jc w:val="left"/>
        <w:rPr>
          <w:rFonts w:eastAsia="仿宋_GB2312"/>
          <w:color w:val="000000"/>
          <w:sz w:val="32"/>
          <w:szCs w:val="32"/>
        </w:rPr>
      </w:pPr>
    </w:p>
    <w:p>
      <w:pPr>
        <w:spacing w:line="600" w:lineRule="exact"/>
        <w:ind w:firstLine="640" w:firstLineChars="200"/>
        <w:jc w:val="left"/>
        <w:rPr>
          <w:rFonts w:eastAsia="仿宋_GB2312"/>
          <w:color w:val="000000"/>
          <w:sz w:val="32"/>
          <w:szCs w:val="32"/>
        </w:rPr>
      </w:pPr>
    </w:p>
    <w:p>
      <w:pPr>
        <w:spacing w:line="600" w:lineRule="exact"/>
        <w:ind w:firstLine="640" w:firstLineChars="200"/>
        <w:jc w:val="left"/>
        <w:rPr>
          <w:rFonts w:eastAsia="仿宋_GB2312"/>
          <w:color w:val="000000"/>
          <w:sz w:val="32"/>
          <w:szCs w:val="32"/>
        </w:rPr>
      </w:pPr>
    </w:p>
    <w:p>
      <w:pPr>
        <w:spacing w:line="600" w:lineRule="exact"/>
        <w:ind w:firstLine="640" w:firstLineChars="200"/>
        <w:jc w:val="left"/>
        <w:rPr>
          <w:rFonts w:eastAsia="仿宋_GB2312"/>
          <w:color w:val="000000"/>
          <w:sz w:val="32"/>
          <w:szCs w:val="32"/>
        </w:rPr>
      </w:pPr>
    </w:p>
    <w:p>
      <w:pPr>
        <w:spacing w:line="600" w:lineRule="exact"/>
        <w:ind w:firstLine="640" w:firstLineChars="200"/>
        <w:jc w:val="left"/>
        <w:rPr>
          <w:rFonts w:eastAsia="仿宋_GB2312"/>
          <w:color w:val="000000"/>
          <w:sz w:val="32"/>
          <w:szCs w:val="32"/>
        </w:rPr>
      </w:pPr>
    </w:p>
    <w:p>
      <w:pPr>
        <w:spacing w:line="600" w:lineRule="exact"/>
        <w:ind w:firstLine="640" w:firstLineChars="200"/>
        <w:rPr>
          <w:rFonts w:eastAsia="仿宋"/>
          <w:color w:val="000000"/>
          <w:sz w:val="32"/>
          <w:szCs w:val="32"/>
        </w:rPr>
      </w:pPr>
      <w:r>
        <w:rPr>
          <w:rFonts w:eastAsia="仿宋"/>
          <w:color w:val="000000"/>
          <w:sz w:val="32"/>
          <w:szCs w:val="32"/>
        </w:rPr>
        <w:t>（图1：收、支决算总计变动情况图）（柱状图）</w:t>
      </w:r>
    </w:p>
    <w:p>
      <w:pPr>
        <w:pStyle w:val="14"/>
        <w:numPr>
          <w:ilvl w:val="0"/>
          <w:numId w:val="1"/>
        </w:numPr>
        <w:spacing w:line="600" w:lineRule="exact"/>
        <w:ind w:firstLineChars="0"/>
        <w:outlineLvl w:val="1"/>
        <w:rPr>
          <w:rStyle w:val="13"/>
          <w:rFonts w:ascii="Times New Roman" w:hAnsi="Times New Roman" w:eastAsia="黑体"/>
          <w:b w:val="0"/>
        </w:rPr>
      </w:pPr>
      <w:bookmarkStart w:id="30" w:name="_Toc15396604"/>
      <w:bookmarkStart w:id="31" w:name="_Toc15377206"/>
      <w:r>
        <w:rPr>
          <w:rFonts w:eastAsia="黑体"/>
          <w:color w:val="000000"/>
          <w:sz w:val="32"/>
          <w:szCs w:val="32"/>
        </w:rPr>
        <w:t>收</w:t>
      </w:r>
      <w:r>
        <w:rPr>
          <w:rStyle w:val="13"/>
          <w:rFonts w:ascii="Times New Roman" w:hAnsi="Times New Roman" w:eastAsia="黑体"/>
          <w:b w:val="0"/>
        </w:rPr>
        <w:t>入决算情况说明</w:t>
      </w:r>
      <w:bookmarkEnd w:id="30"/>
      <w:bookmarkEnd w:id="31"/>
    </w:p>
    <w:p>
      <w:pPr>
        <w:spacing w:line="600" w:lineRule="exact"/>
        <w:ind w:firstLine="640" w:firstLineChars="200"/>
        <w:outlineLvl w:val="1"/>
        <w:rPr>
          <w:rFonts w:eastAsia="仿宋"/>
          <w:color w:val="000000"/>
          <w:sz w:val="32"/>
          <w:szCs w:val="32"/>
        </w:rPr>
      </w:pPr>
      <w:r>
        <w:rPr>
          <w:rFonts w:eastAsia="仿宋"/>
          <w:color w:val="000000"/>
          <w:sz w:val="32"/>
          <w:szCs w:val="32"/>
        </w:rPr>
        <w:t>2020年本年收入合计2099.1</w:t>
      </w:r>
      <w:r>
        <w:rPr>
          <w:rFonts w:hint="eastAsia" w:eastAsia="仿宋"/>
          <w:color w:val="000000"/>
          <w:sz w:val="32"/>
          <w:szCs w:val="32"/>
        </w:rPr>
        <w:t>2</w:t>
      </w:r>
      <w:r>
        <w:rPr>
          <w:rFonts w:eastAsia="仿宋"/>
          <w:color w:val="000000"/>
          <w:sz w:val="32"/>
          <w:szCs w:val="32"/>
        </w:rPr>
        <w:t>万元，其中：一般公共预算财政拨款收入1521.</w:t>
      </w:r>
      <w:r>
        <w:rPr>
          <w:rFonts w:hint="eastAsia" w:eastAsia="仿宋"/>
          <w:color w:val="000000"/>
          <w:sz w:val="32"/>
          <w:szCs w:val="32"/>
        </w:rPr>
        <w:t>4</w:t>
      </w:r>
      <w:r>
        <w:rPr>
          <w:rFonts w:eastAsia="仿宋"/>
          <w:color w:val="000000"/>
          <w:sz w:val="32"/>
          <w:szCs w:val="32"/>
        </w:rPr>
        <w:t>万元，占72.48%；政府性基金预算财政拨款收入569.62万元，占27.13%；其他收入8.1万元，占0.39%。</w:t>
      </w:r>
    </w:p>
    <w:p>
      <w:pPr>
        <w:spacing w:line="600" w:lineRule="exact"/>
        <w:ind w:firstLine="640" w:firstLineChars="200"/>
        <w:rPr>
          <w:rFonts w:eastAsia="仿宋_GB2312"/>
          <w:color w:val="FF0000"/>
          <w:sz w:val="32"/>
          <w:szCs w:val="32"/>
        </w:rPr>
      </w:pPr>
      <w:r>
        <w:rPr>
          <w:rFonts w:eastAsia="仿宋_GB2312"/>
          <w:color w:val="FF0000"/>
          <w:sz w:val="32"/>
          <w:szCs w:val="32"/>
        </w:rPr>
        <w:drawing>
          <wp:anchor distT="0" distB="0" distL="114300" distR="114300" simplePos="0" relativeHeight="251659264" behindDoc="0" locked="0" layoutInCell="1" allowOverlap="1">
            <wp:simplePos x="0" y="0"/>
            <wp:positionH relativeFrom="column">
              <wp:posOffset>673100</wp:posOffset>
            </wp:positionH>
            <wp:positionV relativeFrom="paragraph">
              <wp:posOffset>106680</wp:posOffset>
            </wp:positionV>
            <wp:extent cx="3763010" cy="2476500"/>
            <wp:effectExtent l="0" t="0" r="0" b="0"/>
            <wp:wrapSquare wrapText="bothSides"/>
            <wp:docPr id="10"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图片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763010" cy="2476500"/>
                    </a:xfrm>
                    <a:prstGeom prst="rect">
                      <a:avLst/>
                    </a:prstGeom>
                    <a:noFill/>
                    <a:ln>
                      <a:noFill/>
                    </a:ln>
                  </pic:spPr>
                </pic:pic>
              </a:graphicData>
            </a:graphic>
          </wp:anchor>
        </w:drawing>
      </w:r>
    </w:p>
    <w:p>
      <w:pPr>
        <w:spacing w:line="600" w:lineRule="exact"/>
        <w:ind w:firstLine="640" w:firstLineChars="200"/>
        <w:rPr>
          <w:rFonts w:eastAsia="仿宋_GB2312"/>
          <w:color w:val="FF0000"/>
          <w:sz w:val="32"/>
          <w:szCs w:val="32"/>
        </w:rPr>
      </w:pPr>
    </w:p>
    <w:p>
      <w:pPr>
        <w:spacing w:line="600" w:lineRule="exact"/>
        <w:ind w:firstLine="640" w:firstLineChars="200"/>
        <w:rPr>
          <w:rFonts w:eastAsia="仿宋_GB2312"/>
          <w:color w:val="FF0000"/>
          <w:sz w:val="32"/>
          <w:szCs w:val="32"/>
        </w:rPr>
      </w:pPr>
    </w:p>
    <w:p>
      <w:pPr>
        <w:spacing w:line="600" w:lineRule="exact"/>
        <w:ind w:firstLine="640" w:firstLineChars="200"/>
        <w:rPr>
          <w:rFonts w:eastAsia="仿宋_GB2312"/>
          <w:color w:val="FF0000"/>
          <w:sz w:val="32"/>
          <w:szCs w:val="32"/>
        </w:rPr>
      </w:pPr>
    </w:p>
    <w:p>
      <w:pPr>
        <w:spacing w:line="600" w:lineRule="exact"/>
        <w:ind w:firstLine="640" w:firstLineChars="200"/>
        <w:rPr>
          <w:rFonts w:eastAsia="仿宋_GB2312"/>
          <w:color w:val="FF0000"/>
          <w:sz w:val="32"/>
          <w:szCs w:val="32"/>
        </w:rPr>
      </w:pPr>
    </w:p>
    <w:p>
      <w:pPr>
        <w:spacing w:line="600" w:lineRule="exact"/>
        <w:ind w:firstLine="640" w:firstLineChars="200"/>
        <w:rPr>
          <w:rFonts w:eastAsia="仿宋_GB2312"/>
          <w:color w:val="FF0000"/>
          <w:sz w:val="32"/>
          <w:szCs w:val="32"/>
        </w:rPr>
      </w:pPr>
    </w:p>
    <w:p>
      <w:pPr>
        <w:spacing w:line="600" w:lineRule="exact"/>
        <w:ind w:firstLine="640" w:firstLineChars="200"/>
        <w:rPr>
          <w:rFonts w:eastAsia="仿宋_GB2312"/>
          <w:color w:val="FF0000"/>
          <w:sz w:val="32"/>
          <w:szCs w:val="32"/>
        </w:rPr>
      </w:pPr>
    </w:p>
    <w:p>
      <w:pPr>
        <w:spacing w:line="600" w:lineRule="exact"/>
        <w:ind w:firstLine="640" w:firstLineChars="200"/>
        <w:rPr>
          <w:rFonts w:eastAsia="仿宋"/>
          <w:color w:val="000000"/>
          <w:sz w:val="32"/>
          <w:szCs w:val="32"/>
        </w:rPr>
      </w:pPr>
      <w:r>
        <w:rPr>
          <w:rFonts w:eastAsia="仿宋"/>
          <w:color w:val="000000"/>
          <w:sz w:val="32"/>
          <w:szCs w:val="32"/>
        </w:rPr>
        <w:t>（图2：收入决算结构图）（饼状图）</w:t>
      </w:r>
    </w:p>
    <w:p>
      <w:pPr>
        <w:pStyle w:val="14"/>
        <w:numPr>
          <w:ilvl w:val="0"/>
          <w:numId w:val="1"/>
        </w:numPr>
        <w:spacing w:line="600" w:lineRule="exact"/>
        <w:ind w:firstLineChars="0"/>
        <w:outlineLvl w:val="1"/>
        <w:rPr>
          <w:rStyle w:val="13"/>
          <w:rFonts w:ascii="Times New Roman" w:hAnsi="Times New Roman" w:eastAsia="黑体"/>
          <w:b w:val="0"/>
        </w:rPr>
      </w:pPr>
      <w:bookmarkStart w:id="32" w:name="_Toc15396605"/>
      <w:bookmarkStart w:id="33" w:name="_Toc15377207"/>
      <w:r>
        <w:rPr>
          <w:rFonts w:eastAsia="黑体"/>
          <w:color w:val="000000"/>
          <w:sz w:val="32"/>
          <w:szCs w:val="32"/>
        </w:rPr>
        <w:t>支</w:t>
      </w:r>
      <w:r>
        <w:rPr>
          <w:rStyle w:val="13"/>
          <w:rFonts w:ascii="Times New Roman" w:hAnsi="Times New Roman" w:eastAsia="黑体"/>
          <w:b w:val="0"/>
        </w:rPr>
        <w:t>出决算情况说明</w:t>
      </w:r>
      <w:bookmarkEnd w:id="32"/>
      <w:bookmarkEnd w:id="33"/>
    </w:p>
    <w:p>
      <w:pPr>
        <w:spacing w:line="600" w:lineRule="exact"/>
        <w:ind w:firstLine="640" w:firstLineChars="200"/>
        <w:outlineLvl w:val="1"/>
        <w:rPr>
          <w:rFonts w:eastAsia="仿宋"/>
          <w:color w:val="000000"/>
          <w:sz w:val="32"/>
          <w:szCs w:val="32"/>
        </w:rPr>
      </w:pPr>
      <w:r>
        <w:rPr>
          <w:rFonts w:eastAsia="仿宋"/>
          <w:color w:val="000000"/>
          <w:sz w:val="32"/>
          <w:szCs w:val="32"/>
        </w:rPr>
        <w:t>2020年本年支出合计2200.9</w:t>
      </w:r>
      <w:r>
        <w:rPr>
          <w:rFonts w:hint="eastAsia" w:eastAsia="仿宋"/>
          <w:color w:val="000000"/>
          <w:sz w:val="32"/>
          <w:szCs w:val="32"/>
        </w:rPr>
        <w:t>4</w:t>
      </w:r>
      <w:r>
        <w:rPr>
          <w:rFonts w:eastAsia="仿宋"/>
          <w:color w:val="000000"/>
          <w:sz w:val="32"/>
          <w:szCs w:val="32"/>
        </w:rPr>
        <w:t>万元，其中：基本支出1473.51万元，占66.95%；项目支出727.43万元，占33.05%。</w:t>
      </w:r>
    </w:p>
    <w:p>
      <w:pPr>
        <w:spacing w:line="600" w:lineRule="exact"/>
        <w:ind w:firstLine="640"/>
        <w:rPr>
          <w:rFonts w:eastAsia="仿宋"/>
          <w:color w:val="000000"/>
          <w:sz w:val="32"/>
          <w:szCs w:val="32"/>
          <w:shd w:val="pct10" w:color="auto" w:fill="FFFFFF"/>
        </w:rPr>
      </w:pPr>
      <w:r>
        <w:rPr>
          <w:rFonts w:eastAsia="仿宋"/>
          <w:color w:val="000000"/>
          <w:sz w:val="32"/>
          <w:szCs w:val="32"/>
          <w:shd w:val="pct10" w:color="auto" w:fill="FFFFFF"/>
        </w:rPr>
        <w:drawing>
          <wp:anchor distT="0" distB="0" distL="114300" distR="114300" simplePos="0" relativeHeight="251660288" behindDoc="0" locked="0" layoutInCell="1" allowOverlap="1">
            <wp:simplePos x="0" y="0"/>
            <wp:positionH relativeFrom="column">
              <wp:posOffset>1121410</wp:posOffset>
            </wp:positionH>
            <wp:positionV relativeFrom="paragraph">
              <wp:posOffset>114300</wp:posOffset>
            </wp:positionV>
            <wp:extent cx="3076575" cy="2492375"/>
            <wp:effectExtent l="0" t="0" r="0" b="0"/>
            <wp:wrapSquare wrapText="bothSides"/>
            <wp:docPr id="11" name="图片 4"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图片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076575" cy="2492375"/>
                    </a:xfrm>
                    <a:prstGeom prst="rect">
                      <a:avLst/>
                    </a:prstGeom>
                    <a:noFill/>
                    <a:ln>
                      <a:noFill/>
                    </a:ln>
                  </pic:spPr>
                </pic:pic>
              </a:graphicData>
            </a:graphic>
          </wp:anchor>
        </w:drawing>
      </w:r>
    </w:p>
    <w:p>
      <w:pPr>
        <w:spacing w:line="600" w:lineRule="exact"/>
        <w:ind w:firstLine="640" w:firstLineChars="200"/>
        <w:rPr>
          <w:rFonts w:eastAsia="仿宋"/>
          <w:color w:val="000000"/>
          <w:sz w:val="32"/>
          <w:szCs w:val="32"/>
        </w:rPr>
      </w:pPr>
    </w:p>
    <w:p>
      <w:pPr>
        <w:spacing w:line="600" w:lineRule="exact"/>
        <w:ind w:firstLine="640" w:firstLineChars="200"/>
        <w:rPr>
          <w:rFonts w:eastAsia="仿宋"/>
          <w:color w:val="000000"/>
          <w:sz w:val="32"/>
          <w:szCs w:val="32"/>
        </w:rPr>
      </w:pPr>
    </w:p>
    <w:p>
      <w:pPr>
        <w:spacing w:line="600" w:lineRule="exact"/>
        <w:ind w:firstLine="640" w:firstLineChars="200"/>
        <w:rPr>
          <w:rFonts w:eastAsia="仿宋"/>
          <w:color w:val="000000"/>
          <w:sz w:val="32"/>
          <w:szCs w:val="32"/>
        </w:rPr>
      </w:pPr>
    </w:p>
    <w:p>
      <w:pPr>
        <w:spacing w:line="600" w:lineRule="exact"/>
        <w:ind w:firstLine="640" w:firstLineChars="200"/>
        <w:rPr>
          <w:rFonts w:eastAsia="仿宋"/>
          <w:color w:val="000000"/>
          <w:sz w:val="32"/>
          <w:szCs w:val="32"/>
        </w:rPr>
      </w:pPr>
    </w:p>
    <w:p>
      <w:pPr>
        <w:spacing w:line="600" w:lineRule="exact"/>
        <w:ind w:firstLine="640" w:firstLineChars="200"/>
        <w:rPr>
          <w:rFonts w:eastAsia="仿宋"/>
          <w:color w:val="000000"/>
          <w:sz w:val="32"/>
          <w:szCs w:val="32"/>
        </w:rPr>
      </w:pPr>
    </w:p>
    <w:p>
      <w:pPr>
        <w:spacing w:line="600" w:lineRule="exact"/>
        <w:ind w:firstLine="640" w:firstLineChars="200"/>
        <w:rPr>
          <w:rFonts w:eastAsia="仿宋"/>
          <w:color w:val="000000"/>
          <w:sz w:val="32"/>
          <w:szCs w:val="32"/>
        </w:rPr>
      </w:pPr>
    </w:p>
    <w:p>
      <w:pPr>
        <w:spacing w:line="600" w:lineRule="exact"/>
        <w:ind w:firstLine="640" w:firstLineChars="200"/>
        <w:rPr>
          <w:rFonts w:eastAsia="仿宋"/>
          <w:color w:val="000000"/>
          <w:sz w:val="32"/>
          <w:szCs w:val="32"/>
        </w:rPr>
      </w:pPr>
      <w:r>
        <w:rPr>
          <w:rFonts w:eastAsia="仿宋"/>
          <w:color w:val="000000"/>
          <w:sz w:val="32"/>
          <w:szCs w:val="32"/>
        </w:rPr>
        <w:t>（图3：支出决算结构图）（饼状图）</w:t>
      </w:r>
    </w:p>
    <w:p>
      <w:pPr>
        <w:spacing w:line="600" w:lineRule="exact"/>
        <w:ind w:firstLine="640" w:firstLineChars="200"/>
        <w:outlineLvl w:val="1"/>
        <w:rPr>
          <w:rStyle w:val="13"/>
          <w:rFonts w:ascii="Times New Roman" w:hAnsi="Times New Roman" w:eastAsia="黑体"/>
          <w:b w:val="0"/>
        </w:rPr>
      </w:pPr>
      <w:bookmarkStart w:id="34" w:name="_Toc15396606"/>
      <w:bookmarkStart w:id="35" w:name="_Toc15377208"/>
      <w:r>
        <w:rPr>
          <w:rFonts w:eastAsia="黑体"/>
          <w:color w:val="000000"/>
          <w:sz w:val="32"/>
          <w:szCs w:val="32"/>
        </w:rPr>
        <w:t>四、财</w:t>
      </w:r>
      <w:r>
        <w:rPr>
          <w:rStyle w:val="13"/>
          <w:rFonts w:ascii="Times New Roman" w:hAnsi="Times New Roman" w:eastAsia="黑体"/>
          <w:b w:val="0"/>
        </w:rPr>
        <w:t>政拨款收入支出决算总体情况说明</w:t>
      </w:r>
      <w:bookmarkEnd w:id="34"/>
      <w:bookmarkEnd w:id="35"/>
    </w:p>
    <w:p>
      <w:pPr>
        <w:spacing w:line="600" w:lineRule="exact"/>
        <w:ind w:firstLine="640"/>
        <w:rPr>
          <w:rFonts w:eastAsia="仿宋"/>
          <w:color w:val="000000"/>
          <w:sz w:val="32"/>
          <w:szCs w:val="32"/>
        </w:rPr>
      </w:pPr>
      <w:r>
        <w:rPr>
          <w:rFonts w:eastAsia="仿宋"/>
          <w:color w:val="000000"/>
          <w:sz w:val="32"/>
          <w:szCs w:val="32"/>
        </w:rPr>
        <w:t>2020年财政拨款收入总计2091.0</w:t>
      </w:r>
      <w:r>
        <w:rPr>
          <w:rFonts w:hint="eastAsia" w:eastAsia="仿宋"/>
          <w:color w:val="000000"/>
          <w:sz w:val="32"/>
          <w:szCs w:val="32"/>
        </w:rPr>
        <w:t>2</w:t>
      </w:r>
      <w:r>
        <w:rPr>
          <w:rFonts w:eastAsia="仿宋"/>
          <w:color w:val="000000"/>
          <w:sz w:val="32"/>
          <w:szCs w:val="32"/>
        </w:rPr>
        <w:t>万元，与2019年相比，减少763.5</w:t>
      </w:r>
      <w:r>
        <w:rPr>
          <w:rFonts w:hint="eastAsia" w:eastAsia="仿宋"/>
          <w:color w:val="000000"/>
          <w:sz w:val="32"/>
          <w:szCs w:val="32"/>
        </w:rPr>
        <w:t>4</w:t>
      </w:r>
      <w:r>
        <w:rPr>
          <w:rFonts w:eastAsia="仿宋"/>
          <w:color w:val="000000"/>
          <w:sz w:val="32"/>
          <w:szCs w:val="32"/>
        </w:rPr>
        <w:t>万元，下降26.75%；2020年财政拨款支出总计2175.77万元，减少925.67万元，下降29.85%。主要变动原因是项目减少。</w:t>
      </w:r>
    </w:p>
    <w:p>
      <w:pPr>
        <w:spacing w:line="600" w:lineRule="exact"/>
        <w:rPr>
          <w:rFonts w:eastAsia="仿宋"/>
          <w:color w:val="000000"/>
          <w:sz w:val="32"/>
          <w:szCs w:val="32"/>
        </w:rPr>
      </w:pPr>
      <w:r>
        <w:rPr>
          <w:rFonts w:eastAsia="仿宋"/>
          <w:color w:val="000000"/>
          <w:sz w:val="32"/>
          <w:szCs w:val="32"/>
        </w:rPr>
        <w:drawing>
          <wp:anchor distT="0" distB="0" distL="114300" distR="114300" simplePos="0" relativeHeight="251663360" behindDoc="0" locked="0" layoutInCell="1" allowOverlap="1">
            <wp:simplePos x="0" y="0"/>
            <wp:positionH relativeFrom="column">
              <wp:posOffset>525145</wp:posOffset>
            </wp:positionH>
            <wp:positionV relativeFrom="paragraph">
              <wp:posOffset>138430</wp:posOffset>
            </wp:positionV>
            <wp:extent cx="4108450" cy="2475230"/>
            <wp:effectExtent l="0" t="0" r="0" b="0"/>
            <wp:wrapSquare wrapText="bothSides"/>
            <wp:docPr id="12" name="图片 5"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图片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108450" cy="2475230"/>
                    </a:xfrm>
                    <a:prstGeom prst="rect">
                      <a:avLst/>
                    </a:prstGeom>
                    <a:noFill/>
                    <a:ln>
                      <a:noFill/>
                    </a:ln>
                  </pic:spPr>
                </pic:pic>
              </a:graphicData>
            </a:graphic>
          </wp:anchor>
        </w:drawing>
      </w:r>
    </w:p>
    <w:p>
      <w:pPr>
        <w:spacing w:line="600" w:lineRule="exact"/>
        <w:rPr>
          <w:rFonts w:eastAsia="仿宋"/>
          <w:color w:val="000000"/>
          <w:sz w:val="32"/>
          <w:szCs w:val="32"/>
        </w:rPr>
      </w:pPr>
    </w:p>
    <w:p>
      <w:pPr>
        <w:spacing w:line="600" w:lineRule="exact"/>
        <w:rPr>
          <w:rFonts w:eastAsia="仿宋"/>
          <w:color w:val="000000"/>
          <w:sz w:val="32"/>
          <w:szCs w:val="32"/>
        </w:rPr>
      </w:pPr>
    </w:p>
    <w:p>
      <w:pPr>
        <w:spacing w:line="600" w:lineRule="exact"/>
        <w:rPr>
          <w:rFonts w:eastAsia="仿宋"/>
          <w:color w:val="000000"/>
          <w:sz w:val="32"/>
          <w:szCs w:val="32"/>
        </w:rPr>
      </w:pPr>
    </w:p>
    <w:p>
      <w:pPr>
        <w:spacing w:line="600" w:lineRule="exact"/>
        <w:rPr>
          <w:rFonts w:eastAsia="仿宋"/>
          <w:color w:val="000000"/>
          <w:sz w:val="32"/>
          <w:szCs w:val="32"/>
        </w:rPr>
      </w:pPr>
    </w:p>
    <w:p>
      <w:pPr>
        <w:spacing w:line="600" w:lineRule="exact"/>
        <w:rPr>
          <w:rFonts w:eastAsia="仿宋"/>
          <w:color w:val="000000"/>
          <w:sz w:val="32"/>
          <w:szCs w:val="32"/>
        </w:rPr>
      </w:pPr>
    </w:p>
    <w:p>
      <w:pPr>
        <w:spacing w:line="600" w:lineRule="exact"/>
        <w:rPr>
          <w:rFonts w:eastAsia="仿宋"/>
          <w:color w:val="000000"/>
          <w:sz w:val="32"/>
          <w:szCs w:val="32"/>
        </w:rPr>
      </w:pPr>
    </w:p>
    <w:p>
      <w:pPr>
        <w:spacing w:line="600" w:lineRule="exact"/>
        <w:ind w:firstLine="640" w:firstLineChars="200"/>
        <w:rPr>
          <w:rFonts w:eastAsia="仿宋"/>
          <w:color w:val="000000"/>
          <w:sz w:val="32"/>
          <w:szCs w:val="32"/>
        </w:rPr>
      </w:pPr>
      <w:r>
        <w:rPr>
          <w:rFonts w:eastAsia="仿宋"/>
          <w:color w:val="000000"/>
          <w:sz w:val="32"/>
          <w:szCs w:val="32"/>
        </w:rPr>
        <w:t>（图4：财政拨款收、支决算总计变动情况）（柱状图）</w:t>
      </w:r>
    </w:p>
    <w:p>
      <w:pPr>
        <w:spacing w:line="600" w:lineRule="exact"/>
        <w:ind w:firstLine="640" w:firstLineChars="200"/>
        <w:outlineLvl w:val="1"/>
        <w:rPr>
          <w:rStyle w:val="13"/>
          <w:rFonts w:ascii="Times New Roman" w:hAnsi="Times New Roman" w:eastAsia="黑体"/>
          <w:b w:val="0"/>
        </w:rPr>
      </w:pPr>
      <w:bookmarkStart w:id="36" w:name="_Toc15377209"/>
      <w:bookmarkStart w:id="37" w:name="_Toc15396607"/>
      <w:r>
        <w:rPr>
          <w:rFonts w:eastAsia="黑体"/>
          <w:color w:val="000000"/>
          <w:sz w:val="32"/>
          <w:szCs w:val="32"/>
        </w:rPr>
        <w:t>五、</w:t>
      </w:r>
      <w:r>
        <w:rPr>
          <w:rFonts w:eastAsia="黑体"/>
          <w:b/>
          <w:color w:val="000000"/>
          <w:sz w:val="32"/>
          <w:szCs w:val="32"/>
        </w:rPr>
        <w:t>一</w:t>
      </w:r>
      <w:r>
        <w:rPr>
          <w:rStyle w:val="13"/>
          <w:rFonts w:ascii="Times New Roman" w:hAnsi="Times New Roman" w:eastAsia="黑体"/>
          <w:b w:val="0"/>
        </w:rPr>
        <w:t>般公共预算财政拨款支出决算情况说明</w:t>
      </w:r>
      <w:bookmarkEnd w:id="36"/>
      <w:bookmarkEnd w:id="37"/>
    </w:p>
    <w:p>
      <w:pPr>
        <w:spacing w:line="600" w:lineRule="exact"/>
        <w:ind w:firstLine="643" w:firstLineChars="200"/>
        <w:outlineLvl w:val="2"/>
        <w:rPr>
          <w:rFonts w:eastAsia="仿宋"/>
          <w:b/>
          <w:color w:val="000000"/>
          <w:sz w:val="32"/>
          <w:szCs w:val="32"/>
        </w:rPr>
      </w:pPr>
      <w:bookmarkStart w:id="38" w:name="_Toc15377210"/>
      <w:r>
        <w:rPr>
          <w:rFonts w:eastAsia="仿宋"/>
          <w:b/>
          <w:color w:val="000000"/>
          <w:sz w:val="32"/>
          <w:szCs w:val="32"/>
        </w:rPr>
        <w:t>（一）一般公共预算财政拨款支出决算总体情况</w:t>
      </w:r>
      <w:bookmarkEnd w:id="38"/>
    </w:p>
    <w:p>
      <w:pPr>
        <w:spacing w:line="600" w:lineRule="exact"/>
        <w:ind w:firstLine="640" w:firstLineChars="200"/>
        <w:rPr>
          <w:rFonts w:hint="eastAsia" w:eastAsia="仿宋"/>
          <w:color w:val="000000"/>
          <w:sz w:val="32"/>
          <w:szCs w:val="32"/>
        </w:rPr>
      </w:pPr>
      <w:r>
        <w:rPr>
          <w:rFonts w:eastAsia="仿宋"/>
          <w:color w:val="000000"/>
          <w:sz w:val="32"/>
          <w:szCs w:val="32"/>
        </w:rPr>
        <w:t>2020年一般公共预算财政拨款支出1606.1</w:t>
      </w:r>
      <w:r>
        <w:rPr>
          <w:rFonts w:hint="eastAsia" w:eastAsia="仿宋"/>
          <w:color w:val="000000"/>
          <w:sz w:val="32"/>
          <w:szCs w:val="32"/>
        </w:rPr>
        <w:t>5</w:t>
      </w:r>
      <w:r>
        <w:rPr>
          <w:rFonts w:eastAsia="仿宋"/>
          <w:color w:val="000000"/>
          <w:sz w:val="32"/>
          <w:szCs w:val="32"/>
        </w:rPr>
        <w:t>万元，占本年支出合计的72.98%。与2019年相比，一般公共预算财政拨款减少358.5</w:t>
      </w:r>
      <w:r>
        <w:rPr>
          <w:rFonts w:hint="eastAsia" w:eastAsia="仿宋"/>
          <w:color w:val="000000"/>
          <w:sz w:val="32"/>
          <w:szCs w:val="32"/>
        </w:rPr>
        <w:t>3</w:t>
      </w:r>
      <w:r>
        <w:rPr>
          <w:rFonts w:eastAsia="仿宋"/>
          <w:color w:val="000000"/>
          <w:sz w:val="32"/>
          <w:szCs w:val="32"/>
        </w:rPr>
        <w:t>万元，下降18.25%。主要变动原因是</w:t>
      </w:r>
      <w:r>
        <w:rPr>
          <w:rFonts w:hint="eastAsia" w:eastAsia="仿宋"/>
          <w:color w:val="000000"/>
          <w:sz w:val="32"/>
          <w:szCs w:val="32"/>
        </w:rPr>
        <w:t>项目减少。</w:t>
      </w:r>
    </w:p>
    <w:p>
      <w:pPr>
        <w:spacing w:line="600" w:lineRule="exact"/>
        <w:ind w:firstLine="640" w:firstLineChars="200"/>
        <w:rPr>
          <w:rFonts w:eastAsia="仿宋"/>
          <w:color w:val="000000"/>
          <w:sz w:val="32"/>
          <w:szCs w:val="32"/>
        </w:rPr>
      </w:pPr>
      <w:r>
        <w:rPr>
          <w:rFonts w:eastAsia="仿宋"/>
          <w:color w:val="000000"/>
          <w:sz w:val="32"/>
          <w:szCs w:val="32"/>
        </w:rPr>
        <w:drawing>
          <wp:anchor distT="0" distB="0" distL="114300" distR="114300" simplePos="0" relativeHeight="251664384" behindDoc="0" locked="0" layoutInCell="1" allowOverlap="1">
            <wp:simplePos x="0" y="0"/>
            <wp:positionH relativeFrom="column">
              <wp:posOffset>574040</wp:posOffset>
            </wp:positionH>
            <wp:positionV relativeFrom="paragraph">
              <wp:posOffset>141605</wp:posOffset>
            </wp:positionV>
            <wp:extent cx="4065905" cy="2449195"/>
            <wp:effectExtent l="0" t="0" r="0" b="0"/>
            <wp:wrapSquare wrapText="bothSides"/>
            <wp:docPr id="13" name="图片 6"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图片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065905" cy="2449195"/>
                    </a:xfrm>
                    <a:prstGeom prst="rect">
                      <a:avLst/>
                    </a:prstGeom>
                    <a:noFill/>
                    <a:ln>
                      <a:noFill/>
                    </a:ln>
                  </pic:spPr>
                </pic:pic>
              </a:graphicData>
            </a:graphic>
          </wp:anchor>
        </w:drawing>
      </w:r>
    </w:p>
    <w:p>
      <w:pPr>
        <w:spacing w:line="600" w:lineRule="exact"/>
        <w:ind w:firstLine="640" w:firstLineChars="200"/>
        <w:rPr>
          <w:rFonts w:eastAsia="仿宋"/>
          <w:color w:val="000000"/>
          <w:sz w:val="32"/>
          <w:szCs w:val="32"/>
        </w:rPr>
      </w:pPr>
    </w:p>
    <w:p>
      <w:pPr>
        <w:spacing w:line="600" w:lineRule="exact"/>
        <w:ind w:firstLine="640" w:firstLineChars="200"/>
        <w:rPr>
          <w:rFonts w:eastAsia="仿宋"/>
          <w:color w:val="000000"/>
          <w:sz w:val="32"/>
          <w:szCs w:val="32"/>
        </w:rPr>
      </w:pPr>
    </w:p>
    <w:p>
      <w:pPr>
        <w:spacing w:line="600" w:lineRule="exact"/>
        <w:ind w:firstLine="640" w:firstLineChars="200"/>
        <w:rPr>
          <w:rFonts w:eastAsia="仿宋"/>
          <w:color w:val="000000"/>
          <w:sz w:val="32"/>
          <w:szCs w:val="32"/>
        </w:rPr>
      </w:pPr>
    </w:p>
    <w:p>
      <w:pPr>
        <w:spacing w:line="600" w:lineRule="exact"/>
        <w:ind w:firstLine="640" w:firstLineChars="200"/>
        <w:rPr>
          <w:rFonts w:eastAsia="仿宋"/>
          <w:color w:val="000000"/>
          <w:sz w:val="32"/>
          <w:szCs w:val="32"/>
        </w:rPr>
      </w:pPr>
    </w:p>
    <w:p>
      <w:pPr>
        <w:spacing w:line="600" w:lineRule="exact"/>
        <w:ind w:firstLine="640" w:firstLineChars="200"/>
        <w:rPr>
          <w:rFonts w:eastAsia="仿宋"/>
          <w:color w:val="000000"/>
          <w:sz w:val="32"/>
          <w:szCs w:val="32"/>
        </w:rPr>
      </w:pPr>
    </w:p>
    <w:p>
      <w:pPr>
        <w:spacing w:line="600" w:lineRule="exact"/>
        <w:ind w:firstLine="640" w:firstLineChars="200"/>
        <w:rPr>
          <w:rFonts w:eastAsia="仿宋"/>
          <w:color w:val="000000"/>
          <w:sz w:val="32"/>
          <w:szCs w:val="32"/>
        </w:rPr>
      </w:pPr>
    </w:p>
    <w:p>
      <w:pPr>
        <w:spacing w:line="600" w:lineRule="exact"/>
        <w:ind w:firstLine="640" w:firstLineChars="200"/>
        <w:rPr>
          <w:rFonts w:eastAsia="仿宋"/>
          <w:color w:val="000000"/>
          <w:sz w:val="32"/>
          <w:szCs w:val="32"/>
        </w:rPr>
      </w:pPr>
      <w:r>
        <w:rPr>
          <w:rFonts w:eastAsia="仿宋"/>
          <w:color w:val="000000"/>
          <w:sz w:val="32"/>
          <w:szCs w:val="32"/>
        </w:rPr>
        <w:t>（图5：一般公共预算财政拨款支出决算变动情况）（柱状图）</w:t>
      </w:r>
    </w:p>
    <w:p>
      <w:pPr>
        <w:spacing w:line="600" w:lineRule="exact"/>
        <w:ind w:firstLine="643" w:firstLineChars="200"/>
        <w:outlineLvl w:val="2"/>
        <w:rPr>
          <w:rFonts w:eastAsia="仿宋"/>
          <w:b/>
          <w:color w:val="000000"/>
          <w:sz w:val="32"/>
          <w:szCs w:val="32"/>
        </w:rPr>
      </w:pPr>
      <w:bookmarkStart w:id="39" w:name="_Toc15377211"/>
      <w:r>
        <w:rPr>
          <w:rFonts w:eastAsia="仿宋"/>
          <w:b/>
          <w:color w:val="000000"/>
          <w:sz w:val="32"/>
          <w:szCs w:val="32"/>
        </w:rPr>
        <w:t>（二）一般公共预算财政拨款支出决算结构情况</w:t>
      </w:r>
      <w:bookmarkEnd w:id="39"/>
    </w:p>
    <w:p>
      <w:pPr>
        <w:spacing w:line="600" w:lineRule="exact"/>
        <w:ind w:firstLine="640"/>
        <w:rPr>
          <w:rFonts w:eastAsia="仿宋"/>
          <w:b/>
          <w:color w:val="000000"/>
          <w:sz w:val="32"/>
          <w:szCs w:val="32"/>
        </w:rPr>
      </w:pPr>
      <w:r>
        <w:rPr>
          <w:rFonts w:eastAsia="仿宋"/>
          <w:color w:val="000000"/>
          <w:sz w:val="32"/>
          <w:szCs w:val="32"/>
        </w:rPr>
        <w:t>2020年一般公共预算财政拨款支出1606.1</w:t>
      </w:r>
      <w:r>
        <w:rPr>
          <w:rFonts w:hint="eastAsia" w:eastAsia="仿宋"/>
          <w:color w:val="000000"/>
          <w:sz w:val="32"/>
          <w:szCs w:val="32"/>
        </w:rPr>
        <w:t>5</w:t>
      </w:r>
      <w:r>
        <w:rPr>
          <w:rFonts w:eastAsia="仿宋"/>
          <w:color w:val="000000"/>
          <w:sz w:val="32"/>
          <w:szCs w:val="32"/>
        </w:rPr>
        <w:t>万元，主要用于以下方面:一般公共服务（类）支出21.79万元，占1.36%；科学技术（类）支出1240.1</w:t>
      </w:r>
      <w:r>
        <w:rPr>
          <w:rFonts w:hint="eastAsia" w:eastAsia="仿宋"/>
          <w:color w:val="000000"/>
          <w:sz w:val="32"/>
          <w:szCs w:val="32"/>
        </w:rPr>
        <w:t>8</w:t>
      </w:r>
      <w:r>
        <w:rPr>
          <w:rFonts w:eastAsia="仿宋"/>
          <w:color w:val="000000"/>
          <w:sz w:val="32"/>
          <w:szCs w:val="32"/>
        </w:rPr>
        <w:t>万元，占77.21%；</w:t>
      </w:r>
      <w:r>
        <w:rPr>
          <w:rFonts w:eastAsia="仿宋"/>
          <w:b/>
          <w:color w:val="000000"/>
          <w:sz w:val="32"/>
          <w:szCs w:val="32"/>
        </w:rPr>
        <w:t>社会保障和就业（类）</w:t>
      </w:r>
      <w:r>
        <w:rPr>
          <w:rFonts w:eastAsia="仿宋"/>
          <w:color w:val="000000"/>
          <w:sz w:val="32"/>
          <w:szCs w:val="32"/>
        </w:rPr>
        <w:t>支出244.33万元，占15.21%；</w:t>
      </w:r>
      <w:r>
        <w:rPr>
          <w:rFonts w:eastAsia="仿宋"/>
          <w:b/>
          <w:bCs/>
          <w:color w:val="000000"/>
          <w:sz w:val="32"/>
          <w:szCs w:val="32"/>
        </w:rPr>
        <w:t>住房保障</w:t>
      </w:r>
      <w:r>
        <w:rPr>
          <w:rFonts w:eastAsia="仿宋"/>
          <w:color w:val="000000"/>
          <w:sz w:val="32"/>
          <w:szCs w:val="32"/>
        </w:rPr>
        <w:t>支出99.85万元，占6.22%。</w:t>
      </w:r>
    </w:p>
    <w:p>
      <w:pPr>
        <w:spacing w:line="600" w:lineRule="exact"/>
        <w:ind w:firstLine="640"/>
        <w:rPr>
          <w:rFonts w:eastAsia="仿宋"/>
          <w:color w:val="000000"/>
          <w:sz w:val="32"/>
          <w:szCs w:val="32"/>
        </w:rPr>
      </w:pPr>
      <w:r>
        <w:rPr>
          <w:rFonts w:eastAsia="仿宋"/>
          <w:color w:val="000000"/>
          <w:sz w:val="32"/>
          <w:szCs w:val="32"/>
        </w:rPr>
        <w:drawing>
          <wp:anchor distT="0" distB="0" distL="114300" distR="114300" simplePos="0" relativeHeight="251661312" behindDoc="0" locked="0" layoutInCell="1" allowOverlap="1">
            <wp:simplePos x="0" y="0"/>
            <wp:positionH relativeFrom="column">
              <wp:posOffset>612140</wp:posOffset>
            </wp:positionH>
            <wp:positionV relativeFrom="paragraph">
              <wp:posOffset>107950</wp:posOffset>
            </wp:positionV>
            <wp:extent cx="3928745" cy="2556510"/>
            <wp:effectExtent l="0" t="0" r="0" b="0"/>
            <wp:wrapSquare wrapText="bothSides"/>
            <wp:docPr id="14" name="图片 7"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descr="图片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928745" cy="2556510"/>
                    </a:xfrm>
                    <a:prstGeom prst="rect">
                      <a:avLst/>
                    </a:prstGeom>
                    <a:noFill/>
                    <a:ln>
                      <a:noFill/>
                    </a:ln>
                  </pic:spPr>
                </pic:pic>
              </a:graphicData>
            </a:graphic>
          </wp:anchor>
        </w:drawing>
      </w:r>
    </w:p>
    <w:p>
      <w:pPr>
        <w:spacing w:line="600" w:lineRule="exact"/>
        <w:ind w:firstLine="640"/>
        <w:rPr>
          <w:rFonts w:eastAsia="仿宋"/>
          <w:color w:val="000000"/>
          <w:sz w:val="32"/>
          <w:szCs w:val="32"/>
        </w:rPr>
      </w:pPr>
    </w:p>
    <w:p>
      <w:pPr>
        <w:spacing w:line="600" w:lineRule="exact"/>
        <w:ind w:firstLine="640"/>
        <w:rPr>
          <w:rFonts w:eastAsia="仿宋"/>
          <w:color w:val="000000"/>
          <w:sz w:val="32"/>
          <w:szCs w:val="32"/>
        </w:rPr>
      </w:pPr>
    </w:p>
    <w:p>
      <w:pPr>
        <w:spacing w:line="600" w:lineRule="exact"/>
        <w:ind w:firstLine="640"/>
        <w:rPr>
          <w:rFonts w:eastAsia="仿宋"/>
          <w:color w:val="000000"/>
          <w:sz w:val="32"/>
          <w:szCs w:val="32"/>
        </w:rPr>
      </w:pPr>
    </w:p>
    <w:p>
      <w:pPr>
        <w:spacing w:line="600" w:lineRule="exact"/>
        <w:ind w:firstLine="640"/>
        <w:rPr>
          <w:rFonts w:eastAsia="仿宋"/>
          <w:color w:val="000000"/>
          <w:sz w:val="32"/>
          <w:szCs w:val="32"/>
        </w:rPr>
      </w:pPr>
    </w:p>
    <w:p>
      <w:pPr>
        <w:spacing w:line="600" w:lineRule="exact"/>
        <w:ind w:firstLine="640" w:firstLineChars="200"/>
        <w:rPr>
          <w:rFonts w:eastAsia="仿宋"/>
          <w:color w:val="000000"/>
          <w:sz w:val="32"/>
          <w:szCs w:val="32"/>
        </w:rPr>
      </w:pPr>
      <w:r>
        <w:rPr>
          <w:rFonts w:eastAsia="仿宋"/>
          <w:color w:val="000000"/>
          <w:sz w:val="32"/>
          <w:szCs w:val="32"/>
        </w:rPr>
        <w:t>（图6：一般公共预算财政拨款支出决算结构）（饼状图）</w:t>
      </w:r>
    </w:p>
    <w:p>
      <w:pPr>
        <w:spacing w:line="600" w:lineRule="exact"/>
        <w:ind w:firstLine="643" w:firstLineChars="200"/>
        <w:outlineLvl w:val="2"/>
        <w:rPr>
          <w:rFonts w:eastAsia="仿宋"/>
          <w:b/>
          <w:color w:val="000000"/>
          <w:sz w:val="32"/>
          <w:szCs w:val="32"/>
        </w:rPr>
      </w:pPr>
      <w:bookmarkStart w:id="40" w:name="_Toc15377212"/>
      <w:r>
        <w:rPr>
          <w:rFonts w:eastAsia="仿宋"/>
          <w:b/>
          <w:color w:val="000000"/>
          <w:sz w:val="32"/>
          <w:szCs w:val="32"/>
        </w:rPr>
        <w:t>（三）一般公共预算财政拨款支出决算具体情况</w:t>
      </w:r>
      <w:bookmarkEnd w:id="40"/>
    </w:p>
    <w:p>
      <w:pPr>
        <w:spacing w:line="600" w:lineRule="exact"/>
        <w:ind w:firstLine="643" w:firstLineChars="200"/>
        <w:outlineLvl w:val="2"/>
        <w:rPr>
          <w:rFonts w:eastAsia="仿宋"/>
          <w:color w:val="FF0000"/>
          <w:sz w:val="32"/>
          <w:szCs w:val="32"/>
        </w:rPr>
      </w:pPr>
      <w:bookmarkStart w:id="41" w:name="_Toc15377213"/>
      <w:bookmarkStart w:id="42" w:name="_Toc15377444"/>
      <w:bookmarkStart w:id="43" w:name="_Toc15378460"/>
      <w:r>
        <w:rPr>
          <w:rFonts w:eastAsia="仿宋"/>
          <w:b/>
          <w:color w:val="000000"/>
          <w:sz w:val="32"/>
          <w:szCs w:val="32"/>
        </w:rPr>
        <w:t>2020年一般公共预算支出决算数为1606.1</w:t>
      </w:r>
      <w:r>
        <w:rPr>
          <w:rFonts w:hint="eastAsia" w:eastAsia="仿宋"/>
          <w:b/>
          <w:color w:val="000000"/>
          <w:sz w:val="32"/>
          <w:szCs w:val="32"/>
        </w:rPr>
        <w:t>5</w:t>
      </w:r>
      <w:r>
        <w:rPr>
          <w:rFonts w:eastAsia="仿宋"/>
          <w:b/>
          <w:color w:val="000000"/>
          <w:sz w:val="32"/>
          <w:szCs w:val="32"/>
        </w:rPr>
        <w:t>万元，</w:t>
      </w:r>
      <w:r>
        <w:rPr>
          <w:rStyle w:val="11"/>
          <w:rFonts w:eastAsia="仿宋"/>
          <w:bCs/>
          <w:color w:val="000000"/>
          <w:sz w:val="32"/>
          <w:szCs w:val="32"/>
        </w:rPr>
        <w:t>完成预算</w:t>
      </w:r>
      <w:r>
        <w:rPr>
          <w:rFonts w:eastAsia="仿宋"/>
          <w:b/>
          <w:color w:val="000000"/>
          <w:sz w:val="32"/>
          <w:szCs w:val="32"/>
        </w:rPr>
        <w:t>100%。</w:t>
      </w:r>
      <w:r>
        <w:rPr>
          <w:rStyle w:val="11"/>
          <w:rFonts w:eastAsia="仿宋"/>
          <w:bCs/>
          <w:color w:val="000000"/>
          <w:sz w:val="32"/>
          <w:szCs w:val="32"/>
        </w:rPr>
        <w:t>其中：</w:t>
      </w:r>
      <w:bookmarkEnd w:id="41"/>
      <w:bookmarkEnd w:id="42"/>
      <w:bookmarkEnd w:id="43"/>
    </w:p>
    <w:p>
      <w:pPr>
        <w:spacing w:line="600" w:lineRule="exact"/>
        <w:ind w:firstLine="643" w:firstLineChars="200"/>
        <w:rPr>
          <w:rFonts w:eastAsia="仿宋"/>
          <w:b/>
          <w:color w:val="000000"/>
          <w:sz w:val="32"/>
          <w:szCs w:val="32"/>
        </w:rPr>
      </w:pPr>
      <w:r>
        <w:rPr>
          <w:rStyle w:val="11"/>
          <w:rFonts w:eastAsia="仿宋"/>
          <w:bCs/>
          <w:color w:val="000000"/>
          <w:sz w:val="32"/>
          <w:szCs w:val="32"/>
        </w:rPr>
        <w:t>1.一般公共服务（类）人力资源事务（款）其他人力资源事务支出（项）:</w:t>
      </w:r>
      <w:r>
        <w:rPr>
          <w:rStyle w:val="11"/>
          <w:rFonts w:eastAsia="仿宋"/>
          <w:b w:val="0"/>
          <w:bCs/>
          <w:color w:val="000000"/>
          <w:sz w:val="32"/>
          <w:szCs w:val="32"/>
        </w:rPr>
        <w:t xml:space="preserve"> 支出决算为12.9万元；</w:t>
      </w:r>
      <w:r>
        <w:rPr>
          <w:rStyle w:val="11"/>
          <w:rFonts w:eastAsia="仿宋"/>
          <w:color w:val="000000"/>
          <w:sz w:val="32"/>
          <w:szCs w:val="32"/>
        </w:rPr>
        <w:t>组织事务（款）其他组织事务支出（项）</w:t>
      </w:r>
      <w:r>
        <w:rPr>
          <w:rStyle w:val="11"/>
          <w:rFonts w:eastAsia="仿宋"/>
          <w:bCs/>
          <w:color w:val="000000"/>
          <w:sz w:val="32"/>
          <w:szCs w:val="32"/>
        </w:rPr>
        <w:t>：</w:t>
      </w:r>
      <w:r>
        <w:rPr>
          <w:rStyle w:val="11"/>
          <w:rFonts w:eastAsia="仿宋"/>
          <w:b w:val="0"/>
          <w:bCs/>
          <w:color w:val="000000"/>
          <w:sz w:val="32"/>
          <w:szCs w:val="32"/>
        </w:rPr>
        <w:t>支出决算为8.89万元；完成预算100%，决算数等于预算数。</w:t>
      </w:r>
    </w:p>
    <w:p>
      <w:pPr>
        <w:spacing w:line="600" w:lineRule="exact"/>
        <w:ind w:firstLine="643" w:firstLineChars="200"/>
        <w:rPr>
          <w:rStyle w:val="11"/>
          <w:rFonts w:eastAsia="仿宋"/>
          <w:b w:val="0"/>
          <w:bCs/>
          <w:color w:val="000000"/>
          <w:sz w:val="32"/>
          <w:szCs w:val="32"/>
        </w:rPr>
      </w:pPr>
      <w:r>
        <w:rPr>
          <w:rStyle w:val="11"/>
          <w:rFonts w:eastAsia="仿宋"/>
          <w:bCs/>
          <w:color w:val="000000"/>
          <w:sz w:val="32"/>
          <w:szCs w:val="32"/>
        </w:rPr>
        <w:t>2.教育（类）***（款）***（项）:</w:t>
      </w:r>
      <w:r>
        <w:rPr>
          <w:rStyle w:val="11"/>
          <w:rFonts w:eastAsia="仿宋"/>
          <w:b w:val="0"/>
          <w:bCs/>
          <w:color w:val="000000"/>
          <w:sz w:val="32"/>
          <w:szCs w:val="32"/>
        </w:rPr>
        <w:t xml:space="preserve"> 无</w:t>
      </w:r>
    </w:p>
    <w:p>
      <w:pPr>
        <w:spacing w:line="600" w:lineRule="exact"/>
        <w:ind w:firstLine="643" w:firstLineChars="200"/>
        <w:rPr>
          <w:rStyle w:val="11"/>
          <w:rFonts w:eastAsia="仿宋"/>
          <w:b w:val="0"/>
          <w:bCs/>
          <w:color w:val="000000"/>
          <w:sz w:val="32"/>
          <w:szCs w:val="32"/>
        </w:rPr>
      </w:pPr>
      <w:r>
        <w:rPr>
          <w:rStyle w:val="11"/>
          <w:rFonts w:eastAsia="仿宋"/>
          <w:bCs/>
          <w:color w:val="000000"/>
          <w:sz w:val="32"/>
          <w:szCs w:val="32"/>
        </w:rPr>
        <w:t>3.科学技术（类）科学技术管理事务（款）行政运行（项）:</w:t>
      </w:r>
      <w:r>
        <w:rPr>
          <w:rStyle w:val="11"/>
          <w:rFonts w:eastAsia="仿宋"/>
          <w:b w:val="0"/>
          <w:bCs/>
          <w:color w:val="000000"/>
          <w:sz w:val="32"/>
          <w:szCs w:val="32"/>
        </w:rPr>
        <w:t xml:space="preserve"> 支出决算为478.8万元，</w:t>
      </w:r>
      <w:r>
        <w:rPr>
          <w:rStyle w:val="11"/>
          <w:rFonts w:eastAsia="仿宋"/>
          <w:bCs/>
          <w:color w:val="000000"/>
          <w:sz w:val="32"/>
          <w:szCs w:val="32"/>
        </w:rPr>
        <w:t>其他科学技术管理事务支出（项）:</w:t>
      </w:r>
      <w:r>
        <w:rPr>
          <w:rStyle w:val="11"/>
          <w:rFonts w:eastAsia="仿宋"/>
          <w:b w:val="0"/>
          <w:bCs/>
          <w:color w:val="000000"/>
          <w:sz w:val="32"/>
          <w:szCs w:val="32"/>
        </w:rPr>
        <w:t xml:space="preserve"> 支出决算为5.76万元；</w:t>
      </w:r>
      <w:r>
        <w:rPr>
          <w:rStyle w:val="11"/>
          <w:rFonts w:eastAsia="仿宋"/>
          <w:bCs/>
          <w:color w:val="000000"/>
          <w:sz w:val="32"/>
          <w:szCs w:val="32"/>
        </w:rPr>
        <w:t>技术研究与开发（款）其他技术研究与开发支出（项）:</w:t>
      </w:r>
      <w:r>
        <w:rPr>
          <w:rStyle w:val="11"/>
          <w:rFonts w:eastAsia="仿宋"/>
          <w:b w:val="0"/>
          <w:bCs/>
          <w:color w:val="000000"/>
          <w:sz w:val="32"/>
          <w:szCs w:val="32"/>
        </w:rPr>
        <w:t xml:space="preserve"> 支出决算为58.6万元；</w:t>
      </w:r>
      <w:r>
        <w:rPr>
          <w:rStyle w:val="11"/>
          <w:rFonts w:eastAsia="仿宋"/>
          <w:bCs/>
          <w:color w:val="000000"/>
          <w:sz w:val="32"/>
          <w:szCs w:val="32"/>
        </w:rPr>
        <w:t>科技条件与服务（款）机构运行（项）:</w:t>
      </w:r>
      <w:r>
        <w:rPr>
          <w:rStyle w:val="11"/>
          <w:rFonts w:eastAsia="仿宋"/>
          <w:b w:val="0"/>
          <w:bCs/>
          <w:color w:val="000000"/>
          <w:sz w:val="32"/>
          <w:szCs w:val="32"/>
        </w:rPr>
        <w:t xml:space="preserve"> 支出决算为561.34万元，</w:t>
      </w:r>
      <w:r>
        <w:rPr>
          <w:rStyle w:val="11"/>
          <w:rFonts w:eastAsia="仿宋"/>
          <w:bCs/>
          <w:color w:val="000000"/>
          <w:sz w:val="32"/>
          <w:szCs w:val="32"/>
        </w:rPr>
        <w:t>其他科技条件与服务支出（项）:</w:t>
      </w:r>
      <w:r>
        <w:rPr>
          <w:rStyle w:val="11"/>
          <w:rFonts w:eastAsia="仿宋"/>
          <w:b w:val="0"/>
          <w:bCs/>
          <w:color w:val="000000"/>
          <w:sz w:val="32"/>
          <w:szCs w:val="32"/>
        </w:rPr>
        <w:t xml:space="preserve"> 支出决算为25.1万元；</w:t>
      </w:r>
      <w:r>
        <w:rPr>
          <w:rStyle w:val="11"/>
          <w:rFonts w:eastAsia="仿宋"/>
          <w:bCs/>
          <w:color w:val="000000"/>
          <w:sz w:val="32"/>
          <w:szCs w:val="32"/>
        </w:rPr>
        <w:t>其他科学技术支出（款）其他科学技术支出（项）:</w:t>
      </w:r>
      <w:r>
        <w:rPr>
          <w:rStyle w:val="11"/>
          <w:rFonts w:eastAsia="仿宋"/>
          <w:b w:val="0"/>
          <w:bCs/>
          <w:color w:val="000000"/>
          <w:sz w:val="32"/>
          <w:szCs w:val="32"/>
        </w:rPr>
        <w:t xml:space="preserve"> 支出决算为110.5</w:t>
      </w:r>
      <w:r>
        <w:rPr>
          <w:rStyle w:val="11"/>
          <w:rFonts w:hint="eastAsia" w:eastAsia="仿宋"/>
          <w:b w:val="0"/>
          <w:bCs/>
          <w:color w:val="000000"/>
          <w:sz w:val="32"/>
          <w:szCs w:val="32"/>
        </w:rPr>
        <w:t>8</w:t>
      </w:r>
      <w:r>
        <w:rPr>
          <w:rStyle w:val="11"/>
          <w:rFonts w:eastAsia="仿宋"/>
          <w:b w:val="0"/>
          <w:bCs/>
          <w:color w:val="000000"/>
          <w:sz w:val="32"/>
          <w:szCs w:val="32"/>
        </w:rPr>
        <w:t>万元，完成预算100%，决算数等于预算数。</w:t>
      </w:r>
    </w:p>
    <w:p>
      <w:pPr>
        <w:spacing w:line="600" w:lineRule="exact"/>
        <w:ind w:firstLine="643" w:firstLineChars="200"/>
        <w:rPr>
          <w:rFonts w:eastAsia="仿宋"/>
          <w:b/>
          <w:color w:val="000000"/>
          <w:sz w:val="32"/>
          <w:szCs w:val="32"/>
        </w:rPr>
      </w:pPr>
      <w:r>
        <w:rPr>
          <w:rStyle w:val="11"/>
          <w:rFonts w:eastAsia="仿宋"/>
          <w:bCs/>
          <w:color w:val="000000"/>
          <w:sz w:val="32"/>
          <w:szCs w:val="32"/>
        </w:rPr>
        <w:t>4.文化旅游体育与传媒（类）***（款）***（项）:</w:t>
      </w:r>
      <w:r>
        <w:rPr>
          <w:rStyle w:val="11"/>
          <w:rFonts w:eastAsia="仿宋"/>
          <w:b w:val="0"/>
          <w:bCs/>
          <w:color w:val="000000"/>
          <w:sz w:val="32"/>
          <w:szCs w:val="32"/>
        </w:rPr>
        <w:t>无</w:t>
      </w:r>
    </w:p>
    <w:p>
      <w:pPr>
        <w:spacing w:line="600" w:lineRule="exact"/>
        <w:ind w:firstLine="643" w:firstLineChars="200"/>
        <w:rPr>
          <w:rFonts w:eastAsia="仿宋"/>
          <w:b/>
          <w:color w:val="000000"/>
          <w:sz w:val="32"/>
          <w:szCs w:val="32"/>
        </w:rPr>
      </w:pPr>
      <w:r>
        <w:rPr>
          <w:rStyle w:val="11"/>
          <w:rFonts w:eastAsia="仿宋"/>
          <w:bCs/>
          <w:color w:val="000000"/>
          <w:sz w:val="32"/>
          <w:szCs w:val="32"/>
        </w:rPr>
        <w:t>5.社会保障和就业（类）行政事业单位养老支出（款）行政单位离退休（项）:</w:t>
      </w:r>
      <w:r>
        <w:rPr>
          <w:rStyle w:val="11"/>
          <w:rFonts w:eastAsia="仿宋"/>
          <w:b w:val="0"/>
          <w:bCs/>
          <w:color w:val="000000"/>
          <w:sz w:val="32"/>
          <w:szCs w:val="32"/>
        </w:rPr>
        <w:t xml:space="preserve"> 支出决算为102.41万元，</w:t>
      </w:r>
      <w:r>
        <w:rPr>
          <w:rStyle w:val="11"/>
          <w:rFonts w:eastAsia="仿宋"/>
          <w:color w:val="000000"/>
          <w:sz w:val="32"/>
          <w:szCs w:val="32"/>
        </w:rPr>
        <w:t>事业单位离退休（项</w:t>
      </w:r>
      <w:r>
        <w:rPr>
          <w:rStyle w:val="11"/>
          <w:rFonts w:eastAsia="仿宋"/>
          <w:bCs/>
          <w:color w:val="000000"/>
          <w:sz w:val="32"/>
          <w:szCs w:val="32"/>
        </w:rPr>
        <w:t>）:</w:t>
      </w:r>
      <w:r>
        <w:rPr>
          <w:rStyle w:val="11"/>
          <w:rFonts w:eastAsia="仿宋"/>
          <w:b w:val="0"/>
          <w:bCs/>
          <w:color w:val="000000"/>
          <w:sz w:val="32"/>
          <w:szCs w:val="32"/>
        </w:rPr>
        <w:t xml:space="preserve"> 支出决算为48.58万元，</w:t>
      </w:r>
      <w:r>
        <w:rPr>
          <w:rStyle w:val="11"/>
          <w:rFonts w:eastAsia="仿宋"/>
          <w:color w:val="000000"/>
          <w:sz w:val="32"/>
          <w:szCs w:val="32"/>
        </w:rPr>
        <w:t>机关事业单位基本养老保险缴费支出（项）：</w:t>
      </w:r>
      <w:r>
        <w:rPr>
          <w:rStyle w:val="11"/>
          <w:rFonts w:eastAsia="仿宋"/>
          <w:b w:val="0"/>
          <w:bCs/>
          <w:color w:val="000000"/>
          <w:sz w:val="32"/>
          <w:szCs w:val="32"/>
        </w:rPr>
        <w:t>支出决算为91.72万元，</w:t>
      </w:r>
      <w:r>
        <w:rPr>
          <w:rStyle w:val="11"/>
          <w:rFonts w:eastAsia="仿宋"/>
          <w:color w:val="000000"/>
          <w:sz w:val="32"/>
          <w:szCs w:val="32"/>
        </w:rPr>
        <w:t>其他行政事业单位养老支出（项）：</w:t>
      </w:r>
      <w:r>
        <w:rPr>
          <w:rStyle w:val="11"/>
          <w:rFonts w:eastAsia="仿宋"/>
          <w:b w:val="0"/>
          <w:bCs/>
          <w:color w:val="000000"/>
          <w:sz w:val="32"/>
          <w:szCs w:val="32"/>
        </w:rPr>
        <w:t>支出决算为0.42万元；</w:t>
      </w:r>
      <w:r>
        <w:rPr>
          <w:rStyle w:val="11"/>
          <w:rFonts w:eastAsia="仿宋"/>
          <w:bCs/>
          <w:color w:val="000000"/>
          <w:sz w:val="32"/>
          <w:szCs w:val="32"/>
        </w:rPr>
        <w:t>社会福利（款）儿童福利（项）:</w:t>
      </w:r>
      <w:r>
        <w:rPr>
          <w:rStyle w:val="11"/>
          <w:rFonts w:eastAsia="仿宋"/>
          <w:b w:val="0"/>
          <w:bCs/>
          <w:color w:val="000000"/>
          <w:sz w:val="32"/>
          <w:szCs w:val="32"/>
        </w:rPr>
        <w:t>支出决算为1.2万元，完成预算100%，决算数等于预算数。</w:t>
      </w:r>
    </w:p>
    <w:p>
      <w:pPr>
        <w:spacing w:line="600" w:lineRule="exact"/>
        <w:ind w:firstLine="643" w:firstLineChars="200"/>
        <w:rPr>
          <w:rFonts w:eastAsia="仿宋"/>
          <w:b/>
          <w:color w:val="000000"/>
          <w:sz w:val="32"/>
          <w:szCs w:val="32"/>
        </w:rPr>
      </w:pPr>
      <w:r>
        <w:rPr>
          <w:rStyle w:val="11"/>
          <w:rFonts w:eastAsia="仿宋"/>
          <w:bCs/>
          <w:color w:val="000000"/>
          <w:sz w:val="32"/>
          <w:szCs w:val="32"/>
        </w:rPr>
        <w:t>6.</w:t>
      </w:r>
      <w:r>
        <w:rPr>
          <w:rFonts w:eastAsia="仿宋"/>
          <w:b/>
          <w:bCs/>
          <w:color w:val="000000"/>
          <w:sz w:val="32"/>
          <w:szCs w:val="32"/>
        </w:rPr>
        <w:t>卫生健康</w:t>
      </w:r>
      <w:r>
        <w:rPr>
          <w:rStyle w:val="11"/>
          <w:rFonts w:eastAsia="仿宋"/>
          <w:bCs/>
          <w:color w:val="000000"/>
          <w:sz w:val="32"/>
          <w:szCs w:val="32"/>
        </w:rPr>
        <w:t>（类）***（款）***（项）:</w:t>
      </w:r>
      <w:r>
        <w:rPr>
          <w:rStyle w:val="11"/>
          <w:rFonts w:eastAsia="仿宋"/>
          <w:b w:val="0"/>
          <w:bCs/>
          <w:color w:val="000000"/>
          <w:sz w:val="32"/>
          <w:szCs w:val="32"/>
        </w:rPr>
        <w:t>无</w:t>
      </w:r>
    </w:p>
    <w:p>
      <w:pPr>
        <w:spacing w:line="600" w:lineRule="exact"/>
        <w:ind w:firstLine="640" w:firstLineChars="200"/>
        <w:rPr>
          <w:rFonts w:eastAsia="仿宋"/>
          <w:color w:val="000000"/>
          <w:sz w:val="32"/>
          <w:szCs w:val="32"/>
        </w:rPr>
      </w:pPr>
      <w:r>
        <w:rPr>
          <w:rFonts w:eastAsia="仿宋"/>
          <w:color w:val="000000"/>
          <w:sz w:val="32"/>
          <w:szCs w:val="32"/>
        </w:rPr>
        <w:t>7.</w:t>
      </w:r>
      <w:r>
        <w:rPr>
          <w:rFonts w:eastAsia="仿宋"/>
          <w:b/>
          <w:bCs/>
          <w:color w:val="000000"/>
          <w:sz w:val="32"/>
          <w:szCs w:val="32"/>
        </w:rPr>
        <w:t>住房保障支出</w:t>
      </w:r>
      <w:r>
        <w:rPr>
          <w:rStyle w:val="11"/>
          <w:rFonts w:eastAsia="仿宋"/>
          <w:bCs/>
          <w:color w:val="000000"/>
          <w:sz w:val="32"/>
          <w:szCs w:val="32"/>
        </w:rPr>
        <w:t>（类）住房改革支出（款）住房公积金（项）:</w:t>
      </w:r>
      <w:r>
        <w:rPr>
          <w:rStyle w:val="11"/>
          <w:rFonts w:eastAsia="仿宋"/>
          <w:b w:val="0"/>
          <w:bCs/>
          <w:color w:val="000000"/>
          <w:sz w:val="32"/>
          <w:szCs w:val="32"/>
        </w:rPr>
        <w:t>支出决算为99.85万元，完成预算100%，决算数等于预算数，决算数等于预算数。</w:t>
      </w:r>
    </w:p>
    <w:p>
      <w:pPr>
        <w:spacing w:line="600" w:lineRule="exact"/>
        <w:ind w:firstLine="640" w:firstLineChars="200"/>
        <w:rPr>
          <w:rFonts w:eastAsia="仿宋"/>
          <w:bCs/>
          <w:sz w:val="32"/>
          <w:szCs w:val="32"/>
        </w:rPr>
      </w:pPr>
      <w:r>
        <w:rPr>
          <w:rFonts w:eastAsia="仿宋"/>
          <w:bCs/>
          <w:sz w:val="32"/>
          <w:szCs w:val="32"/>
        </w:rPr>
        <w:t>（注：数据来源于财决Z01-1表，罗列全部功能分类科目至项级。上述“预算”口径为调整预算数。增减变动原因为决算数&lt;项级&gt;和调整预算数&lt;项级&gt;比较，与预算数持平可以不写原因。）</w:t>
      </w:r>
    </w:p>
    <w:p>
      <w:pPr>
        <w:tabs>
          <w:tab w:val="right" w:pos="8306"/>
        </w:tabs>
        <w:spacing w:line="600" w:lineRule="exact"/>
        <w:ind w:firstLine="640"/>
        <w:outlineLvl w:val="1"/>
        <w:rPr>
          <w:rStyle w:val="13"/>
          <w:rFonts w:ascii="Times New Roman" w:hAnsi="Times New Roman"/>
        </w:rPr>
      </w:pPr>
      <w:bookmarkStart w:id="44" w:name="_Toc15377214"/>
      <w:bookmarkStart w:id="45" w:name="_Toc15396608"/>
      <w:r>
        <w:rPr>
          <w:rFonts w:eastAsia="黑体"/>
          <w:color w:val="000000"/>
          <w:sz w:val="32"/>
          <w:szCs w:val="32"/>
        </w:rPr>
        <w:t>六</w:t>
      </w:r>
      <w:r>
        <w:rPr>
          <w:rFonts w:eastAsia="黑体"/>
          <w:b/>
          <w:color w:val="000000"/>
          <w:sz w:val="32"/>
          <w:szCs w:val="32"/>
        </w:rPr>
        <w:t>、一</w:t>
      </w:r>
      <w:r>
        <w:rPr>
          <w:rStyle w:val="13"/>
          <w:rFonts w:ascii="Times New Roman" w:hAnsi="Times New Roman" w:eastAsia="黑体"/>
          <w:b w:val="0"/>
        </w:rPr>
        <w:t>般公共预算财政拨款基本支出决算情况说明</w:t>
      </w:r>
      <w:bookmarkEnd w:id="44"/>
      <w:bookmarkEnd w:id="45"/>
      <w:r>
        <w:rPr>
          <w:rStyle w:val="13"/>
          <w:rFonts w:ascii="Times New Roman" w:hAnsi="Times New Roman" w:eastAsia="黑体"/>
          <w:b w:val="0"/>
        </w:rPr>
        <w:tab/>
      </w:r>
    </w:p>
    <w:p>
      <w:pPr>
        <w:spacing w:line="600" w:lineRule="exact"/>
        <w:ind w:firstLine="645"/>
        <w:rPr>
          <w:rFonts w:eastAsia="仿宋"/>
          <w:color w:val="000000"/>
          <w:sz w:val="32"/>
          <w:szCs w:val="32"/>
        </w:rPr>
      </w:pPr>
      <w:r>
        <w:rPr>
          <w:rFonts w:eastAsia="仿宋"/>
          <w:color w:val="000000"/>
          <w:sz w:val="32"/>
          <w:szCs w:val="32"/>
        </w:rPr>
        <w:t>2020年一般公共预算财政拨款基本支出1470.7</w:t>
      </w:r>
      <w:r>
        <w:rPr>
          <w:rFonts w:hint="eastAsia" w:eastAsia="仿宋"/>
          <w:color w:val="000000"/>
          <w:sz w:val="32"/>
          <w:szCs w:val="32"/>
        </w:rPr>
        <w:t>1</w:t>
      </w:r>
      <w:r>
        <w:rPr>
          <w:rFonts w:eastAsia="仿宋"/>
          <w:color w:val="000000"/>
          <w:sz w:val="32"/>
          <w:szCs w:val="32"/>
        </w:rPr>
        <w:t>万元，其中：</w:t>
      </w:r>
    </w:p>
    <w:p>
      <w:pPr>
        <w:spacing w:line="600" w:lineRule="exact"/>
        <w:ind w:firstLine="645"/>
        <w:rPr>
          <w:rFonts w:eastAsia="仿宋"/>
          <w:color w:val="000000"/>
          <w:sz w:val="32"/>
          <w:szCs w:val="32"/>
        </w:rPr>
      </w:pPr>
      <w:r>
        <w:rPr>
          <w:rFonts w:eastAsia="仿宋"/>
          <w:color w:val="000000"/>
          <w:sz w:val="32"/>
          <w:szCs w:val="32"/>
        </w:rPr>
        <w:t>人员经费1322.69万元，主要包括：基本工资286.41万元、津贴补贴268.15万元、奖金25.45万元、伙食补助费0万元、绩效工资212.83万元、机关事业单位基本养老保险缴费95.16万元、职业年金缴费3.07万元、职工基本医疗保险缴费82.43万元、公务员医疗补助缴费2.86万元、其他社会保障缴费26.15万元、其他工资福利支出71.23万元、离休费33.33万元、退休费0万元、抚恤金0万元、生活补助99.3</w:t>
      </w:r>
      <w:r>
        <w:rPr>
          <w:rFonts w:hint="eastAsia" w:eastAsia="仿宋"/>
          <w:color w:val="000000"/>
          <w:sz w:val="32"/>
          <w:szCs w:val="32"/>
        </w:rPr>
        <w:t>8</w:t>
      </w:r>
      <w:r>
        <w:rPr>
          <w:rFonts w:eastAsia="仿宋"/>
          <w:color w:val="000000"/>
          <w:sz w:val="32"/>
          <w:szCs w:val="32"/>
        </w:rPr>
        <w:t>万元、医疗费补助3.05万元、助学金0.12万元、奖励金6.85万元、住房公积金99.85万元、其他对个人和家庭的补助支出6.37万元。</w:t>
      </w:r>
      <w:r>
        <w:rPr>
          <w:rFonts w:eastAsia="仿宋"/>
          <w:color w:val="000000"/>
          <w:sz w:val="32"/>
          <w:szCs w:val="32"/>
        </w:rPr>
        <w:br w:type="textWrapping"/>
      </w:r>
      <w:r>
        <w:rPr>
          <w:rFonts w:eastAsia="仿宋"/>
          <w:color w:val="000000"/>
          <w:sz w:val="32"/>
          <w:szCs w:val="32"/>
        </w:rPr>
        <w:t>　　日常公用经费148.0</w:t>
      </w:r>
      <w:r>
        <w:rPr>
          <w:rFonts w:hint="eastAsia" w:eastAsia="仿宋"/>
          <w:color w:val="000000"/>
          <w:sz w:val="32"/>
          <w:szCs w:val="32"/>
        </w:rPr>
        <w:t>2</w:t>
      </w:r>
      <w:r>
        <w:rPr>
          <w:rFonts w:eastAsia="仿宋"/>
          <w:color w:val="000000"/>
          <w:sz w:val="32"/>
          <w:szCs w:val="32"/>
        </w:rPr>
        <w:t>万元，主要包括：办公费15.5</w:t>
      </w:r>
      <w:r>
        <w:rPr>
          <w:rFonts w:hint="eastAsia" w:eastAsia="仿宋"/>
          <w:color w:val="000000"/>
          <w:sz w:val="32"/>
          <w:szCs w:val="32"/>
        </w:rPr>
        <w:t>3</w:t>
      </w:r>
      <w:r>
        <w:rPr>
          <w:rFonts w:eastAsia="仿宋"/>
          <w:color w:val="000000"/>
          <w:sz w:val="32"/>
          <w:szCs w:val="32"/>
        </w:rPr>
        <w:t>万元、印刷费2.97万元、咨询费0万元、手续费0.02万元、水费0.9</w:t>
      </w:r>
      <w:r>
        <w:rPr>
          <w:rFonts w:hint="eastAsia" w:eastAsia="仿宋"/>
          <w:color w:val="000000"/>
          <w:sz w:val="32"/>
          <w:szCs w:val="32"/>
        </w:rPr>
        <w:t>4</w:t>
      </w:r>
      <w:r>
        <w:rPr>
          <w:rFonts w:eastAsia="仿宋"/>
          <w:color w:val="000000"/>
          <w:sz w:val="32"/>
          <w:szCs w:val="32"/>
        </w:rPr>
        <w:t>万元、电费0.88万元、邮电费4.08万元、取暖费0万元、物业管理费0.4万元、差旅费11.1</w:t>
      </w:r>
      <w:r>
        <w:rPr>
          <w:rFonts w:hint="eastAsia" w:eastAsia="仿宋"/>
          <w:color w:val="000000"/>
          <w:sz w:val="32"/>
          <w:szCs w:val="32"/>
        </w:rPr>
        <w:t>7</w:t>
      </w:r>
      <w:r>
        <w:rPr>
          <w:rFonts w:eastAsia="仿宋"/>
          <w:color w:val="000000"/>
          <w:sz w:val="32"/>
          <w:szCs w:val="32"/>
        </w:rPr>
        <w:t>万元、因公出国（境）费用0万元、维修（护）费0.03万元、租赁费0.1万元、会议费0万元、培训费0.1万元、公务接待费2.26万元、劳务费12.45万元、委托业务费0.91万元、工会经费15.7万元、福利费17.81万元、公务用车运行维护费8.91万元、其他交通费24.</w:t>
      </w:r>
      <w:r>
        <w:rPr>
          <w:rFonts w:hint="eastAsia" w:eastAsia="仿宋"/>
          <w:color w:val="000000"/>
          <w:sz w:val="32"/>
          <w:szCs w:val="32"/>
        </w:rPr>
        <w:t>6</w:t>
      </w:r>
      <w:r>
        <w:rPr>
          <w:rFonts w:eastAsia="仿宋"/>
          <w:color w:val="000000"/>
          <w:sz w:val="32"/>
          <w:szCs w:val="32"/>
        </w:rPr>
        <w:t>万元、税金及附加费用0万元、其他商品和服务支出29.1</w:t>
      </w:r>
      <w:r>
        <w:rPr>
          <w:rFonts w:hint="eastAsia" w:eastAsia="仿宋"/>
          <w:color w:val="000000"/>
          <w:sz w:val="32"/>
          <w:szCs w:val="32"/>
        </w:rPr>
        <w:t>6</w:t>
      </w:r>
      <w:r>
        <w:rPr>
          <w:rFonts w:eastAsia="仿宋"/>
          <w:color w:val="000000"/>
          <w:sz w:val="32"/>
          <w:szCs w:val="32"/>
        </w:rPr>
        <w:t>万元。</w:t>
      </w:r>
    </w:p>
    <w:p>
      <w:pPr>
        <w:spacing w:line="600" w:lineRule="exact"/>
        <w:ind w:firstLine="640"/>
        <w:outlineLvl w:val="1"/>
        <w:rPr>
          <w:rStyle w:val="13"/>
          <w:rFonts w:ascii="Times New Roman" w:hAnsi="Times New Roman" w:eastAsia="黑体"/>
          <w:b w:val="0"/>
        </w:rPr>
      </w:pPr>
      <w:bookmarkStart w:id="46" w:name="_Toc15396609"/>
      <w:bookmarkStart w:id="47" w:name="_Toc15377215"/>
      <w:r>
        <w:rPr>
          <w:rFonts w:eastAsia="黑体"/>
          <w:color w:val="000000"/>
          <w:sz w:val="32"/>
          <w:szCs w:val="32"/>
        </w:rPr>
        <w:t>七、</w:t>
      </w:r>
      <w:r>
        <w:rPr>
          <w:rStyle w:val="13"/>
          <w:rFonts w:ascii="Times New Roman" w:hAnsi="Times New Roman" w:eastAsia="黑体"/>
        </w:rPr>
        <w:t>“</w:t>
      </w:r>
      <w:r>
        <w:rPr>
          <w:rStyle w:val="13"/>
          <w:rFonts w:ascii="Times New Roman" w:hAnsi="Times New Roman" w:eastAsia="黑体"/>
          <w:b w:val="0"/>
        </w:rPr>
        <w:t>三公”经费财政拨款支出决算情况说明</w:t>
      </w:r>
      <w:bookmarkEnd w:id="46"/>
      <w:bookmarkEnd w:id="47"/>
    </w:p>
    <w:p>
      <w:pPr>
        <w:spacing w:line="600" w:lineRule="exact"/>
        <w:ind w:firstLine="640"/>
        <w:outlineLvl w:val="2"/>
        <w:rPr>
          <w:rFonts w:eastAsia="仿宋"/>
          <w:b/>
          <w:color w:val="000000"/>
          <w:sz w:val="32"/>
          <w:szCs w:val="32"/>
        </w:rPr>
      </w:pPr>
      <w:bookmarkStart w:id="48" w:name="_Toc15377216"/>
      <w:r>
        <w:rPr>
          <w:rFonts w:eastAsia="仿宋"/>
          <w:b/>
          <w:color w:val="000000"/>
          <w:sz w:val="32"/>
          <w:szCs w:val="32"/>
        </w:rPr>
        <w:t>（一）“三公”经费财政拨款支出决算总体情况说明</w:t>
      </w:r>
      <w:bookmarkEnd w:id="48"/>
    </w:p>
    <w:p>
      <w:pPr>
        <w:spacing w:line="600" w:lineRule="exact"/>
        <w:ind w:firstLine="640"/>
        <w:rPr>
          <w:rFonts w:eastAsia="仿宋"/>
          <w:color w:val="000000"/>
          <w:sz w:val="32"/>
          <w:szCs w:val="32"/>
        </w:rPr>
      </w:pPr>
      <w:r>
        <w:rPr>
          <w:rFonts w:eastAsia="仿宋"/>
          <w:color w:val="000000"/>
          <w:sz w:val="32"/>
          <w:szCs w:val="32"/>
        </w:rPr>
        <w:t>2020年“三公”经费财政拨款支出决算为11.98万元，完成预算71.44%，决算数小于预算数的主要原因是厉行节约，严控“三公”经费开支。</w:t>
      </w:r>
    </w:p>
    <w:p>
      <w:pPr>
        <w:spacing w:line="600" w:lineRule="exact"/>
        <w:ind w:firstLine="640"/>
        <w:outlineLvl w:val="2"/>
        <w:rPr>
          <w:rFonts w:eastAsia="仿宋"/>
          <w:b/>
          <w:color w:val="000000"/>
          <w:sz w:val="32"/>
          <w:szCs w:val="32"/>
        </w:rPr>
      </w:pPr>
      <w:bookmarkStart w:id="49" w:name="_Toc15377217"/>
      <w:r>
        <w:rPr>
          <w:rFonts w:eastAsia="仿宋"/>
          <w:b/>
          <w:color w:val="000000"/>
          <w:sz w:val="32"/>
          <w:szCs w:val="32"/>
        </w:rPr>
        <w:t>（二）“三公”经费财政拨款支出决算具体情况说明</w:t>
      </w:r>
      <w:bookmarkEnd w:id="49"/>
    </w:p>
    <w:p>
      <w:pPr>
        <w:spacing w:line="600" w:lineRule="exact"/>
        <w:ind w:firstLine="640"/>
        <w:rPr>
          <w:rFonts w:eastAsia="仿宋"/>
          <w:color w:val="000000"/>
          <w:sz w:val="32"/>
          <w:szCs w:val="32"/>
        </w:rPr>
      </w:pPr>
      <w:r>
        <w:rPr>
          <w:rFonts w:eastAsia="仿宋"/>
          <w:color w:val="000000"/>
          <w:sz w:val="32"/>
          <w:szCs w:val="32"/>
        </w:rPr>
        <w:t>2020年“三公”经费财政拨款支出决算中，因公出国（境）费支出决算0万元；公务用车购置及运行维护费支出决算9.56万元，占79.8%；公务接待费支出决算2.42万元，占20.2%。具体情况如下：</w:t>
      </w:r>
    </w:p>
    <w:p>
      <w:pPr>
        <w:spacing w:line="600" w:lineRule="exact"/>
        <w:ind w:firstLine="640"/>
        <w:rPr>
          <w:rFonts w:eastAsia="仿宋"/>
          <w:color w:val="000000"/>
          <w:sz w:val="32"/>
          <w:szCs w:val="32"/>
        </w:rPr>
      </w:pPr>
      <w:r>
        <w:rPr>
          <w:rFonts w:eastAsia="仿宋"/>
          <w:color w:val="000000"/>
          <w:sz w:val="32"/>
          <w:szCs w:val="32"/>
        </w:rPr>
        <w:drawing>
          <wp:anchor distT="0" distB="0" distL="114300" distR="114300" simplePos="0" relativeHeight="251662336" behindDoc="0" locked="0" layoutInCell="1" allowOverlap="1">
            <wp:simplePos x="0" y="0"/>
            <wp:positionH relativeFrom="column">
              <wp:posOffset>1153795</wp:posOffset>
            </wp:positionH>
            <wp:positionV relativeFrom="paragraph">
              <wp:posOffset>31750</wp:posOffset>
            </wp:positionV>
            <wp:extent cx="2936240" cy="2625725"/>
            <wp:effectExtent l="0" t="0" r="0" b="0"/>
            <wp:wrapSquare wrapText="bothSides"/>
            <wp:docPr id="15" name="图片 8" descr="图片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descr="图片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936240" cy="2625725"/>
                    </a:xfrm>
                    <a:prstGeom prst="rect">
                      <a:avLst/>
                    </a:prstGeom>
                    <a:noFill/>
                    <a:ln>
                      <a:noFill/>
                    </a:ln>
                  </pic:spPr>
                </pic:pic>
              </a:graphicData>
            </a:graphic>
          </wp:anchor>
        </w:drawing>
      </w:r>
    </w:p>
    <w:p>
      <w:pPr>
        <w:spacing w:line="600" w:lineRule="exact"/>
        <w:ind w:firstLine="640"/>
        <w:rPr>
          <w:rFonts w:eastAsia="仿宋"/>
          <w:color w:val="000000"/>
          <w:sz w:val="32"/>
          <w:szCs w:val="32"/>
        </w:rPr>
      </w:pPr>
    </w:p>
    <w:p>
      <w:pPr>
        <w:spacing w:line="600" w:lineRule="exact"/>
        <w:ind w:firstLine="640"/>
        <w:rPr>
          <w:rFonts w:eastAsia="仿宋"/>
          <w:color w:val="000000"/>
          <w:sz w:val="32"/>
          <w:szCs w:val="32"/>
        </w:rPr>
      </w:pPr>
    </w:p>
    <w:p>
      <w:pPr>
        <w:spacing w:line="600" w:lineRule="exact"/>
        <w:ind w:firstLine="640"/>
        <w:rPr>
          <w:rFonts w:eastAsia="仿宋"/>
          <w:color w:val="000000"/>
          <w:sz w:val="32"/>
          <w:szCs w:val="32"/>
        </w:rPr>
      </w:pPr>
    </w:p>
    <w:p>
      <w:pPr>
        <w:spacing w:line="600" w:lineRule="exact"/>
        <w:ind w:firstLine="640"/>
        <w:rPr>
          <w:rFonts w:eastAsia="仿宋"/>
          <w:color w:val="000000"/>
          <w:sz w:val="32"/>
          <w:szCs w:val="32"/>
        </w:rPr>
      </w:pPr>
    </w:p>
    <w:p>
      <w:pPr>
        <w:spacing w:line="600" w:lineRule="exact"/>
        <w:ind w:firstLine="640"/>
        <w:rPr>
          <w:rFonts w:eastAsia="仿宋"/>
          <w:color w:val="000000"/>
          <w:sz w:val="32"/>
          <w:szCs w:val="32"/>
        </w:rPr>
      </w:pPr>
    </w:p>
    <w:p>
      <w:pPr>
        <w:spacing w:line="600" w:lineRule="exact"/>
        <w:ind w:firstLine="640"/>
        <w:rPr>
          <w:rFonts w:eastAsia="仿宋"/>
          <w:color w:val="000000"/>
          <w:sz w:val="32"/>
          <w:szCs w:val="32"/>
        </w:rPr>
      </w:pPr>
    </w:p>
    <w:p>
      <w:pPr>
        <w:spacing w:line="600" w:lineRule="exact"/>
        <w:ind w:firstLine="640"/>
        <w:rPr>
          <w:rFonts w:eastAsia="仿宋"/>
          <w:color w:val="000000"/>
          <w:sz w:val="32"/>
          <w:szCs w:val="32"/>
        </w:rPr>
      </w:pPr>
      <w:r>
        <w:rPr>
          <w:rFonts w:eastAsia="仿宋"/>
          <w:color w:val="000000"/>
          <w:sz w:val="32"/>
          <w:szCs w:val="32"/>
        </w:rPr>
        <w:t>（图7：“三公”经费财政拨款支出结构）（饼状图）</w:t>
      </w:r>
    </w:p>
    <w:p>
      <w:pPr>
        <w:spacing w:line="600" w:lineRule="exact"/>
        <w:ind w:firstLine="640"/>
        <w:rPr>
          <w:rFonts w:eastAsia="仿宋_GB2312"/>
          <w:b/>
          <w:color w:val="000000"/>
          <w:sz w:val="32"/>
          <w:szCs w:val="32"/>
        </w:rPr>
      </w:pPr>
      <w:r>
        <w:rPr>
          <w:rFonts w:eastAsia="仿宋_GB2312"/>
          <w:b/>
          <w:color w:val="000000"/>
          <w:sz w:val="32"/>
          <w:szCs w:val="32"/>
        </w:rPr>
        <w:t>1.因公出国（境）经费支出</w:t>
      </w:r>
      <w:r>
        <w:rPr>
          <w:rFonts w:eastAsia="仿宋_GB2312"/>
          <w:color w:val="000000"/>
          <w:sz w:val="32"/>
          <w:szCs w:val="32"/>
        </w:rPr>
        <w:t>0万元。</w:t>
      </w:r>
    </w:p>
    <w:p>
      <w:pPr>
        <w:spacing w:line="600" w:lineRule="exact"/>
        <w:ind w:firstLine="640"/>
        <w:rPr>
          <w:rFonts w:eastAsia="仿宋_GB2312"/>
          <w:b/>
          <w:color w:val="000000"/>
          <w:sz w:val="32"/>
          <w:szCs w:val="32"/>
        </w:rPr>
      </w:pPr>
      <w:r>
        <w:rPr>
          <w:rFonts w:eastAsia="仿宋_GB2312"/>
          <w:b/>
          <w:color w:val="000000"/>
          <w:sz w:val="32"/>
          <w:szCs w:val="32"/>
        </w:rPr>
        <w:t>2.公务用车购置及运行维护费支出</w:t>
      </w:r>
      <w:r>
        <w:rPr>
          <w:rFonts w:eastAsia="仿宋"/>
          <w:color w:val="000000"/>
          <w:sz w:val="32"/>
          <w:szCs w:val="32"/>
        </w:rPr>
        <w:t>9.56</w:t>
      </w:r>
      <w:r>
        <w:rPr>
          <w:rFonts w:eastAsia="仿宋_GB2312"/>
          <w:color w:val="000000"/>
          <w:sz w:val="32"/>
          <w:szCs w:val="32"/>
        </w:rPr>
        <w:t>万元,</w:t>
      </w:r>
      <w:r>
        <w:rPr>
          <w:rStyle w:val="11"/>
          <w:rFonts w:eastAsia="仿宋"/>
          <w:b w:val="0"/>
          <w:bCs/>
          <w:color w:val="000000"/>
          <w:sz w:val="32"/>
          <w:szCs w:val="32"/>
        </w:rPr>
        <w:t>完成预算69.43%。</w:t>
      </w:r>
      <w:r>
        <w:rPr>
          <w:rFonts w:eastAsia="仿宋_GB2312"/>
          <w:color w:val="000000"/>
          <w:sz w:val="32"/>
          <w:szCs w:val="32"/>
        </w:rPr>
        <w:t>公务用车购置及运行维护费支出决算比2019年增加0.59万元，增长6.58%。主要原因是油</w:t>
      </w:r>
      <w:r>
        <w:rPr>
          <w:rFonts w:hint="eastAsia" w:eastAsia="仿宋_GB2312"/>
          <w:color w:val="000000"/>
          <w:sz w:val="32"/>
          <w:szCs w:val="32"/>
        </w:rPr>
        <w:t>价</w:t>
      </w:r>
      <w:r>
        <w:rPr>
          <w:rFonts w:eastAsia="仿宋_GB2312"/>
          <w:color w:val="000000"/>
          <w:sz w:val="32"/>
          <w:szCs w:val="32"/>
        </w:rPr>
        <w:t>上涨，且车辆老化维护费增加。</w:t>
      </w:r>
    </w:p>
    <w:p>
      <w:pPr>
        <w:spacing w:line="600" w:lineRule="exact"/>
        <w:ind w:firstLine="640" w:firstLineChars="200"/>
        <w:rPr>
          <w:rFonts w:eastAsia="仿宋_GB2312"/>
          <w:b/>
          <w:color w:val="000000"/>
          <w:sz w:val="32"/>
          <w:szCs w:val="32"/>
        </w:rPr>
      </w:pPr>
      <w:r>
        <w:rPr>
          <w:rFonts w:eastAsia="仿宋_GB2312"/>
          <w:color w:val="000000"/>
          <w:sz w:val="32"/>
          <w:szCs w:val="32"/>
        </w:rPr>
        <w:t>其中：</w:t>
      </w:r>
      <w:r>
        <w:rPr>
          <w:rFonts w:eastAsia="仿宋_GB2312"/>
          <w:b/>
          <w:color w:val="000000"/>
          <w:sz w:val="32"/>
          <w:szCs w:val="32"/>
        </w:rPr>
        <w:t>公务用车购置支出</w:t>
      </w:r>
      <w:r>
        <w:rPr>
          <w:rFonts w:eastAsia="仿宋_GB2312"/>
          <w:color w:val="000000"/>
          <w:sz w:val="32"/>
          <w:szCs w:val="32"/>
        </w:rPr>
        <w:t>0万元。</w:t>
      </w:r>
    </w:p>
    <w:p>
      <w:pPr>
        <w:spacing w:line="600" w:lineRule="exact"/>
        <w:ind w:firstLine="640"/>
        <w:rPr>
          <w:rFonts w:eastAsia="仿宋_GB2312"/>
          <w:color w:val="000000"/>
          <w:sz w:val="32"/>
          <w:szCs w:val="32"/>
        </w:rPr>
      </w:pPr>
      <w:r>
        <w:rPr>
          <w:rFonts w:eastAsia="仿宋_GB2312"/>
          <w:b/>
          <w:color w:val="000000"/>
          <w:sz w:val="32"/>
          <w:szCs w:val="32"/>
        </w:rPr>
        <w:t>公务用车运行维护费支出</w:t>
      </w:r>
      <w:r>
        <w:rPr>
          <w:rFonts w:eastAsia="仿宋"/>
          <w:color w:val="000000"/>
          <w:sz w:val="32"/>
          <w:szCs w:val="32"/>
        </w:rPr>
        <w:t>9.56</w:t>
      </w:r>
      <w:r>
        <w:rPr>
          <w:rFonts w:eastAsia="仿宋_GB2312"/>
          <w:color w:val="000000"/>
          <w:sz w:val="32"/>
          <w:szCs w:val="32"/>
        </w:rPr>
        <w:t>万元。主要用于</w:t>
      </w:r>
      <w:r>
        <w:rPr>
          <w:rFonts w:eastAsia="仿宋"/>
          <w:color w:val="000000"/>
          <w:sz w:val="32"/>
          <w:szCs w:val="32"/>
        </w:rPr>
        <w:t>项目调研、扶贫攻坚、</w:t>
      </w:r>
      <w:r>
        <w:rPr>
          <w:rFonts w:eastAsia="仿宋"/>
          <w:sz w:val="32"/>
          <w:szCs w:val="32"/>
        </w:rPr>
        <w:t>科博会、院士行钒钛论坛接送专家</w:t>
      </w:r>
      <w:r>
        <w:rPr>
          <w:rFonts w:eastAsia="仿宋"/>
          <w:color w:val="000000"/>
          <w:sz w:val="32"/>
          <w:szCs w:val="32"/>
        </w:rPr>
        <w:t>、执行公务、开展业务活动开支的公务用车燃料费、维修费、过路过桥费、保险费等支出。</w:t>
      </w:r>
    </w:p>
    <w:p>
      <w:pPr>
        <w:spacing w:line="600" w:lineRule="exact"/>
        <w:ind w:firstLine="640"/>
        <w:rPr>
          <w:rFonts w:eastAsia="仿宋_GB2312"/>
          <w:color w:val="000000"/>
          <w:sz w:val="32"/>
          <w:szCs w:val="32"/>
        </w:rPr>
      </w:pPr>
      <w:r>
        <w:rPr>
          <w:rFonts w:eastAsia="仿宋_GB2312"/>
          <w:b/>
          <w:color w:val="000000"/>
          <w:sz w:val="32"/>
          <w:szCs w:val="32"/>
        </w:rPr>
        <w:t>3.公务接待费支出</w:t>
      </w:r>
      <w:r>
        <w:rPr>
          <w:rFonts w:eastAsia="仿宋"/>
          <w:color w:val="000000"/>
          <w:sz w:val="32"/>
          <w:szCs w:val="32"/>
        </w:rPr>
        <w:t>2.42</w:t>
      </w:r>
      <w:r>
        <w:rPr>
          <w:rFonts w:eastAsia="仿宋_GB2312"/>
          <w:color w:val="000000"/>
          <w:sz w:val="32"/>
          <w:szCs w:val="32"/>
        </w:rPr>
        <w:t>万元，</w:t>
      </w:r>
      <w:r>
        <w:rPr>
          <w:rStyle w:val="11"/>
          <w:rFonts w:eastAsia="仿宋"/>
          <w:b w:val="0"/>
          <w:bCs/>
          <w:color w:val="000000"/>
          <w:sz w:val="32"/>
          <w:szCs w:val="32"/>
        </w:rPr>
        <w:t>完成预算80.67%。</w:t>
      </w:r>
      <w:r>
        <w:rPr>
          <w:rFonts w:eastAsia="仿宋_GB2312"/>
          <w:color w:val="000000"/>
          <w:sz w:val="32"/>
          <w:szCs w:val="32"/>
        </w:rPr>
        <w:t>公务接待费支出决算比2019年减少1.34万元，下降35.64%。主要原因是上半年疫情原因，</w:t>
      </w:r>
      <w:r>
        <w:rPr>
          <w:rFonts w:hint="eastAsia" w:eastAsia="仿宋_GB2312"/>
          <w:color w:val="000000"/>
          <w:sz w:val="32"/>
          <w:szCs w:val="32"/>
        </w:rPr>
        <w:t>接待任务</w:t>
      </w:r>
      <w:r>
        <w:rPr>
          <w:rFonts w:eastAsia="仿宋_GB2312"/>
          <w:color w:val="000000"/>
          <w:sz w:val="32"/>
          <w:szCs w:val="32"/>
        </w:rPr>
        <w:t>减少。其中：</w:t>
      </w:r>
    </w:p>
    <w:p>
      <w:pPr>
        <w:spacing w:line="600" w:lineRule="exact"/>
        <w:ind w:firstLine="643" w:firstLineChars="200"/>
        <w:rPr>
          <w:rFonts w:eastAsia="仿宋_GB2312"/>
          <w:color w:val="000000"/>
          <w:sz w:val="32"/>
          <w:szCs w:val="32"/>
        </w:rPr>
      </w:pPr>
      <w:r>
        <w:rPr>
          <w:rFonts w:eastAsia="仿宋"/>
          <w:b/>
          <w:color w:val="000000"/>
          <w:sz w:val="32"/>
          <w:szCs w:val="32"/>
        </w:rPr>
        <w:t>国内公务接待支出</w:t>
      </w:r>
      <w:r>
        <w:rPr>
          <w:rFonts w:hint="eastAsia" w:eastAsia="仿宋_GB2312"/>
          <w:color w:val="000000"/>
          <w:sz w:val="32"/>
          <w:szCs w:val="32"/>
        </w:rPr>
        <w:t>2.42</w:t>
      </w:r>
      <w:r>
        <w:rPr>
          <w:rFonts w:eastAsia="仿宋_GB2312"/>
          <w:color w:val="000000"/>
          <w:sz w:val="32"/>
          <w:szCs w:val="32"/>
        </w:rPr>
        <w:t>元，主要用于执行公务、开展业务活动开支的交通费、住宿费、用餐费等。国内公务接待</w:t>
      </w:r>
      <w:r>
        <w:rPr>
          <w:rFonts w:hint="eastAsia" w:eastAsia="仿宋_GB2312"/>
          <w:color w:val="000000"/>
          <w:sz w:val="32"/>
          <w:szCs w:val="32"/>
        </w:rPr>
        <w:t>18</w:t>
      </w:r>
      <w:r>
        <w:rPr>
          <w:rFonts w:eastAsia="仿宋_GB2312"/>
          <w:color w:val="000000"/>
          <w:sz w:val="32"/>
          <w:szCs w:val="32"/>
        </w:rPr>
        <w:t>批次，</w:t>
      </w:r>
      <w:r>
        <w:rPr>
          <w:rFonts w:hint="eastAsia" w:eastAsia="仿宋_GB2312"/>
          <w:color w:val="000000"/>
          <w:sz w:val="32"/>
          <w:szCs w:val="32"/>
        </w:rPr>
        <w:t>168</w:t>
      </w:r>
      <w:r>
        <w:rPr>
          <w:rFonts w:eastAsia="仿宋_GB2312"/>
          <w:color w:val="000000"/>
          <w:sz w:val="32"/>
          <w:szCs w:val="32"/>
        </w:rPr>
        <w:t>人次（不包括陪同人员），共计支出2.42万元，具体内容包括：接待上级单位检查、指导工作，各地市州科技局来攀调研、交流，大型会议及活动邀请的全国知名专家等。</w:t>
      </w:r>
      <w:bookmarkStart w:id="50" w:name="_Toc15396610"/>
      <w:bookmarkStart w:id="51" w:name="_Toc15377218"/>
    </w:p>
    <w:p>
      <w:pPr>
        <w:spacing w:line="600" w:lineRule="exact"/>
        <w:ind w:firstLine="640"/>
        <w:rPr>
          <w:rFonts w:ascii="仿宋_GB2312" w:hAnsi="仿宋_GB2312" w:eastAsia="仿宋_GB2312" w:cs="仿宋_GB2312"/>
          <w:b/>
          <w:color w:val="000000"/>
          <w:sz w:val="32"/>
          <w:szCs w:val="32"/>
        </w:rPr>
      </w:pPr>
      <w:r>
        <w:rPr>
          <w:rFonts w:hint="eastAsia" w:ascii="仿宋" w:hAnsi="仿宋" w:eastAsia="仿宋"/>
          <w:b/>
          <w:color w:val="000000"/>
          <w:sz w:val="32"/>
          <w:szCs w:val="32"/>
        </w:rPr>
        <w:t>外事接待支出</w:t>
      </w:r>
      <w:r>
        <w:rPr>
          <w:rFonts w:hint="eastAsia" w:ascii="仿宋_GB2312" w:hAnsi="仿宋_GB2312" w:eastAsia="仿宋_GB2312" w:cs="仿宋_GB2312"/>
          <w:b/>
          <w:color w:val="000000"/>
          <w:sz w:val="32"/>
          <w:szCs w:val="32"/>
        </w:rPr>
        <w:t>：无。</w:t>
      </w:r>
    </w:p>
    <w:p>
      <w:pPr>
        <w:spacing w:line="600" w:lineRule="exact"/>
        <w:ind w:firstLine="640"/>
        <w:outlineLvl w:val="1"/>
        <w:rPr>
          <w:rStyle w:val="13"/>
          <w:rFonts w:ascii="Times New Roman" w:hAnsi="Times New Roman" w:eastAsia="黑体"/>
        </w:rPr>
      </w:pPr>
      <w:r>
        <w:rPr>
          <w:rFonts w:eastAsia="黑体"/>
          <w:color w:val="000000"/>
          <w:sz w:val="32"/>
          <w:szCs w:val="32"/>
        </w:rPr>
        <w:t>八、</w:t>
      </w:r>
      <w:r>
        <w:rPr>
          <w:rStyle w:val="13"/>
          <w:rFonts w:ascii="Times New Roman" w:hAnsi="Times New Roman" w:eastAsia="黑体"/>
          <w:b w:val="0"/>
        </w:rPr>
        <w:t>政府性基金预算支出决算情况说明</w:t>
      </w:r>
      <w:bookmarkEnd w:id="50"/>
      <w:bookmarkEnd w:id="51"/>
    </w:p>
    <w:p>
      <w:pPr>
        <w:spacing w:line="600" w:lineRule="exact"/>
        <w:ind w:firstLine="640"/>
        <w:rPr>
          <w:rFonts w:eastAsia="仿宋"/>
          <w:color w:val="000000"/>
          <w:sz w:val="32"/>
          <w:szCs w:val="32"/>
        </w:rPr>
      </w:pPr>
      <w:r>
        <w:rPr>
          <w:rFonts w:eastAsia="仿宋"/>
          <w:color w:val="000000"/>
          <w:sz w:val="32"/>
          <w:szCs w:val="32"/>
        </w:rPr>
        <w:t>2020年政府性基金预算拨款支出569.62万元。其中：商品和服务支出53</w:t>
      </w:r>
      <w:r>
        <w:rPr>
          <w:rFonts w:hint="eastAsia" w:eastAsia="仿宋"/>
          <w:color w:val="000000"/>
          <w:sz w:val="32"/>
          <w:szCs w:val="32"/>
        </w:rPr>
        <w:t>6.99</w:t>
      </w:r>
      <w:r>
        <w:rPr>
          <w:rFonts w:eastAsia="仿宋"/>
          <w:color w:val="000000"/>
          <w:sz w:val="32"/>
          <w:szCs w:val="32"/>
        </w:rPr>
        <w:t>万元，占政府性基金项目支出的94.27%；资本性支出22.94万元，占政府性基金项目支出的4.03%；对企业补助支出9.69万元，占政府性基金项目支出的1.7%。</w:t>
      </w:r>
    </w:p>
    <w:p>
      <w:pPr>
        <w:numPr>
          <w:ilvl w:val="0"/>
          <w:numId w:val="2"/>
        </w:numPr>
        <w:spacing w:line="600" w:lineRule="exact"/>
        <w:ind w:firstLine="640"/>
        <w:outlineLvl w:val="1"/>
        <w:rPr>
          <w:rStyle w:val="13"/>
          <w:rFonts w:ascii="Times New Roman" w:hAnsi="Times New Roman" w:eastAsia="黑体"/>
          <w:b w:val="0"/>
        </w:rPr>
      </w:pPr>
      <w:bookmarkStart w:id="52" w:name="_Toc15377219"/>
      <w:bookmarkStart w:id="53" w:name="_Toc15396611"/>
      <w:r>
        <w:rPr>
          <w:rStyle w:val="13"/>
          <w:rFonts w:ascii="Times New Roman" w:hAnsi="Times New Roman" w:eastAsia="黑体"/>
          <w:b w:val="0"/>
        </w:rPr>
        <w:t>国有资本经营预算支出决算情况说明</w:t>
      </w:r>
      <w:bookmarkEnd w:id="52"/>
      <w:bookmarkEnd w:id="53"/>
    </w:p>
    <w:p>
      <w:pPr>
        <w:spacing w:line="600" w:lineRule="exact"/>
        <w:ind w:firstLine="640"/>
        <w:rPr>
          <w:rFonts w:eastAsia="仿宋_GB2312"/>
          <w:color w:val="000000"/>
          <w:sz w:val="32"/>
          <w:szCs w:val="32"/>
        </w:rPr>
      </w:pPr>
      <w:r>
        <w:rPr>
          <w:rFonts w:eastAsia="仿宋_GB2312"/>
          <w:color w:val="000000"/>
          <w:sz w:val="32"/>
          <w:szCs w:val="32"/>
        </w:rPr>
        <w:t>无</w:t>
      </w:r>
      <w:bookmarkStart w:id="54" w:name="_Toc15396612"/>
      <w:bookmarkStart w:id="55" w:name="_Toc15377221"/>
    </w:p>
    <w:p>
      <w:pPr>
        <w:spacing w:line="600" w:lineRule="exact"/>
        <w:ind w:firstLine="640"/>
        <w:rPr>
          <w:rStyle w:val="13"/>
          <w:rFonts w:ascii="Times New Roman" w:hAnsi="Times New Roman" w:eastAsia="黑体"/>
        </w:rPr>
      </w:pPr>
      <w:r>
        <w:rPr>
          <w:rFonts w:eastAsia="黑体"/>
          <w:color w:val="000000"/>
          <w:sz w:val="32"/>
          <w:szCs w:val="32"/>
        </w:rPr>
        <w:t>十</w:t>
      </w:r>
      <w:r>
        <w:rPr>
          <w:rStyle w:val="13"/>
          <w:rFonts w:ascii="Times New Roman" w:hAnsi="Times New Roman" w:eastAsia="黑体"/>
        </w:rPr>
        <w:t>、</w:t>
      </w:r>
      <w:r>
        <w:rPr>
          <w:rStyle w:val="13"/>
          <w:rFonts w:ascii="Times New Roman" w:hAnsi="Times New Roman" w:eastAsia="黑体"/>
          <w:b w:val="0"/>
        </w:rPr>
        <w:t>其他重要事项的情况说明</w:t>
      </w:r>
      <w:bookmarkEnd w:id="54"/>
      <w:bookmarkEnd w:id="55"/>
    </w:p>
    <w:p>
      <w:pPr>
        <w:spacing w:line="600" w:lineRule="exact"/>
        <w:ind w:firstLine="643" w:firstLineChars="200"/>
        <w:outlineLvl w:val="2"/>
        <w:rPr>
          <w:rFonts w:eastAsia="仿宋"/>
          <w:color w:val="000000"/>
          <w:sz w:val="32"/>
          <w:szCs w:val="32"/>
        </w:rPr>
      </w:pPr>
      <w:bookmarkStart w:id="56" w:name="_Toc15377222"/>
      <w:r>
        <w:rPr>
          <w:rFonts w:eastAsia="仿宋"/>
          <w:b/>
          <w:color w:val="000000"/>
          <w:sz w:val="32"/>
          <w:szCs w:val="32"/>
        </w:rPr>
        <w:t>（一）机关运行经费支出情况</w:t>
      </w:r>
      <w:bookmarkEnd w:id="56"/>
    </w:p>
    <w:p>
      <w:pPr>
        <w:spacing w:line="600" w:lineRule="exact"/>
        <w:ind w:firstLine="640" w:firstLineChars="200"/>
        <w:rPr>
          <w:rFonts w:eastAsia="仿宋_GB2312"/>
          <w:color w:val="000000"/>
          <w:sz w:val="32"/>
          <w:szCs w:val="32"/>
        </w:rPr>
      </w:pPr>
      <w:r>
        <w:rPr>
          <w:rFonts w:eastAsia="仿宋_GB2312"/>
          <w:color w:val="000000"/>
          <w:sz w:val="32"/>
          <w:szCs w:val="32"/>
        </w:rPr>
        <w:t>2020年，市科技局机关运行经费支出64.65万元，比2019年减少15.27万元</w:t>
      </w:r>
      <w:r>
        <w:rPr>
          <w:rFonts w:hint="eastAsia" w:eastAsia="仿宋_GB2312"/>
          <w:color w:val="000000"/>
          <w:sz w:val="32"/>
          <w:szCs w:val="32"/>
        </w:rPr>
        <w:t>，</w:t>
      </w:r>
      <w:r>
        <w:rPr>
          <w:rFonts w:eastAsia="仿宋_GB2312"/>
          <w:color w:val="000000"/>
          <w:sz w:val="32"/>
          <w:szCs w:val="32"/>
        </w:rPr>
        <w:t>下降19.11%。主要原因是厉行节约，严控机关运行成本。</w:t>
      </w:r>
    </w:p>
    <w:p>
      <w:pPr>
        <w:spacing w:line="600" w:lineRule="exact"/>
        <w:ind w:firstLine="640" w:firstLineChars="200"/>
        <w:rPr>
          <w:rFonts w:eastAsia="仿宋_GB2312"/>
          <w:color w:val="000000"/>
          <w:sz w:val="32"/>
          <w:szCs w:val="32"/>
        </w:rPr>
      </w:pPr>
      <w:r>
        <w:rPr>
          <w:rFonts w:eastAsia="仿宋_GB2312"/>
          <w:color w:val="000000"/>
          <w:sz w:val="32"/>
          <w:szCs w:val="32"/>
        </w:rPr>
        <w:t>（注：数据来源于财决附03表）</w:t>
      </w:r>
    </w:p>
    <w:p>
      <w:pPr>
        <w:autoSpaceDE w:val="0"/>
        <w:autoSpaceDN w:val="0"/>
        <w:adjustRightInd w:val="0"/>
        <w:spacing w:line="600" w:lineRule="exact"/>
        <w:ind w:firstLine="643" w:firstLineChars="200"/>
        <w:jc w:val="left"/>
        <w:outlineLvl w:val="2"/>
        <w:rPr>
          <w:rFonts w:eastAsia="仿宋"/>
          <w:b/>
          <w:color w:val="000000"/>
          <w:sz w:val="32"/>
          <w:szCs w:val="32"/>
        </w:rPr>
      </w:pPr>
      <w:bookmarkStart w:id="57" w:name="_Toc15377223"/>
      <w:r>
        <w:rPr>
          <w:rFonts w:eastAsia="仿宋"/>
          <w:b/>
          <w:color w:val="000000"/>
          <w:sz w:val="32"/>
          <w:szCs w:val="32"/>
        </w:rPr>
        <w:t>（二）政府采购支出情况</w:t>
      </w:r>
      <w:bookmarkEnd w:id="57"/>
    </w:p>
    <w:p>
      <w:pPr>
        <w:spacing w:line="600" w:lineRule="exact"/>
        <w:ind w:firstLine="640" w:firstLineChars="200"/>
        <w:rPr>
          <w:rFonts w:eastAsia="仿宋_GB2312"/>
          <w:color w:val="000000"/>
          <w:sz w:val="32"/>
          <w:szCs w:val="32"/>
        </w:rPr>
      </w:pPr>
      <w:r>
        <w:rPr>
          <w:rFonts w:eastAsia="仿宋_GB2312"/>
          <w:color w:val="000000"/>
          <w:sz w:val="32"/>
          <w:szCs w:val="32"/>
        </w:rPr>
        <w:t>2020年，市科技局政府采购支出总额3.29万元，其中：政府采购货物支出3.29万元、政府采购工程支出0万元、政府采购服务支出0万元。主要用于采购办公设备。</w:t>
      </w:r>
    </w:p>
    <w:p>
      <w:pPr>
        <w:spacing w:line="600" w:lineRule="exact"/>
        <w:ind w:firstLine="640" w:firstLineChars="200"/>
        <w:rPr>
          <w:rFonts w:eastAsia="仿宋_GB2312"/>
          <w:color w:val="000000"/>
          <w:sz w:val="32"/>
          <w:szCs w:val="32"/>
        </w:rPr>
      </w:pPr>
      <w:r>
        <w:rPr>
          <w:rFonts w:eastAsia="仿宋_GB2312"/>
          <w:color w:val="000000"/>
          <w:sz w:val="32"/>
          <w:szCs w:val="32"/>
        </w:rPr>
        <w:t>（注：数据来源于财决附03表）</w:t>
      </w:r>
    </w:p>
    <w:p>
      <w:pPr>
        <w:autoSpaceDE w:val="0"/>
        <w:autoSpaceDN w:val="0"/>
        <w:adjustRightInd w:val="0"/>
        <w:spacing w:line="600" w:lineRule="exact"/>
        <w:ind w:firstLine="643" w:firstLineChars="200"/>
        <w:jc w:val="left"/>
        <w:outlineLvl w:val="2"/>
        <w:rPr>
          <w:rFonts w:eastAsia="仿宋"/>
          <w:b/>
          <w:color w:val="000000"/>
          <w:sz w:val="32"/>
          <w:szCs w:val="32"/>
        </w:rPr>
      </w:pPr>
      <w:bookmarkStart w:id="58" w:name="_Toc15377224"/>
      <w:r>
        <w:rPr>
          <w:rFonts w:eastAsia="仿宋"/>
          <w:b/>
          <w:color w:val="000000"/>
          <w:sz w:val="32"/>
          <w:szCs w:val="32"/>
        </w:rPr>
        <w:t>（三）国有资产占有使用情况</w:t>
      </w:r>
      <w:bookmarkEnd w:id="58"/>
    </w:p>
    <w:p>
      <w:pPr>
        <w:autoSpaceDE w:val="0"/>
        <w:autoSpaceDN w:val="0"/>
        <w:adjustRightInd w:val="0"/>
        <w:spacing w:line="600" w:lineRule="exact"/>
        <w:ind w:firstLine="640" w:firstLineChars="200"/>
        <w:jc w:val="left"/>
        <w:rPr>
          <w:rFonts w:eastAsia="仿宋_GB2312"/>
          <w:color w:val="000000"/>
          <w:sz w:val="32"/>
          <w:szCs w:val="32"/>
        </w:rPr>
      </w:pPr>
      <w:r>
        <w:rPr>
          <w:rFonts w:eastAsia="仿宋_GB2312"/>
          <w:color w:val="000000"/>
          <w:sz w:val="32"/>
          <w:szCs w:val="32"/>
        </w:rPr>
        <w:t>截至2020年12月31日，市科技局共有车辆5辆，其中：主要领导干部用车0辆、机要通信用车0辆、应急保障用车0辆、其他用车5辆，主要用于项目调研、扶贫攻坚、科博会、院士行钒钛论坛接送专家、执行公务、开展业务活动等用车。单价50万元以上通用设备0台（套），单价100万元以上专用设备0台（套）。</w:t>
      </w:r>
    </w:p>
    <w:p>
      <w:pPr>
        <w:autoSpaceDE w:val="0"/>
        <w:autoSpaceDN w:val="0"/>
        <w:adjustRightInd w:val="0"/>
        <w:spacing w:line="600" w:lineRule="exact"/>
        <w:ind w:firstLine="640" w:firstLineChars="200"/>
        <w:jc w:val="left"/>
        <w:rPr>
          <w:rFonts w:eastAsia="仿宋_GB2312"/>
          <w:color w:val="000000"/>
          <w:sz w:val="32"/>
          <w:szCs w:val="32"/>
        </w:rPr>
      </w:pPr>
      <w:r>
        <w:rPr>
          <w:rFonts w:eastAsia="仿宋_GB2312"/>
          <w:color w:val="000000"/>
          <w:sz w:val="32"/>
          <w:szCs w:val="32"/>
        </w:rPr>
        <w:t>（注：数据来源财决附03表，按部门决算报表填报数据罗列车辆情况。）</w:t>
      </w:r>
    </w:p>
    <w:p>
      <w:pPr>
        <w:autoSpaceDE w:val="0"/>
        <w:autoSpaceDN w:val="0"/>
        <w:adjustRightInd w:val="0"/>
        <w:spacing w:line="600" w:lineRule="exact"/>
        <w:ind w:firstLine="643" w:firstLineChars="200"/>
        <w:jc w:val="left"/>
        <w:outlineLvl w:val="2"/>
        <w:rPr>
          <w:rFonts w:eastAsia="仿宋"/>
          <w:b/>
          <w:color w:val="000000"/>
          <w:sz w:val="32"/>
          <w:szCs w:val="32"/>
        </w:rPr>
      </w:pPr>
      <w:r>
        <w:rPr>
          <w:rFonts w:eastAsia="仿宋"/>
          <w:b/>
          <w:color w:val="000000"/>
          <w:sz w:val="32"/>
          <w:szCs w:val="32"/>
        </w:rPr>
        <w:t>（四）预算绩效管理情况。</w:t>
      </w:r>
    </w:p>
    <w:p>
      <w:pPr>
        <w:spacing w:line="600" w:lineRule="exact"/>
        <w:ind w:firstLine="640" w:firstLineChars="200"/>
        <w:rPr>
          <w:rFonts w:eastAsia="仿宋_GB2312"/>
          <w:sz w:val="32"/>
          <w:szCs w:val="32"/>
        </w:rPr>
      </w:pPr>
      <w:r>
        <w:rPr>
          <w:rFonts w:eastAsia="仿宋_GB2312"/>
          <w:sz w:val="32"/>
          <w:szCs w:val="32"/>
        </w:rPr>
        <w:t>根据预算绩效管理要求，</w:t>
      </w:r>
      <w:r>
        <w:rPr>
          <w:rFonts w:hint="eastAsia" w:eastAsia="仿宋_GB2312"/>
          <w:sz w:val="32"/>
          <w:szCs w:val="32"/>
        </w:rPr>
        <w:t>市科技局</w:t>
      </w:r>
      <w:r>
        <w:rPr>
          <w:rFonts w:eastAsia="仿宋_GB2312"/>
          <w:sz w:val="32"/>
          <w:szCs w:val="32"/>
        </w:rPr>
        <w:t>在年初预算编制阶段，对2020年一般公共预算项目开展了事前绩效评估，预算执行过程中，选取项目开展绩效监控，年终执行完毕后，</w:t>
      </w:r>
      <w:r>
        <w:rPr>
          <w:rFonts w:hint="eastAsia" w:eastAsia="仿宋_GB2312"/>
          <w:sz w:val="32"/>
          <w:szCs w:val="32"/>
        </w:rPr>
        <w:t>根据财政</w:t>
      </w:r>
      <w:r>
        <w:rPr>
          <w:rFonts w:eastAsia="仿宋_GB2312"/>
          <w:sz w:val="32"/>
          <w:szCs w:val="32"/>
        </w:rPr>
        <w:t>要求对2020年部门整体支出开展绩效自评，从评价情况来看</w:t>
      </w:r>
      <w:r>
        <w:rPr>
          <w:rFonts w:hint="eastAsia" w:eastAsia="仿宋_GB2312"/>
          <w:sz w:val="32"/>
          <w:szCs w:val="32"/>
        </w:rPr>
        <w:t>，</w:t>
      </w:r>
      <w:r>
        <w:rPr>
          <w:rFonts w:eastAsia="仿宋_GB2312"/>
          <w:color w:val="000000"/>
          <w:sz w:val="32"/>
          <w:szCs w:val="32"/>
        </w:rPr>
        <w:t>我局</w:t>
      </w:r>
      <w:r>
        <w:rPr>
          <w:rFonts w:eastAsia="仿宋_GB2312"/>
          <w:color w:val="000000"/>
          <w:kern w:val="0"/>
          <w:sz w:val="31"/>
          <w:szCs w:val="31"/>
          <w:lang w:bidi="ar"/>
        </w:rPr>
        <w:t>科技创新引领产业升级和经济发展的能力进一步增强</w:t>
      </w:r>
      <w:r>
        <w:rPr>
          <w:rFonts w:eastAsia="仿宋_GB2312"/>
          <w:sz w:val="32"/>
          <w:szCs w:val="32"/>
        </w:rPr>
        <w:t>。本部门还自行组织了5个项目支出绩效评价，从评价情况来看。</w:t>
      </w:r>
    </w:p>
    <w:p>
      <w:pPr>
        <w:spacing w:line="600" w:lineRule="exact"/>
        <w:ind w:firstLine="640" w:firstLineChars="200"/>
        <w:rPr>
          <w:rFonts w:eastAsia="仿宋_GB2312"/>
          <w:sz w:val="32"/>
          <w:szCs w:val="32"/>
        </w:rPr>
      </w:pPr>
      <w:r>
        <w:rPr>
          <w:rFonts w:eastAsia="楷体_GB2312"/>
          <w:sz w:val="32"/>
          <w:szCs w:val="32"/>
        </w:rPr>
        <w:t>1.项目绩效目标完成情况。</w:t>
      </w:r>
      <w:r>
        <w:rPr>
          <w:rFonts w:eastAsia="楷体_GB2312"/>
          <w:sz w:val="32"/>
          <w:szCs w:val="32"/>
        </w:rPr>
        <w:br w:type="textWrapping"/>
      </w:r>
      <w:r>
        <w:rPr>
          <w:rFonts w:eastAsia="仿宋_GB2312"/>
          <w:sz w:val="32"/>
          <w:szCs w:val="32"/>
        </w:rPr>
        <w:t xml:space="preserve">    本部门在2020年度部门决算中反映“业务运行费”“科技创新大会”“科技计划项目管理费”“科技招商”“创新创业专项”等5个项目绩效目标实际完成情况。</w:t>
      </w:r>
    </w:p>
    <w:p>
      <w:pPr>
        <w:spacing w:line="600" w:lineRule="exact"/>
        <w:ind w:firstLine="640" w:firstLineChars="200"/>
        <w:rPr>
          <w:rFonts w:eastAsia="仿宋_GB2312"/>
          <w:sz w:val="32"/>
          <w:szCs w:val="32"/>
        </w:rPr>
      </w:pPr>
      <w:r>
        <w:rPr>
          <w:rFonts w:eastAsia="仿宋_GB2312"/>
          <w:sz w:val="32"/>
          <w:szCs w:val="32"/>
        </w:rPr>
        <w:t>（1）“业务运行费”</w:t>
      </w:r>
      <w:r>
        <w:rPr>
          <w:rFonts w:hint="eastAsia" w:eastAsia="仿宋_GB2312"/>
          <w:sz w:val="32"/>
          <w:szCs w:val="32"/>
        </w:rPr>
        <w:t xml:space="preserve"> ：</w:t>
      </w:r>
      <w:r>
        <w:rPr>
          <w:rFonts w:eastAsia="仿宋_GB2312"/>
          <w:sz w:val="32"/>
          <w:szCs w:val="32"/>
        </w:rPr>
        <w:t>项目全年预算数5.41万元，执行数为5.41万元，完成预算的100%。通过项目实施，弥补单位办公用房的水电物管费，严格按资金用途使用，保证单位日常工作的正常开展。</w:t>
      </w:r>
    </w:p>
    <w:p>
      <w:pPr>
        <w:autoSpaceDE w:val="0"/>
        <w:autoSpaceDN w:val="0"/>
        <w:adjustRightInd w:val="0"/>
        <w:spacing w:line="600" w:lineRule="exact"/>
        <w:ind w:firstLine="640" w:firstLineChars="200"/>
        <w:rPr>
          <w:rFonts w:eastAsia="仿宋_GB2312"/>
          <w:kern w:val="0"/>
          <w:sz w:val="32"/>
          <w:szCs w:val="32"/>
        </w:rPr>
      </w:pPr>
      <w:r>
        <w:rPr>
          <w:rFonts w:eastAsia="仿宋_GB2312"/>
          <w:sz w:val="32"/>
          <w:szCs w:val="32"/>
        </w:rPr>
        <w:t>（2）“科技创新大会”</w:t>
      </w:r>
      <w:r>
        <w:rPr>
          <w:rFonts w:hint="eastAsia" w:eastAsia="仿宋_GB2312"/>
          <w:sz w:val="32"/>
          <w:szCs w:val="32"/>
        </w:rPr>
        <w:t>：</w:t>
      </w:r>
      <w:r>
        <w:rPr>
          <w:rFonts w:eastAsia="仿宋_GB2312"/>
          <w:sz w:val="32"/>
          <w:szCs w:val="32"/>
        </w:rPr>
        <w:t>项目全年预算数112万元，执行数为112万元，完成预算的100%。通过项目实施，</w:t>
      </w:r>
      <w:r>
        <w:rPr>
          <w:rFonts w:eastAsia="仿宋_GB2312"/>
          <w:kern w:val="0"/>
          <w:sz w:val="32"/>
          <w:szCs w:val="32"/>
        </w:rPr>
        <w:t>总结</w:t>
      </w:r>
      <w:r>
        <w:rPr>
          <w:rFonts w:hint="eastAsia" w:eastAsia="仿宋_GB2312"/>
          <w:kern w:val="0"/>
          <w:sz w:val="32"/>
          <w:szCs w:val="32"/>
        </w:rPr>
        <w:t>了</w:t>
      </w:r>
      <w:r>
        <w:rPr>
          <w:rFonts w:eastAsia="仿宋_GB2312"/>
          <w:kern w:val="0"/>
          <w:sz w:val="32"/>
          <w:szCs w:val="32"/>
        </w:rPr>
        <w:t>攀枝花建设55周年以来全市科技创新工作，全面贯彻国家科技发展创新战略，表彰奖励一批有突出贡献的科技人员、创新团队，部署新时期科技创新任务</w:t>
      </w:r>
      <w:r>
        <w:rPr>
          <w:rFonts w:hint="eastAsia" w:eastAsia="仿宋_GB2312"/>
          <w:kern w:val="0"/>
          <w:sz w:val="32"/>
          <w:szCs w:val="32"/>
        </w:rPr>
        <w:t>，</w:t>
      </w:r>
      <w:r>
        <w:rPr>
          <w:rFonts w:hint="eastAsia" w:eastAsia="仿宋_GB2312"/>
          <w:sz w:val="32"/>
          <w:szCs w:val="32"/>
        </w:rPr>
        <w:t>此次</w:t>
      </w:r>
      <w:r>
        <w:rPr>
          <w:rFonts w:eastAsia="仿宋_GB2312"/>
          <w:kern w:val="0"/>
          <w:sz w:val="32"/>
          <w:szCs w:val="32"/>
        </w:rPr>
        <w:t>科技创新大会取得圆满成功。</w:t>
      </w:r>
    </w:p>
    <w:p>
      <w:pPr>
        <w:autoSpaceDE w:val="0"/>
        <w:autoSpaceDN w:val="0"/>
        <w:adjustRightInd w:val="0"/>
        <w:spacing w:line="600" w:lineRule="exact"/>
        <w:ind w:firstLine="640" w:firstLineChars="200"/>
        <w:rPr>
          <w:rFonts w:eastAsia="仿宋_GB2312"/>
          <w:kern w:val="0"/>
          <w:sz w:val="32"/>
          <w:szCs w:val="32"/>
        </w:rPr>
      </w:pPr>
      <w:r>
        <w:rPr>
          <w:rFonts w:eastAsia="仿宋_GB2312"/>
          <w:kern w:val="0"/>
          <w:sz w:val="32"/>
          <w:szCs w:val="32"/>
        </w:rPr>
        <w:t>（3）“科技计划项目管理费”</w:t>
      </w:r>
      <w:r>
        <w:rPr>
          <w:rFonts w:hint="eastAsia" w:eastAsia="仿宋_GB2312"/>
          <w:kern w:val="0"/>
          <w:sz w:val="32"/>
          <w:szCs w:val="32"/>
        </w:rPr>
        <w:t>：</w:t>
      </w:r>
      <w:r>
        <w:rPr>
          <w:rFonts w:eastAsia="仿宋_GB2312"/>
          <w:kern w:val="0"/>
          <w:sz w:val="32"/>
          <w:szCs w:val="32"/>
        </w:rPr>
        <w:t>项目全年预算数50万元，执行数为50万元，完成预算的100%。通过项目实施，使项目组织实施管理和省级项目申报质量进一步提高，项目结题验收率显著提升，重点领域关键技术攻关及产业化取得重大突破，企业自主创新能力进一步提升。</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（4）“</w:t>
      </w:r>
      <w:r>
        <w:rPr>
          <w:rFonts w:eastAsia="仿宋_GB2312"/>
          <w:sz w:val="32"/>
          <w:szCs w:val="32"/>
        </w:rPr>
        <w:t>科技招商</w:t>
      </w:r>
      <w:r>
        <w:rPr>
          <w:rFonts w:eastAsia="仿宋_GB2312"/>
          <w:kern w:val="0"/>
          <w:sz w:val="32"/>
          <w:szCs w:val="32"/>
        </w:rPr>
        <w:t>”项目</w:t>
      </w:r>
      <w:r>
        <w:rPr>
          <w:rFonts w:hint="eastAsia" w:eastAsia="仿宋_GB2312"/>
          <w:kern w:val="0"/>
          <w:sz w:val="32"/>
          <w:szCs w:val="32"/>
        </w:rPr>
        <w:t>：</w:t>
      </w:r>
      <w:r>
        <w:rPr>
          <w:rFonts w:eastAsia="仿宋_GB2312"/>
          <w:kern w:val="0"/>
          <w:sz w:val="32"/>
          <w:szCs w:val="32"/>
        </w:rPr>
        <w:t>项目全年预算数16.12万元，执行数为16.12万元，完成预算的100%。通过项目实施，加强同成渝双城经济圈企业、高校、科研单位沟通联系，搭建起科技创新合作平台，促进市内企业结合产业发展、产品技术创新实际需求主动对接相关高校、科研单位，开展联合技术创新、成果转化等科技创新活动。发现的主要问题：引进大院大所优质企业落地困难。下一步改进措施：继续加强与高校合作，引进优质企业。</w:t>
      </w:r>
    </w:p>
    <w:p>
      <w:r>
        <w:rPr>
          <w:rFonts w:eastAsia="仿宋_GB2312"/>
          <w:kern w:val="0"/>
          <w:sz w:val="32"/>
          <w:szCs w:val="32"/>
        </w:rPr>
        <w:t>（5）“</w:t>
      </w:r>
      <w:r>
        <w:rPr>
          <w:rFonts w:eastAsia="仿宋_GB2312"/>
          <w:sz w:val="32"/>
          <w:szCs w:val="32"/>
        </w:rPr>
        <w:t>创新创业专项</w:t>
      </w:r>
      <w:r>
        <w:rPr>
          <w:rFonts w:eastAsia="仿宋_GB2312"/>
          <w:kern w:val="0"/>
          <w:sz w:val="32"/>
          <w:szCs w:val="32"/>
        </w:rPr>
        <w:t>”</w:t>
      </w:r>
      <w:r>
        <w:rPr>
          <w:rFonts w:hint="eastAsia" w:eastAsia="仿宋_GB2312"/>
          <w:kern w:val="0"/>
          <w:sz w:val="32"/>
          <w:szCs w:val="32"/>
        </w:rPr>
        <w:t>：</w:t>
      </w:r>
      <w:r>
        <w:rPr>
          <w:rFonts w:eastAsia="仿宋_GB2312"/>
          <w:kern w:val="0"/>
          <w:sz w:val="32"/>
          <w:szCs w:val="32"/>
        </w:rPr>
        <w:t>项目全年预算数40万元，执行数为40万元，完成预算的100%。通过项目</w:t>
      </w:r>
      <w:r>
        <w:rPr>
          <w:rFonts w:eastAsia="仿宋_GB2312"/>
          <w:sz w:val="32"/>
          <w:szCs w:val="32"/>
        </w:rPr>
        <w:t>实施，对市级双创孵化平台进行补助，激发了企业争创双创孵化载体的积极性。</w:t>
      </w:r>
      <w:r>
        <w:rPr>
          <w:rFonts w:eastAsia="仿宋_GB2312"/>
          <w:kern w:val="0"/>
          <w:sz w:val="32"/>
          <w:szCs w:val="32"/>
        </w:rPr>
        <w:br w:type="page"/>
      </w:r>
    </w:p>
    <w:tbl>
      <w:tblPr>
        <w:tblStyle w:val="9"/>
        <w:tblpPr w:leftFromText="180" w:rightFromText="180" w:vertAnchor="text" w:horzAnchor="page" w:tblpXSpec="center" w:tblpY="-369"/>
        <w:tblOverlap w:val="never"/>
        <w:tblW w:w="9960" w:type="dxa"/>
        <w:jc w:val="center"/>
        <w:tblLayout w:type="fixed"/>
        <w:tblCellMar>
          <w:top w:w="0" w:type="dxa"/>
          <w:left w:w="0" w:type="dxa"/>
          <w:bottom w:w="0" w:type="dxa"/>
          <w:right w:w="0" w:type="dxa"/>
        </w:tblCellMar>
      </w:tblPr>
      <w:tblGrid>
        <w:gridCol w:w="882"/>
        <w:gridCol w:w="875"/>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color w:val="000000"/>
                <w:sz w:val="36"/>
                <w:szCs w:val="36"/>
              </w:rPr>
            </w:pPr>
            <w:r>
              <w:rPr>
                <w:b/>
                <w:bCs/>
                <w:color w:val="000000"/>
                <w:kern w:val="0"/>
                <w:sz w:val="36"/>
                <w:szCs w:val="36"/>
                <w:lang w:bidi="ar"/>
              </w:rPr>
              <w:t>项目绩效目标完成情况表</w:t>
            </w:r>
            <w:r>
              <w:rPr>
                <w:b/>
                <w:bCs/>
                <w:color w:val="000000"/>
                <w:kern w:val="0"/>
                <w:sz w:val="36"/>
                <w:szCs w:val="36"/>
                <w:lang w:bidi="ar"/>
              </w:rPr>
              <w:br w:type="textWrapping"/>
            </w:r>
            <w:r>
              <w:rPr>
                <w:color w:val="000000"/>
                <w:kern w:val="0"/>
                <w:sz w:val="36"/>
                <w:szCs w:val="36"/>
                <w:lang w:bidi="ar"/>
              </w:rPr>
              <w:t>(2020年度)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1865"/>
              </w:tabs>
              <w:jc w:val="center"/>
              <w:textAlignment w:val="center"/>
              <w:rPr>
                <w:color w:val="000000"/>
                <w:szCs w:val="21"/>
              </w:rPr>
            </w:pPr>
            <w:r>
              <w:rPr>
                <w:color w:val="000000"/>
                <w:szCs w:val="21"/>
              </w:rPr>
              <w:t>业务运行费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攀枝花市科学技术局</w:t>
            </w:r>
          </w:p>
        </w:tc>
      </w:tr>
      <w:tr>
        <w:tblPrEx>
          <w:tblCellMar>
            <w:top w:w="0" w:type="dxa"/>
            <w:left w:w="0" w:type="dxa"/>
            <w:bottom w:w="0" w:type="dxa"/>
            <w:right w:w="0" w:type="dxa"/>
          </w:tblCellMar>
        </w:tblPrEx>
        <w:trPr>
          <w:trHeight w:val="276" w:hRule="atLeast"/>
          <w:jc w:val="center"/>
        </w:trPr>
        <w:tc>
          <w:tcPr>
            <w:tcW w:w="8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预算执行情况(万元)</w:t>
            </w:r>
          </w:p>
        </w:tc>
        <w:tc>
          <w:tcPr>
            <w:tcW w:w="19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5.41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5.41</w:t>
            </w:r>
          </w:p>
        </w:tc>
      </w:tr>
      <w:tr>
        <w:tblPrEx>
          <w:tblCellMar>
            <w:top w:w="0" w:type="dxa"/>
            <w:left w:w="0" w:type="dxa"/>
            <w:bottom w:w="0" w:type="dxa"/>
            <w:right w:w="0" w:type="dxa"/>
          </w:tblCellMar>
        </w:tblPrEx>
        <w:trPr>
          <w:trHeight w:val="276" w:hRule="atLeast"/>
          <w:jc w:val="center"/>
        </w:trPr>
        <w:tc>
          <w:tcPr>
            <w:tcW w:w="8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Cs w:val="21"/>
              </w:rPr>
            </w:pPr>
          </w:p>
        </w:tc>
        <w:tc>
          <w:tcPr>
            <w:tcW w:w="19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5.41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5.41</w:t>
            </w:r>
          </w:p>
        </w:tc>
      </w:tr>
      <w:tr>
        <w:tblPrEx>
          <w:tblCellMar>
            <w:top w:w="0" w:type="dxa"/>
            <w:left w:w="0" w:type="dxa"/>
            <w:bottom w:w="0" w:type="dxa"/>
            <w:right w:w="0" w:type="dxa"/>
          </w:tblCellMar>
        </w:tblPrEx>
        <w:trPr>
          <w:trHeight w:val="398" w:hRule="atLeast"/>
          <w:jc w:val="center"/>
        </w:trPr>
        <w:tc>
          <w:tcPr>
            <w:tcW w:w="8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Cs w:val="21"/>
              </w:rPr>
            </w:pPr>
          </w:p>
        </w:tc>
        <w:tc>
          <w:tcPr>
            <w:tcW w:w="19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Cs w:val="21"/>
              </w:rPr>
            </w:pPr>
          </w:p>
        </w:tc>
      </w:tr>
      <w:tr>
        <w:tblPrEx>
          <w:tblCellMar>
            <w:top w:w="0" w:type="dxa"/>
            <w:left w:w="0" w:type="dxa"/>
            <w:bottom w:w="0" w:type="dxa"/>
            <w:right w:w="0" w:type="dxa"/>
          </w:tblCellMar>
        </w:tblPrEx>
        <w:trPr>
          <w:trHeight w:val="276" w:hRule="atLeast"/>
          <w:jc w:val="center"/>
        </w:trPr>
        <w:tc>
          <w:tcPr>
            <w:tcW w:w="8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年度目标完成情况</w:t>
            </w:r>
          </w:p>
        </w:tc>
        <w:tc>
          <w:tcPr>
            <w:tcW w:w="42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实际完成目标</w:t>
            </w:r>
          </w:p>
        </w:tc>
      </w:tr>
      <w:tr>
        <w:tblPrEx>
          <w:tblCellMar>
            <w:top w:w="0" w:type="dxa"/>
            <w:left w:w="0" w:type="dxa"/>
            <w:bottom w:w="0" w:type="dxa"/>
            <w:right w:w="0" w:type="dxa"/>
          </w:tblCellMar>
        </w:tblPrEx>
        <w:trPr>
          <w:trHeight w:val="975" w:hRule="atLeast"/>
          <w:jc w:val="center"/>
        </w:trPr>
        <w:tc>
          <w:tcPr>
            <w:tcW w:w="8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Cs w:val="21"/>
              </w:rPr>
            </w:pPr>
          </w:p>
        </w:tc>
        <w:tc>
          <w:tcPr>
            <w:tcW w:w="42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弥补单位办公用房的水电物管费，严格按资金用途使用，保证单位日常工作的正常开展。</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Cs w:val="21"/>
              </w:rPr>
            </w:pPr>
            <w:r>
              <w:rPr>
                <w:color w:val="000000"/>
                <w:szCs w:val="21"/>
              </w:rPr>
              <w:t>按资金的用途、进度进行支付，保证了单位工作的顺利进行。</w:t>
            </w:r>
          </w:p>
        </w:tc>
      </w:tr>
      <w:tr>
        <w:tblPrEx>
          <w:tblCellMar>
            <w:top w:w="0" w:type="dxa"/>
            <w:left w:w="0" w:type="dxa"/>
            <w:bottom w:w="0" w:type="dxa"/>
            <w:right w:w="0" w:type="dxa"/>
          </w:tblCellMar>
        </w:tblPrEx>
        <w:trPr>
          <w:trHeight w:val="664" w:hRule="atLeast"/>
          <w:jc w:val="center"/>
        </w:trPr>
        <w:tc>
          <w:tcPr>
            <w:tcW w:w="88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绩效指标完成情况</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实际完成指标值(包含数字及文字描述)</w:t>
            </w:r>
          </w:p>
        </w:tc>
      </w:tr>
      <w:tr>
        <w:tblPrEx>
          <w:tblCellMar>
            <w:top w:w="0" w:type="dxa"/>
            <w:left w:w="0" w:type="dxa"/>
            <w:bottom w:w="0" w:type="dxa"/>
            <w:right w:w="0" w:type="dxa"/>
          </w:tblCellMar>
        </w:tblPrEx>
        <w:trPr>
          <w:trHeight w:val="738" w:hRule="atLeast"/>
          <w:jc w:val="center"/>
        </w:trPr>
        <w:tc>
          <w:tcPr>
            <w:tcW w:w="8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保障单位日常工作的开展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保障机关正常运转</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完全达到预期指标</w:t>
            </w:r>
          </w:p>
        </w:tc>
      </w:tr>
      <w:tr>
        <w:tblPrEx>
          <w:tblCellMar>
            <w:top w:w="0" w:type="dxa"/>
            <w:left w:w="0" w:type="dxa"/>
            <w:bottom w:w="0" w:type="dxa"/>
            <w:right w:w="0" w:type="dxa"/>
          </w:tblCellMar>
        </w:tblPrEx>
        <w:trPr>
          <w:trHeight w:val="795" w:hRule="atLeast"/>
          <w:jc w:val="center"/>
        </w:trPr>
        <w:tc>
          <w:tcPr>
            <w:tcW w:w="8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完成工作计划</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保障机关正常运转</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完全达到预期指标</w:t>
            </w:r>
          </w:p>
        </w:tc>
      </w:tr>
      <w:tr>
        <w:tblPrEx>
          <w:tblCellMar>
            <w:top w:w="0" w:type="dxa"/>
            <w:left w:w="0" w:type="dxa"/>
            <w:bottom w:w="0" w:type="dxa"/>
            <w:right w:w="0" w:type="dxa"/>
          </w:tblCellMar>
        </w:tblPrEx>
        <w:trPr>
          <w:trHeight w:val="743" w:hRule="atLeast"/>
          <w:jc w:val="center"/>
        </w:trPr>
        <w:tc>
          <w:tcPr>
            <w:tcW w:w="8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全年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全年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完全达到预期指标</w:t>
            </w:r>
          </w:p>
        </w:tc>
      </w:tr>
      <w:tr>
        <w:tblPrEx>
          <w:tblCellMar>
            <w:top w:w="0" w:type="dxa"/>
            <w:left w:w="0" w:type="dxa"/>
            <w:bottom w:w="0" w:type="dxa"/>
            <w:right w:w="0" w:type="dxa"/>
          </w:tblCellMar>
        </w:tblPrEx>
        <w:trPr>
          <w:trHeight w:val="719" w:hRule="atLeast"/>
          <w:jc w:val="center"/>
        </w:trPr>
        <w:tc>
          <w:tcPr>
            <w:tcW w:w="8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Cs w:val="21"/>
                <w:lang w:bidi="ar"/>
              </w:rPr>
            </w:pPr>
            <w:r>
              <w:rPr>
                <w:color w:val="000000"/>
                <w:kern w:val="0"/>
                <w:szCs w:val="21"/>
                <w:lang w:bidi="ar"/>
              </w:rPr>
              <w:t>项目完成指标</w:t>
            </w:r>
          </w:p>
        </w:tc>
        <w:tc>
          <w:tcPr>
            <w:tcW w:w="10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单位办公水电费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4.82万元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4.82万元</w:t>
            </w:r>
          </w:p>
        </w:tc>
      </w:tr>
      <w:tr>
        <w:tblPrEx>
          <w:tblCellMar>
            <w:top w:w="0" w:type="dxa"/>
            <w:left w:w="0" w:type="dxa"/>
            <w:bottom w:w="0" w:type="dxa"/>
            <w:right w:w="0" w:type="dxa"/>
          </w:tblCellMar>
        </w:tblPrEx>
        <w:trPr>
          <w:trHeight w:val="719" w:hRule="atLeast"/>
          <w:jc w:val="center"/>
        </w:trPr>
        <w:tc>
          <w:tcPr>
            <w:tcW w:w="8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Cs w:val="21"/>
                <w:lang w:bidi="ar"/>
              </w:rPr>
            </w:pPr>
            <w:r>
              <w:rPr>
                <w:color w:val="000000"/>
                <w:kern w:val="0"/>
                <w:szCs w:val="21"/>
                <w:lang w:bidi="ar"/>
              </w:rPr>
              <w:t>项目完成指标</w:t>
            </w:r>
          </w:p>
        </w:tc>
        <w:tc>
          <w:tcPr>
            <w:tcW w:w="102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单位租用办公楼物管费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0.59万元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0.59万元</w:t>
            </w:r>
          </w:p>
        </w:tc>
      </w:tr>
      <w:tr>
        <w:tblPrEx>
          <w:tblCellMar>
            <w:top w:w="0" w:type="dxa"/>
            <w:left w:w="0" w:type="dxa"/>
            <w:bottom w:w="0" w:type="dxa"/>
            <w:right w:w="0" w:type="dxa"/>
          </w:tblCellMar>
        </w:tblPrEx>
        <w:trPr>
          <w:trHeight w:val="648" w:hRule="atLeast"/>
          <w:jc w:val="center"/>
        </w:trPr>
        <w:tc>
          <w:tcPr>
            <w:tcW w:w="8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经济效益</w:t>
            </w:r>
          </w:p>
          <w:p>
            <w:pPr>
              <w:widowControl/>
              <w:jc w:val="center"/>
              <w:textAlignment w:val="center"/>
              <w:rPr>
                <w:color w:val="000000"/>
                <w:szCs w:val="21"/>
              </w:rPr>
            </w:pPr>
            <w:r>
              <w:rPr>
                <w:color w:val="000000"/>
                <w:szCs w:val="21"/>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r>
      <w:tr>
        <w:tblPrEx>
          <w:tblCellMar>
            <w:top w:w="0" w:type="dxa"/>
            <w:left w:w="0" w:type="dxa"/>
            <w:bottom w:w="0" w:type="dxa"/>
            <w:right w:w="0" w:type="dxa"/>
          </w:tblCellMar>
        </w:tblPrEx>
        <w:trPr>
          <w:trHeight w:val="720" w:hRule="atLeast"/>
          <w:jc w:val="center"/>
        </w:trPr>
        <w:tc>
          <w:tcPr>
            <w:tcW w:w="8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Cs w:val="21"/>
                <w:lang w:bidi="ar"/>
              </w:rPr>
            </w:pPr>
            <w:r>
              <w:rPr>
                <w:color w:val="000000"/>
                <w:kern w:val="0"/>
                <w:szCs w:val="21"/>
                <w:lang w:bidi="ar"/>
              </w:rPr>
              <w:t>社会效益</w:t>
            </w:r>
          </w:p>
          <w:p>
            <w:pPr>
              <w:widowControl/>
              <w:jc w:val="center"/>
              <w:textAlignment w:val="center"/>
              <w:rPr>
                <w:color w:val="000000"/>
                <w:szCs w:val="21"/>
              </w:rPr>
            </w:pPr>
            <w:r>
              <w:rPr>
                <w:color w:val="000000"/>
                <w:kern w:val="0"/>
                <w:szCs w:val="21"/>
                <w:lang w:bidi="ar"/>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保障单位运转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提升工作能力，促进科技强市</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完全达到预期指标</w:t>
            </w:r>
          </w:p>
        </w:tc>
      </w:tr>
      <w:tr>
        <w:tblPrEx>
          <w:tblCellMar>
            <w:top w:w="0" w:type="dxa"/>
            <w:left w:w="0" w:type="dxa"/>
            <w:bottom w:w="0" w:type="dxa"/>
            <w:right w:w="0" w:type="dxa"/>
          </w:tblCellMar>
        </w:tblPrEx>
        <w:trPr>
          <w:trHeight w:val="720" w:hRule="atLeast"/>
          <w:jc w:val="center"/>
        </w:trPr>
        <w:tc>
          <w:tcPr>
            <w:tcW w:w="8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生态效益</w:t>
            </w:r>
          </w:p>
          <w:p>
            <w:pPr>
              <w:widowControl/>
              <w:jc w:val="center"/>
              <w:textAlignment w:val="center"/>
              <w:rPr>
                <w:color w:val="000000"/>
                <w:szCs w:val="21"/>
              </w:rPr>
            </w:pPr>
            <w:r>
              <w:rPr>
                <w:color w:val="000000"/>
                <w:szCs w:val="21"/>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r>
      <w:tr>
        <w:tblPrEx>
          <w:tblCellMar>
            <w:top w:w="0" w:type="dxa"/>
            <w:left w:w="0" w:type="dxa"/>
            <w:bottom w:w="0" w:type="dxa"/>
            <w:right w:w="0" w:type="dxa"/>
          </w:tblCellMar>
        </w:tblPrEx>
        <w:trPr>
          <w:trHeight w:val="735" w:hRule="atLeast"/>
          <w:jc w:val="center"/>
        </w:trPr>
        <w:tc>
          <w:tcPr>
            <w:tcW w:w="8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保障单位运转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充分发挥单位职能，为社会、企业发展护航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完全达到预期指标</w:t>
            </w:r>
          </w:p>
        </w:tc>
      </w:tr>
      <w:tr>
        <w:tblPrEx>
          <w:tblCellMar>
            <w:top w:w="0" w:type="dxa"/>
            <w:left w:w="0" w:type="dxa"/>
            <w:bottom w:w="0" w:type="dxa"/>
            <w:right w:w="0" w:type="dxa"/>
          </w:tblCellMar>
        </w:tblPrEx>
        <w:trPr>
          <w:trHeight w:val="751" w:hRule="atLeast"/>
          <w:jc w:val="center"/>
        </w:trPr>
        <w:tc>
          <w:tcPr>
            <w:tcW w:w="88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职工满意度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完全达到预期指标</w:t>
            </w:r>
          </w:p>
        </w:tc>
      </w:tr>
    </w:tbl>
    <w:p>
      <w:r>
        <w:br w:type="page"/>
      </w:r>
    </w:p>
    <w:tbl>
      <w:tblPr>
        <w:tblStyle w:val="9"/>
        <w:tblpPr w:leftFromText="180" w:rightFromText="180" w:vertAnchor="text" w:horzAnchor="margin" w:tblpXSpec="center" w:tblpY="138"/>
        <w:tblOverlap w:val="never"/>
        <w:tblW w:w="10425" w:type="dxa"/>
        <w:tblInd w:w="0" w:type="dxa"/>
        <w:tblLayout w:type="fixed"/>
        <w:tblCellMar>
          <w:top w:w="0" w:type="dxa"/>
          <w:left w:w="0" w:type="dxa"/>
          <w:bottom w:w="0" w:type="dxa"/>
          <w:right w:w="0" w:type="dxa"/>
        </w:tblCellMar>
      </w:tblPr>
      <w:tblGrid>
        <w:gridCol w:w="882"/>
        <w:gridCol w:w="1401"/>
        <w:gridCol w:w="1224"/>
        <w:gridCol w:w="2132"/>
        <w:gridCol w:w="2394"/>
        <w:gridCol w:w="2392"/>
      </w:tblGrid>
      <w:tr>
        <w:tblPrEx>
          <w:tblCellMar>
            <w:top w:w="0" w:type="dxa"/>
            <w:left w:w="0" w:type="dxa"/>
            <w:bottom w:w="0" w:type="dxa"/>
            <w:right w:w="0" w:type="dxa"/>
          </w:tblCellMar>
        </w:tblPrEx>
        <w:trPr>
          <w:trHeight w:val="1034" w:hRule="atLeast"/>
        </w:trPr>
        <w:tc>
          <w:tcPr>
            <w:tcW w:w="10425" w:type="dxa"/>
            <w:gridSpan w:val="6"/>
            <w:tcBorders>
              <w:top w:val="nil"/>
              <w:left w:val="nil"/>
              <w:bottom w:val="nil"/>
              <w:right w:val="nil"/>
            </w:tcBorders>
            <w:tcMar>
              <w:top w:w="15" w:type="dxa"/>
              <w:left w:w="15" w:type="dxa"/>
              <w:right w:w="15" w:type="dxa"/>
            </w:tcMar>
            <w:vAlign w:val="center"/>
          </w:tcPr>
          <w:p>
            <w:pPr>
              <w:widowControl/>
              <w:jc w:val="center"/>
              <w:textAlignment w:val="center"/>
              <w:rPr>
                <w:color w:val="000000"/>
                <w:sz w:val="36"/>
                <w:szCs w:val="36"/>
              </w:rPr>
            </w:pPr>
            <w:r>
              <w:rPr>
                <w:b/>
                <w:bCs/>
                <w:color w:val="000000"/>
                <w:kern w:val="0"/>
                <w:sz w:val="36"/>
                <w:szCs w:val="36"/>
                <w:lang w:bidi="ar"/>
              </w:rPr>
              <w:t>项目绩效目标完成情况表</w:t>
            </w:r>
            <w:r>
              <w:rPr>
                <w:b/>
                <w:bCs/>
                <w:color w:val="000000"/>
                <w:kern w:val="0"/>
                <w:sz w:val="36"/>
                <w:szCs w:val="36"/>
                <w:lang w:bidi="ar"/>
              </w:rPr>
              <w:br w:type="textWrapping"/>
            </w:r>
            <w:r>
              <w:rPr>
                <w:color w:val="000000"/>
                <w:kern w:val="0"/>
                <w:sz w:val="36"/>
                <w:szCs w:val="36"/>
                <w:lang w:bidi="ar"/>
              </w:rPr>
              <w:t>(2020年度)</w:t>
            </w:r>
          </w:p>
        </w:tc>
      </w:tr>
      <w:tr>
        <w:tblPrEx>
          <w:tblCellMar>
            <w:top w:w="0" w:type="dxa"/>
            <w:left w:w="0" w:type="dxa"/>
            <w:bottom w:w="0" w:type="dxa"/>
            <w:right w:w="0" w:type="dxa"/>
          </w:tblCellMar>
        </w:tblPrEx>
        <w:trPr>
          <w:trHeight w:val="276" w:hRule="atLeast"/>
        </w:trPr>
        <w:tc>
          <w:tcPr>
            <w:tcW w:w="350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项目名称</w:t>
            </w:r>
          </w:p>
        </w:tc>
        <w:tc>
          <w:tcPr>
            <w:tcW w:w="691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1865"/>
              </w:tabs>
              <w:jc w:val="center"/>
              <w:textAlignment w:val="center"/>
              <w:rPr>
                <w:color w:val="000000"/>
                <w:szCs w:val="21"/>
              </w:rPr>
            </w:pPr>
            <w:r>
              <w:rPr>
                <w:color w:val="000000"/>
                <w:szCs w:val="21"/>
              </w:rPr>
              <w:t>科技创新大会经费</w:t>
            </w:r>
          </w:p>
        </w:tc>
      </w:tr>
      <w:tr>
        <w:tblPrEx>
          <w:tblCellMar>
            <w:top w:w="0" w:type="dxa"/>
            <w:left w:w="0" w:type="dxa"/>
            <w:bottom w:w="0" w:type="dxa"/>
            <w:right w:w="0" w:type="dxa"/>
          </w:tblCellMar>
        </w:tblPrEx>
        <w:trPr>
          <w:trHeight w:val="276" w:hRule="atLeast"/>
        </w:trPr>
        <w:tc>
          <w:tcPr>
            <w:tcW w:w="350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预算单位</w:t>
            </w:r>
          </w:p>
        </w:tc>
        <w:tc>
          <w:tcPr>
            <w:tcW w:w="691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攀枝花市科学技术局</w:t>
            </w:r>
          </w:p>
        </w:tc>
      </w:tr>
      <w:tr>
        <w:tblPrEx>
          <w:tblCellMar>
            <w:top w:w="0" w:type="dxa"/>
            <w:left w:w="0" w:type="dxa"/>
            <w:bottom w:w="0" w:type="dxa"/>
            <w:right w:w="0" w:type="dxa"/>
          </w:tblCellMar>
        </w:tblPrEx>
        <w:trPr>
          <w:trHeight w:val="257" w:hRule="atLeast"/>
        </w:trPr>
        <w:tc>
          <w:tcPr>
            <w:tcW w:w="8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预算执行情况(万元)</w:t>
            </w:r>
          </w:p>
        </w:tc>
        <w:tc>
          <w:tcPr>
            <w:tcW w:w="26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预算数:</w:t>
            </w:r>
          </w:p>
        </w:tc>
        <w:tc>
          <w:tcPr>
            <w:tcW w:w="2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112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112</w:t>
            </w:r>
          </w:p>
        </w:tc>
      </w:tr>
      <w:tr>
        <w:tblPrEx>
          <w:tblCellMar>
            <w:top w:w="0" w:type="dxa"/>
            <w:left w:w="0" w:type="dxa"/>
            <w:bottom w:w="0" w:type="dxa"/>
            <w:right w:w="0" w:type="dxa"/>
          </w:tblCellMar>
        </w:tblPrEx>
        <w:trPr>
          <w:trHeight w:val="245" w:hRule="atLeast"/>
        </w:trPr>
        <w:tc>
          <w:tcPr>
            <w:tcW w:w="8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Cs w:val="21"/>
              </w:rPr>
            </w:pPr>
          </w:p>
        </w:tc>
        <w:tc>
          <w:tcPr>
            <w:tcW w:w="26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其中-财政拨款:</w:t>
            </w:r>
          </w:p>
        </w:tc>
        <w:tc>
          <w:tcPr>
            <w:tcW w:w="2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112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112</w:t>
            </w:r>
          </w:p>
        </w:tc>
      </w:tr>
      <w:tr>
        <w:tblPrEx>
          <w:tblCellMar>
            <w:top w:w="0" w:type="dxa"/>
            <w:left w:w="0" w:type="dxa"/>
            <w:bottom w:w="0" w:type="dxa"/>
            <w:right w:w="0" w:type="dxa"/>
          </w:tblCellMar>
        </w:tblPrEx>
        <w:trPr>
          <w:trHeight w:val="343" w:hRule="atLeast"/>
        </w:trPr>
        <w:tc>
          <w:tcPr>
            <w:tcW w:w="8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Cs w:val="21"/>
              </w:rPr>
            </w:pPr>
          </w:p>
        </w:tc>
        <w:tc>
          <w:tcPr>
            <w:tcW w:w="26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其它资金:</w:t>
            </w:r>
          </w:p>
        </w:tc>
        <w:tc>
          <w:tcPr>
            <w:tcW w:w="2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Cs w:val="21"/>
              </w:rPr>
            </w:pPr>
          </w:p>
        </w:tc>
      </w:tr>
      <w:tr>
        <w:tblPrEx>
          <w:tblCellMar>
            <w:top w:w="0" w:type="dxa"/>
            <w:left w:w="0" w:type="dxa"/>
            <w:bottom w:w="0" w:type="dxa"/>
            <w:right w:w="0" w:type="dxa"/>
          </w:tblCellMar>
        </w:tblPrEx>
        <w:trPr>
          <w:trHeight w:val="276" w:hRule="atLeast"/>
        </w:trPr>
        <w:tc>
          <w:tcPr>
            <w:tcW w:w="8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年度目标完成情况</w:t>
            </w:r>
          </w:p>
        </w:tc>
        <w:tc>
          <w:tcPr>
            <w:tcW w:w="475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实际完成目标</w:t>
            </w:r>
          </w:p>
        </w:tc>
      </w:tr>
      <w:tr>
        <w:tblPrEx>
          <w:tblCellMar>
            <w:top w:w="0" w:type="dxa"/>
            <w:left w:w="0" w:type="dxa"/>
            <w:bottom w:w="0" w:type="dxa"/>
            <w:right w:w="0" w:type="dxa"/>
          </w:tblCellMar>
        </w:tblPrEx>
        <w:trPr>
          <w:trHeight w:val="975" w:hRule="atLeast"/>
        </w:trPr>
        <w:tc>
          <w:tcPr>
            <w:tcW w:w="8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Cs w:val="21"/>
              </w:rPr>
            </w:pPr>
          </w:p>
        </w:tc>
        <w:tc>
          <w:tcPr>
            <w:tcW w:w="475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Cs w:val="21"/>
              </w:rPr>
            </w:pPr>
            <w:r>
              <w:rPr>
                <w:color w:val="000000"/>
                <w:szCs w:val="21"/>
              </w:rPr>
              <w:t>总结攀枝花建设55周年以来全市科技创新工作，全面贯彻国家科技发展创新战略，表彰奖励一批有突出贡献的科技人员、创新团队，部署新时期科技创新任务。</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color w:val="000000"/>
                <w:szCs w:val="21"/>
              </w:rPr>
            </w:pPr>
            <w:r>
              <w:rPr>
                <w:color w:val="000000"/>
                <w:szCs w:val="21"/>
              </w:rPr>
              <w:t>本次科技创新大会取得圆满成功，总结了建市以来科技工作成就，安排部署了新时期科技创新工作，表彰了50名建市以来全市科技创新杰出人物，宣传展示取得重大科技创新成果；出台《攀枝花市加强科技创新的实施意见》；签订了“厅市合作”等相关协议</w:t>
            </w:r>
            <w:r>
              <w:rPr>
                <w:rFonts w:hint="eastAsia"/>
                <w:color w:val="000000"/>
                <w:szCs w:val="21"/>
              </w:rPr>
              <w:t>。</w:t>
            </w:r>
          </w:p>
        </w:tc>
      </w:tr>
      <w:tr>
        <w:tblPrEx>
          <w:tblCellMar>
            <w:top w:w="0" w:type="dxa"/>
            <w:left w:w="0" w:type="dxa"/>
            <w:bottom w:w="0" w:type="dxa"/>
            <w:right w:w="0" w:type="dxa"/>
          </w:tblCellMar>
        </w:tblPrEx>
        <w:trPr>
          <w:trHeight w:val="559" w:hRule="atLeast"/>
        </w:trPr>
        <w:tc>
          <w:tcPr>
            <w:tcW w:w="88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绩效指标完成情况</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一级指标</w:t>
            </w:r>
          </w:p>
        </w:tc>
        <w:tc>
          <w:tcPr>
            <w:tcW w:w="1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二级指标</w:t>
            </w:r>
          </w:p>
        </w:tc>
        <w:tc>
          <w:tcPr>
            <w:tcW w:w="2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实际完成指标值(包含数字及文字描述)</w:t>
            </w:r>
          </w:p>
        </w:tc>
      </w:tr>
      <w:tr>
        <w:tblPrEx>
          <w:tblCellMar>
            <w:top w:w="0" w:type="dxa"/>
            <w:left w:w="0" w:type="dxa"/>
            <w:bottom w:w="0" w:type="dxa"/>
            <w:right w:w="0" w:type="dxa"/>
          </w:tblCellMar>
        </w:tblPrEx>
        <w:trPr>
          <w:trHeight w:val="560" w:hRule="atLeast"/>
        </w:trPr>
        <w:tc>
          <w:tcPr>
            <w:tcW w:w="8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项目完成指标</w:t>
            </w:r>
          </w:p>
        </w:tc>
        <w:tc>
          <w:tcPr>
            <w:tcW w:w="1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t>数量指标</w:t>
            </w:r>
          </w:p>
        </w:tc>
        <w:tc>
          <w:tcPr>
            <w:tcW w:w="2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大会前期准备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会场布置、表彰奖励，拍摄宣传片等</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完全达到预期指标</w:t>
            </w:r>
          </w:p>
        </w:tc>
      </w:tr>
      <w:tr>
        <w:tblPrEx>
          <w:tblCellMar>
            <w:top w:w="0" w:type="dxa"/>
            <w:left w:w="0" w:type="dxa"/>
            <w:bottom w:w="0" w:type="dxa"/>
            <w:right w:w="0" w:type="dxa"/>
          </w:tblCellMar>
        </w:tblPrEx>
        <w:trPr>
          <w:trHeight w:val="529" w:hRule="atLeast"/>
        </w:trPr>
        <w:tc>
          <w:tcPr>
            <w:tcW w:w="8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项目完成指标</w:t>
            </w:r>
          </w:p>
        </w:tc>
        <w:tc>
          <w:tcPr>
            <w:tcW w:w="1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质量指标</w:t>
            </w:r>
          </w:p>
        </w:tc>
        <w:tc>
          <w:tcPr>
            <w:tcW w:w="2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科技创新大会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圆满举办大会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完全达到预期指标</w:t>
            </w:r>
          </w:p>
        </w:tc>
      </w:tr>
      <w:tr>
        <w:tblPrEx>
          <w:tblCellMar>
            <w:top w:w="0" w:type="dxa"/>
            <w:left w:w="0" w:type="dxa"/>
            <w:bottom w:w="0" w:type="dxa"/>
            <w:right w:w="0" w:type="dxa"/>
          </w:tblCellMar>
        </w:tblPrEx>
        <w:trPr>
          <w:trHeight w:val="600" w:hRule="atLeast"/>
        </w:trPr>
        <w:tc>
          <w:tcPr>
            <w:tcW w:w="8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项目完成指标</w:t>
            </w:r>
          </w:p>
        </w:tc>
        <w:tc>
          <w:tcPr>
            <w:tcW w:w="1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时效指标</w:t>
            </w:r>
          </w:p>
        </w:tc>
        <w:tc>
          <w:tcPr>
            <w:tcW w:w="2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2020年1月至5月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2020年1月至5月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按时完成</w:t>
            </w:r>
          </w:p>
        </w:tc>
      </w:tr>
      <w:tr>
        <w:tblPrEx>
          <w:tblCellMar>
            <w:top w:w="0" w:type="dxa"/>
            <w:left w:w="0" w:type="dxa"/>
            <w:bottom w:w="0" w:type="dxa"/>
            <w:right w:w="0" w:type="dxa"/>
          </w:tblCellMar>
        </w:tblPrEx>
        <w:trPr>
          <w:trHeight w:val="553" w:hRule="atLeast"/>
        </w:trPr>
        <w:tc>
          <w:tcPr>
            <w:tcW w:w="8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Cs w:val="21"/>
                <w:lang w:bidi="ar"/>
              </w:rPr>
            </w:pPr>
            <w:r>
              <w:rPr>
                <w:color w:val="000000"/>
                <w:kern w:val="0"/>
                <w:szCs w:val="21"/>
                <w:lang w:bidi="ar"/>
              </w:rPr>
              <w:t>项目完成指标</w:t>
            </w:r>
          </w:p>
        </w:tc>
        <w:tc>
          <w:tcPr>
            <w:tcW w:w="122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成本指标</w:t>
            </w:r>
          </w:p>
        </w:tc>
        <w:tc>
          <w:tcPr>
            <w:tcW w:w="2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会议费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6.83万元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6.83万元</w:t>
            </w:r>
          </w:p>
        </w:tc>
      </w:tr>
      <w:tr>
        <w:tblPrEx>
          <w:tblCellMar>
            <w:top w:w="0" w:type="dxa"/>
            <w:left w:w="0" w:type="dxa"/>
            <w:bottom w:w="0" w:type="dxa"/>
            <w:right w:w="0" w:type="dxa"/>
          </w:tblCellMar>
        </w:tblPrEx>
        <w:trPr>
          <w:trHeight w:val="541" w:hRule="atLeast"/>
        </w:trPr>
        <w:tc>
          <w:tcPr>
            <w:tcW w:w="8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Cs w:val="21"/>
                <w:lang w:bidi="ar"/>
              </w:rPr>
            </w:pPr>
            <w:r>
              <w:rPr>
                <w:color w:val="000000"/>
                <w:kern w:val="0"/>
                <w:szCs w:val="21"/>
                <w:lang w:bidi="ar"/>
              </w:rPr>
              <w:t>项目完成指标</w:t>
            </w:r>
          </w:p>
        </w:tc>
        <w:tc>
          <w:tcPr>
            <w:tcW w:w="12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2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奖励金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59.47万元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59.47万元</w:t>
            </w:r>
          </w:p>
        </w:tc>
      </w:tr>
      <w:tr>
        <w:tblPrEx>
          <w:tblCellMar>
            <w:top w:w="0" w:type="dxa"/>
            <w:left w:w="0" w:type="dxa"/>
            <w:bottom w:w="0" w:type="dxa"/>
            <w:right w:w="0" w:type="dxa"/>
          </w:tblCellMar>
        </w:tblPrEx>
        <w:trPr>
          <w:trHeight w:val="541" w:hRule="atLeast"/>
        </w:trPr>
        <w:tc>
          <w:tcPr>
            <w:tcW w:w="8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Cs w:val="21"/>
                <w:lang w:bidi="ar"/>
              </w:rPr>
            </w:pPr>
            <w:r>
              <w:rPr>
                <w:color w:val="000000"/>
                <w:kern w:val="0"/>
                <w:szCs w:val="21"/>
                <w:lang w:bidi="ar"/>
              </w:rPr>
              <w:t>项目完成指标</w:t>
            </w:r>
          </w:p>
        </w:tc>
        <w:tc>
          <w:tcPr>
            <w:tcW w:w="12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2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宣传费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42.81万元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42.81万元</w:t>
            </w:r>
          </w:p>
        </w:tc>
      </w:tr>
      <w:tr>
        <w:tblPrEx>
          <w:tblCellMar>
            <w:top w:w="0" w:type="dxa"/>
            <w:left w:w="0" w:type="dxa"/>
            <w:bottom w:w="0" w:type="dxa"/>
            <w:right w:w="0" w:type="dxa"/>
          </w:tblCellMar>
        </w:tblPrEx>
        <w:trPr>
          <w:trHeight w:val="379" w:hRule="atLeast"/>
        </w:trPr>
        <w:tc>
          <w:tcPr>
            <w:tcW w:w="8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Cs w:val="21"/>
                <w:lang w:bidi="ar"/>
              </w:rPr>
            </w:pPr>
            <w:r>
              <w:rPr>
                <w:color w:val="000000"/>
                <w:kern w:val="0"/>
                <w:szCs w:val="21"/>
                <w:lang w:bidi="ar"/>
              </w:rPr>
              <w:t>项目完成指标</w:t>
            </w:r>
          </w:p>
        </w:tc>
        <w:tc>
          <w:tcPr>
            <w:tcW w:w="122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2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其他</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2.89万元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2.89万元</w:t>
            </w:r>
          </w:p>
        </w:tc>
      </w:tr>
      <w:tr>
        <w:tblPrEx>
          <w:tblCellMar>
            <w:top w:w="0" w:type="dxa"/>
            <w:left w:w="0" w:type="dxa"/>
            <w:bottom w:w="0" w:type="dxa"/>
            <w:right w:w="0" w:type="dxa"/>
          </w:tblCellMar>
        </w:tblPrEx>
        <w:trPr>
          <w:trHeight w:val="507" w:hRule="atLeast"/>
        </w:trPr>
        <w:tc>
          <w:tcPr>
            <w:tcW w:w="8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效益指标</w:t>
            </w:r>
          </w:p>
        </w:tc>
        <w:tc>
          <w:tcPr>
            <w:tcW w:w="1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经济效益</w:t>
            </w:r>
          </w:p>
          <w:p>
            <w:pPr>
              <w:widowControl/>
              <w:jc w:val="center"/>
              <w:textAlignment w:val="center"/>
              <w:rPr>
                <w:color w:val="000000"/>
                <w:szCs w:val="21"/>
              </w:rPr>
            </w:pPr>
            <w:r>
              <w:rPr>
                <w:color w:val="000000"/>
                <w:szCs w:val="21"/>
              </w:rPr>
              <w:t>指标</w:t>
            </w:r>
          </w:p>
        </w:tc>
        <w:tc>
          <w:tcPr>
            <w:tcW w:w="2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r>
      <w:tr>
        <w:tblPrEx>
          <w:tblCellMar>
            <w:top w:w="0" w:type="dxa"/>
            <w:left w:w="0" w:type="dxa"/>
            <w:bottom w:w="0" w:type="dxa"/>
            <w:right w:w="0" w:type="dxa"/>
          </w:tblCellMar>
        </w:tblPrEx>
        <w:trPr>
          <w:trHeight w:val="829" w:hRule="atLeast"/>
        </w:trPr>
        <w:tc>
          <w:tcPr>
            <w:tcW w:w="8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效益指标</w:t>
            </w:r>
          </w:p>
        </w:tc>
        <w:tc>
          <w:tcPr>
            <w:tcW w:w="1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Cs w:val="21"/>
                <w:lang w:bidi="ar"/>
              </w:rPr>
            </w:pPr>
            <w:r>
              <w:rPr>
                <w:color w:val="000000"/>
                <w:kern w:val="0"/>
                <w:szCs w:val="21"/>
                <w:lang w:bidi="ar"/>
              </w:rPr>
              <w:t>社会效益</w:t>
            </w:r>
          </w:p>
          <w:p>
            <w:pPr>
              <w:widowControl/>
              <w:jc w:val="center"/>
              <w:textAlignment w:val="center"/>
              <w:rPr>
                <w:color w:val="000000"/>
                <w:szCs w:val="21"/>
              </w:rPr>
            </w:pPr>
            <w:r>
              <w:rPr>
                <w:color w:val="000000"/>
                <w:kern w:val="0"/>
                <w:szCs w:val="21"/>
                <w:lang w:bidi="ar"/>
              </w:rPr>
              <w:t>指标</w:t>
            </w:r>
          </w:p>
        </w:tc>
        <w:tc>
          <w:tcPr>
            <w:tcW w:w="2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科技创新大会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Cs w:val="21"/>
              </w:rPr>
            </w:pPr>
            <w:r>
              <w:rPr>
                <w:color w:val="000000"/>
                <w:szCs w:val="21"/>
              </w:rPr>
              <w:t>对建市以来全市科技创新杰出人物进行表彰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Cs w:val="21"/>
              </w:rPr>
            </w:pPr>
            <w:r>
              <w:rPr>
                <w:color w:val="000000"/>
                <w:szCs w:val="21"/>
              </w:rPr>
              <w:t>表彰范围涵盖工业、农业多个领域，增强科技人员荣誉感、责任感和使命感</w:t>
            </w:r>
          </w:p>
        </w:tc>
      </w:tr>
      <w:tr>
        <w:tblPrEx>
          <w:tblCellMar>
            <w:top w:w="0" w:type="dxa"/>
            <w:left w:w="0" w:type="dxa"/>
            <w:bottom w:w="0" w:type="dxa"/>
            <w:right w:w="0" w:type="dxa"/>
          </w:tblCellMar>
        </w:tblPrEx>
        <w:trPr>
          <w:trHeight w:val="492" w:hRule="atLeast"/>
        </w:trPr>
        <w:tc>
          <w:tcPr>
            <w:tcW w:w="8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效益指标</w:t>
            </w:r>
          </w:p>
        </w:tc>
        <w:tc>
          <w:tcPr>
            <w:tcW w:w="1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生态效益</w:t>
            </w:r>
          </w:p>
          <w:p>
            <w:pPr>
              <w:widowControl/>
              <w:jc w:val="center"/>
              <w:textAlignment w:val="center"/>
              <w:rPr>
                <w:color w:val="000000"/>
                <w:szCs w:val="21"/>
              </w:rPr>
            </w:pPr>
            <w:r>
              <w:rPr>
                <w:color w:val="000000"/>
                <w:szCs w:val="21"/>
              </w:rPr>
              <w:t>指标</w:t>
            </w:r>
          </w:p>
        </w:tc>
        <w:tc>
          <w:tcPr>
            <w:tcW w:w="2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r>
      <w:tr>
        <w:tblPrEx>
          <w:tblCellMar>
            <w:top w:w="0" w:type="dxa"/>
            <w:left w:w="0" w:type="dxa"/>
            <w:bottom w:w="0" w:type="dxa"/>
            <w:right w:w="0" w:type="dxa"/>
          </w:tblCellMar>
        </w:tblPrEx>
        <w:trPr>
          <w:trHeight w:val="511" w:hRule="atLeast"/>
        </w:trPr>
        <w:tc>
          <w:tcPr>
            <w:tcW w:w="8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效益指标</w:t>
            </w:r>
          </w:p>
        </w:tc>
        <w:tc>
          <w:tcPr>
            <w:tcW w:w="1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可持续影响指标</w:t>
            </w:r>
          </w:p>
        </w:tc>
        <w:tc>
          <w:tcPr>
            <w:tcW w:w="2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科技创新大会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激发科技创新内生动力</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完全达到预期指标</w:t>
            </w:r>
          </w:p>
        </w:tc>
      </w:tr>
      <w:tr>
        <w:tblPrEx>
          <w:tblCellMar>
            <w:top w:w="0" w:type="dxa"/>
            <w:left w:w="0" w:type="dxa"/>
            <w:bottom w:w="0" w:type="dxa"/>
            <w:right w:w="0" w:type="dxa"/>
          </w:tblCellMar>
        </w:tblPrEx>
        <w:trPr>
          <w:trHeight w:val="469" w:hRule="atLeast"/>
        </w:trPr>
        <w:tc>
          <w:tcPr>
            <w:tcW w:w="88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满意度指标</w:t>
            </w:r>
          </w:p>
        </w:tc>
        <w:tc>
          <w:tcPr>
            <w:tcW w:w="1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满意度指标</w:t>
            </w:r>
          </w:p>
        </w:tc>
        <w:tc>
          <w:tcPr>
            <w:tcW w:w="2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完全达到预期指标</w:t>
            </w:r>
          </w:p>
        </w:tc>
      </w:tr>
    </w:tbl>
    <w:p>
      <w:r>
        <w:br w:type="page"/>
      </w:r>
    </w:p>
    <w:tbl>
      <w:tblPr>
        <w:tblStyle w:val="9"/>
        <w:tblpPr w:leftFromText="180" w:rightFromText="180" w:vertAnchor="text" w:horzAnchor="margin" w:tblpXSpec="center" w:tblpY="138"/>
        <w:tblOverlap w:val="never"/>
        <w:tblW w:w="10221" w:type="dxa"/>
        <w:tblInd w:w="0" w:type="dxa"/>
        <w:tblLayout w:type="fixed"/>
        <w:tblCellMar>
          <w:top w:w="0" w:type="dxa"/>
          <w:left w:w="0" w:type="dxa"/>
          <w:bottom w:w="0" w:type="dxa"/>
          <w:right w:w="0" w:type="dxa"/>
        </w:tblCellMar>
      </w:tblPr>
      <w:tblGrid>
        <w:gridCol w:w="882"/>
        <w:gridCol w:w="875"/>
        <w:gridCol w:w="1286"/>
        <w:gridCol w:w="2392"/>
        <w:gridCol w:w="2394"/>
        <w:gridCol w:w="2392"/>
      </w:tblGrid>
      <w:tr>
        <w:tblPrEx>
          <w:tblCellMar>
            <w:top w:w="0" w:type="dxa"/>
            <w:left w:w="0" w:type="dxa"/>
            <w:bottom w:w="0" w:type="dxa"/>
            <w:right w:w="0" w:type="dxa"/>
          </w:tblCellMar>
        </w:tblPrEx>
        <w:trPr>
          <w:trHeight w:val="1034" w:hRule="atLeast"/>
        </w:trPr>
        <w:tc>
          <w:tcPr>
            <w:tcW w:w="10221" w:type="dxa"/>
            <w:gridSpan w:val="6"/>
            <w:tcBorders>
              <w:top w:val="nil"/>
              <w:left w:val="nil"/>
              <w:bottom w:val="single" w:color="auto" w:sz="4" w:space="0"/>
              <w:right w:val="nil"/>
            </w:tcBorders>
            <w:tcMar>
              <w:top w:w="15" w:type="dxa"/>
              <w:left w:w="15" w:type="dxa"/>
              <w:right w:w="15" w:type="dxa"/>
            </w:tcMar>
            <w:vAlign w:val="center"/>
          </w:tcPr>
          <w:p>
            <w:pPr>
              <w:widowControl/>
              <w:jc w:val="center"/>
              <w:textAlignment w:val="center"/>
              <w:rPr>
                <w:rFonts w:hint="eastAsia"/>
                <w:b/>
                <w:bCs/>
                <w:color w:val="000000"/>
                <w:kern w:val="0"/>
                <w:sz w:val="36"/>
                <w:szCs w:val="36"/>
                <w:lang w:bidi="ar"/>
              </w:rPr>
            </w:pPr>
            <w:r>
              <w:rPr>
                <w:b/>
                <w:bCs/>
                <w:color w:val="000000"/>
                <w:kern w:val="0"/>
                <w:sz w:val="36"/>
                <w:szCs w:val="36"/>
                <w:lang w:bidi="ar"/>
              </w:rPr>
              <w:t>项目绩效目标完成情况表</w:t>
            </w:r>
          </w:p>
          <w:p>
            <w:pPr>
              <w:widowControl/>
              <w:jc w:val="center"/>
              <w:textAlignment w:val="center"/>
              <w:rPr>
                <w:color w:val="000000"/>
                <w:sz w:val="36"/>
                <w:szCs w:val="36"/>
              </w:rPr>
            </w:pPr>
            <w:r>
              <w:rPr>
                <w:color w:val="000000"/>
                <w:kern w:val="0"/>
                <w:sz w:val="36"/>
                <w:szCs w:val="36"/>
                <w:lang w:bidi="ar"/>
              </w:rPr>
              <w:t>(2020年度)</w:t>
            </w:r>
          </w:p>
        </w:tc>
      </w:tr>
      <w:tr>
        <w:tblPrEx>
          <w:tblCellMar>
            <w:top w:w="0" w:type="dxa"/>
            <w:left w:w="0" w:type="dxa"/>
            <w:bottom w:w="0" w:type="dxa"/>
            <w:right w:w="0" w:type="dxa"/>
          </w:tblCellMar>
        </w:tblPrEx>
        <w:trPr>
          <w:trHeight w:val="276" w:hRule="atLeast"/>
        </w:trPr>
        <w:tc>
          <w:tcPr>
            <w:tcW w:w="3043" w:type="dxa"/>
            <w:gridSpan w:val="3"/>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项目名称</w:t>
            </w:r>
          </w:p>
        </w:tc>
        <w:tc>
          <w:tcPr>
            <w:tcW w:w="7178" w:type="dxa"/>
            <w:gridSpan w:val="3"/>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1865"/>
              </w:tabs>
              <w:jc w:val="center"/>
              <w:textAlignment w:val="center"/>
              <w:rPr>
                <w:color w:val="000000"/>
                <w:szCs w:val="21"/>
              </w:rPr>
            </w:pPr>
            <w:r>
              <w:rPr>
                <w:color w:val="000000"/>
                <w:szCs w:val="21"/>
              </w:rPr>
              <w:t>科技计划项目管理费</w:t>
            </w:r>
          </w:p>
        </w:tc>
      </w:tr>
      <w:tr>
        <w:tblPrEx>
          <w:tblCellMar>
            <w:top w:w="0" w:type="dxa"/>
            <w:left w:w="0" w:type="dxa"/>
            <w:bottom w:w="0" w:type="dxa"/>
            <w:right w:w="0" w:type="dxa"/>
          </w:tblCellMar>
        </w:tblPrEx>
        <w:trPr>
          <w:trHeight w:val="276" w:hRule="atLeast"/>
        </w:trPr>
        <w:tc>
          <w:tcPr>
            <w:tcW w:w="304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攀枝花市科学技术局</w:t>
            </w:r>
          </w:p>
        </w:tc>
      </w:tr>
      <w:tr>
        <w:tblPrEx>
          <w:tblCellMar>
            <w:top w:w="0" w:type="dxa"/>
            <w:left w:w="0" w:type="dxa"/>
            <w:bottom w:w="0" w:type="dxa"/>
            <w:right w:w="0" w:type="dxa"/>
          </w:tblCellMar>
        </w:tblPrEx>
        <w:trPr>
          <w:trHeight w:val="276" w:hRule="atLeast"/>
        </w:trPr>
        <w:tc>
          <w:tcPr>
            <w:tcW w:w="8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预算执行情况(万元)</w:t>
            </w:r>
          </w:p>
        </w:tc>
        <w:tc>
          <w:tcPr>
            <w:tcW w:w="216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50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50</w:t>
            </w:r>
          </w:p>
        </w:tc>
      </w:tr>
      <w:tr>
        <w:tblPrEx>
          <w:tblCellMar>
            <w:top w:w="0" w:type="dxa"/>
            <w:left w:w="0" w:type="dxa"/>
            <w:bottom w:w="0" w:type="dxa"/>
            <w:right w:w="0" w:type="dxa"/>
          </w:tblCellMar>
        </w:tblPrEx>
        <w:trPr>
          <w:trHeight w:val="276" w:hRule="atLeast"/>
        </w:trPr>
        <w:tc>
          <w:tcPr>
            <w:tcW w:w="8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Cs w:val="21"/>
              </w:rPr>
            </w:pPr>
          </w:p>
        </w:tc>
        <w:tc>
          <w:tcPr>
            <w:tcW w:w="216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50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50</w:t>
            </w:r>
          </w:p>
        </w:tc>
      </w:tr>
      <w:tr>
        <w:tblPrEx>
          <w:tblCellMar>
            <w:top w:w="0" w:type="dxa"/>
            <w:left w:w="0" w:type="dxa"/>
            <w:bottom w:w="0" w:type="dxa"/>
            <w:right w:w="0" w:type="dxa"/>
          </w:tblCellMar>
        </w:tblPrEx>
        <w:trPr>
          <w:trHeight w:val="398" w:hRule="atLeast"/>
        </w:trPr>
        <w:tc>
          <w:tcPr>
            <w:tcW w:w="8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Cs w:val="21"/>
              </w:rPr>
            </w:pPr>
          </w:p>
        </w:tc>
        <w:tc>
          <w:tcPr>
            <w:tcW w:w="216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Cs w:val="21"/>
              </w:rPr>
            </w:pPr>
          </w:p>
        </w:tc>
      </w:tr>
      <w:tr>
        <w:tblPrEx>
          <w:tblCellMar>
            <w:top w:w="0" w:type="dxa"/>
            <w:left w:w="0" w:type="dxa"/>
            <w:bottom w:w="0" w:type="dxa"/>
            <w:right w:w="0" w:type="dxa"/>
          </w:tblCellMar>
        </w:tblPrEx>
        <w:trPr>
          <w:trHeight w:val="276" w:hRule="atLeast"/>
        </w:trPr>
        <w:tc>
          <w:tcPr>
            <w:tcW w:w="8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年度目标完成情况</w:t>
            </w:r>
          </w:p>
        </w:tc>
        <w:tc>
          <w:tcPr>
            <w:tcW w:w="45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实际完成目标</w:t>
            </w:r>
          </w:p>
        </w:tc>
      </w:tr>
      <w:tr>
        <w:tblPrEx>
          <w:tblCellMar>
            <w:top w:w="0" w:type="dxa"/>
            <w:left w:w="0" w:type="dxa"/>
            <w:bottom w:w="0" w:type="dxa"/>
            <w:right w:w="0" w:type="dxa"/>
          </w:tblCellMar>
        </w:tblPrEx>
        <w:trPr>
          <w:trHeight w:val="975" w:hRule="atLeast"/>
        </w:trPr>
        <w:tc>
          <w:tcPr>
            <w:tcW w:w="8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Cs w:val="21"/>
              </w:rPr>
            </w:pPr>
          </w:p>
        </w:tc>
        <w:tc>
          <w:tcPr>
            <w:tcW w:w="45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Cs w:val="21"/>
              </w:rPr>
            </w:pPr>
            <w:r>
              <w:rPr>
                <w:color w:val="000000"/>
                <w:szCs w:val="21"/>
              </w:rPr>
              <w:t>主动对接科技厅了解省级科技计划项目申报动态和资金安排情况，做好省市科技项目征集、管理、专家评审、验收、绩效评价等工作。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Cs w:val="21"/>
              </w:rPr>
            </w:pPr>
            <w:r>
              <w:rPr>
                <w:color w:val="000000"/>
                <w:szCs w:val="21"/>
              </w:rPr>
              <w:t>2020年向上争取项目60项，组织38家单位参加四川省科技计划项目申报、管理、验收培训会，完成2020年市级项目申报评审、项目立项、任务书签订、资金下达等工作，组织完成省、市级项目验收151项。</w:t>
            </w:r>
          </w:p>
        </w:tc>
      </w:tr>
      <w:tr>
        <w:tblPrEx>
          <w:tblCellMar>
            <w:top w:w="0" w:type="dxa"/>
            <w:left w:w="0" w:type="dxa"/>
            <w:bottom w:w="0" w:type="dxa"/>
            <w:right w:w="0" w:type="dxa"/>
          </w:tblCellMar>
        </w:tblPrEx>
        <w:trPr>
          <w:trHeight w:val="664" w:hRule="atLeast"/>
        </w:trPr>
        <w:tc>
          <w:tcPr>
            <w:tcW w:w="88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绩效指标完成情况</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一级指标</w:t>
            </w: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实际完成指标值(包含数字及文字描述)</w:t>
            </w:r>
          </w:p>
        </w:tc>
      </w:tr>
      <w:tr>
        <w:tblPrEx>
          <w:tblCellMar>
            <w:top w:w="0" w:type="dxa"/>
            <w:left w:w="0" w:type="dxa"/>
            <w:bottom w:w="0" w:type="dxa"/>
            <w:right w:w="0" w:type="dxa"/>
          </w:tblCellMar>
        </w:tblPrEx>
        <w:trPr>
          <w:trHeight w:val="738" w:hRule="atLeast"/>
        </w:trPr>
        <w:tc>
          <w:tcPr>
            <w:tcW w:w="8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项目完成指标</w:t>
            </w: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争取项目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争取项目60项，安排市级项目42项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完全达到预期指标</w:t>
            </w:r>
          </w:p>
        </w:tc>
      </w:tr>
      <w:tr>
        <w:tblPrEx>
          <w:tblCellMar>
            <w:top w:w="0" w:type="dxa"/>
            <w:left w:w="0" w:type="dxa"/>
            <w:bottom w:w="0" w:type="dxa"/>
            <w:right w:w="0" w:type="dxa"/>
          </w:tblCellMar>
        </w:tblPrEx>
        <w:trPr>
          <w:trHeight w:val="795" w:hRule="atLeast"/>
        </w:trPr>
        <w:tc>
          <w:tcPr>
            <w:tcW w:w="8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项目完成指标</w:t>
            </w: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t>完成省、市级项目验收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t>151项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完全达到预期指标</w:t>
            </w:r>
          </w:p>
        </w:tc>
      </w:tr>
      <w:tr>
        <w:tblPrEx>
          <w:tblCellMar>
            <w:top w:w="0" w:type="dxa"/>
            <w:left w:w="0" w:type="dxa"/>
            <w:bottom w:w="0" w:type="dxa"/>
            <w:right w:w="0" w:type="dxa"/>
          </w:tblCellMar>
        </w:tblPrEx>
        <w:trPr>
          <w:trHeight w:val="743" w:hRule="atLeast"/>
        </w:trPr>
        <w:tc>
          <w:tcPr>
            <w:tcW w:w="8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项目完成指标</w:t>
            </w: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全年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全年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完全达到预期指标</w:t>
            </w:r>
          </w:p>
        </w:tc>
      </w:tr>
      <w:tr>
        <w:tblPrEx>
          <w:tblCellMar>
            <w:top w:w="0" w:type="dxa"/>
            <w:left w:w="0" w:type="dxa"/>
            <w:bottom w:w="0" w:type="dxa"/>
            <w:right w:w="0" w:type="dxa"/>
          </w:tblCellMar>
        </w:tblPrEx>
        <w:trPr>
          <w:trHeight w:val="719" w:hRule="atLeast"/>
        </w:trPr>
        <w:tc>
          <w:tcPr>
            <w:tcW w:w="8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Cs w:val="21"/>
                <w:lang w:bidi="ar"/>
              </w:rPr>
            </w:pPr>
            <w:r>
              <w:rPr>
                <w:color w:val="000000"/>
                <w:kern w:val="0"/>
                <w:szCs w:val="21"/>
                <w:lang w:bidi="ar"/>
              </w:rPr>
              <w:t>项目完成指标</w:t>
            </w:r>
          </w:p>
        </w:tc>
        <w:tc>
          <w:tcPr>
            <w:tcW w:w="1286"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科技计划项目管理费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50万元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用于办公、差旅、劳务等支出</w:t>
            </w:r>
          </w:p>
        </w:tc>
      </w:tr>
      <w:tr>
        <w:tblPrEx>
          <w:tblCellMar>
            <w:top w:w="0" w:type="dxa"/>
            <w:left w:w="0" w:type="dxa"/>
            <w:bottom w:w="0" w:type="dxa"/>
            <w:right w:w="0" w:type="dxa"/>
          </w:tblCellMar>
        </w:tblPrEx>
        <w:trPr>
          <w:trHeight w:val="648" w:hRule="atLeast"/>
        </w:trPr>
        <w:tc>
          <w:tcPr>
            <w:tcW w:w="8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效益指标</w:t>
            </w: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经济效益</w:t>
            </w:r>
          </w:p>
          <w:p>
            <w:pPr>
              <w:widowControl/>
              <w:jc w:val="center"/>
              <w:textAlignment w:val="center"/>
              <w:rPr>
                <w:color w:val="000000"/>
                <w:szCs w:val="21"/>
              </w:rPr>
            </w:pPr>
            <w:r>
              <w:rPr>
                <w:color w:val="000000"/>
                <w:szCs w:val="21"/>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争取项目资金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安排市级项目经费399万元、省级经费8524.06万元、国家经费250万元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安排市级项目经费399万元、省级经费8524.06万元、国家经费250万元</w:t>
            </w:r>
          </w:p>
        </w:tc>
      </w:tr>
      <w:tr>
        <w:tblPrEx>
          <w:tblCellMar>
            <w:top w:w="0" w:type="dxa"/>
            <w:left w:w="0" w:type="dxa"/>
            <w:bottom w:w="0" w:type="dxa"/>
            <w:right w:w="0" w:type="dxa"/>
          </w:tblCellMar>
        </w:tblPrEx>
        <w:trPr>
          <w:trHeight w:val="720" w:hRule="atLeast"/>
        </w:trPr>
        <w:tc>
          <w:tcPr>
            <w:tcW w:w="8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效益指标</w:t>
            </w: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Cs w:val="21"/>
                <w:lang w:bidi="ar"/>
              </w:rPr>
            </w:pPr>
            <w:r>
              <w:rPr>
                <w:color w:val="000000"/>
                <w:kern w:val="0"/>
                <w:szCs w:val="21"/>
                <w:lang w:bidi="ar"/>
              </w:rPr>
              <w:t>社会效益</w:t>
            </w:r>
          </w:p>
          <w:p>
            <w:pPr>
              <w:widowControl/>
              <w:jc w:val="center"/>
              <w:textAlignment w:val="center"/>
              <w:rPr>
                <w:color w:val="000000"/>
                <w:szCs w:val="21"/>
              </w:rPr>
            </w:pPr>
            <w:r>
              <w:rPr>
                <w:color w:val="000000"/>
                <w:kern w:val="0"/>
                <w:szCs w:val="21"/>
                <w:lang w:bidi="ar"/>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科技计划项目管理费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Cs w:val="21"/>
              </w:rPr>
            </w:pPr>
            <w:r>
              <w:rPr>
                <w:color w:val="000000"/>
                <w:szCs w:val="21"/>
              </w:rPr>
              <w:t>提高项目组织实施管理和省级项目申报质量，项目结题验收率显著提升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项目结题验收率达98.4%</w:t>
            </w:r>
          </w:p>
        </w:tc>
      </w:tr>
      <w:tr>
        <w:tblPrEx>
          <w:tblCellMar>
            <w:top w:w="0" w:type="dxa"/>
            <w:left w:w="0" w:type="dxa"/>
            <w:bottom w:w="0" w:type="dxa"/>
            <w:right w:w="0" w:type="dxa"/>
          </w:tblCellMar>
        </w:tblPrEx>
        <w:trPr>
          <w:trHeight w:val="720" w:hRule="atLeast"/>
        </w:trPr>
        <w:tc>
          <w:tcPr>
            <w:tcW w:w="8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效益指标</w:t>
            </w: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生态效益</w:t>
            </w:r>
          </w:p>
          <w:p>
            <w:pPr>
              <w:widowControl/>
              <w:jc w:val="center"/>
              <w:textAlignment w:val="center"/>
              <w:rPr>
                <w:color w:val="000000"/>
                <w:szCs w:val="21"/>
              </w:rPr>
            </w:pPr>
            <w:r>
              <w:rPr>
                <w:color w:val="000000"/>
                <w:szCs w:val="21"/>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企业创新能力提升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Cs w:val="21"/>
              </w:rPr>
            </w:pPr>
            <w:r>
              <w:rPr>
                <w:color w:val="000000"/>
                <w:szCs w:val="21"/>
              </w:rPr>
              <w:t>重点领域关键技术攻关及产业化取得重大突破，提升企业自主创新能力</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Cs w:val="21"/>
              </w:rPr>
            </w:pPr>
            <w:r>
              <w:rPr>
                <w:color w:val="000000"/>
                <w:szCs w:val="21"/>
              </w:rPr>
              <w:t>2019年R&amp;D经费支出占GDP的比重为1.37%，全省排名第四</w:t>
            </w:r>
          </w:p>
        </w:tc>
      </w:tr>
      <w:tr>
        <w:tblPrEx>
          <w:tblCellMar>
            <w:top w:w="0" w:type="dxa"/>
            <w:left w:w="0" w:type="dxa"/>
            <w:bottom w:w="0" w:type="dxa"/>
            <w:right w:w="0" w:type="dxa"/>
          </w:tblCellMar>
        </w:tblPrEx>
        <w:trPr>
          <w:trHeight w:val="735" w:hRule="atLeast"/>
        </w:trPr>
        <w:tc>
          <w:tcPr>
            <w:tcW w:w="8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效益指标</w:t>
            </w: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科技计划项目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Cs w:val="21"/>
              </w:rPr>
            </w:pPr>
            <w:r>
              <w:rPr>
                <w:color w:val="000000"/>
                <w:szCs w:val="21"/>
              </w:rPr>
              <w:t>培育出一批以现代服务业、数字经济、阳光康养等为代表的创新型业态</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Cs w:val="21"/>
              </w:rPr>
            </w:pPr>
            <w:r>
              <w:rPr>
                <w:color w:val="000000"/>
                <w:szCs w:val="21"/>
              </w:rPr>
              <w:t>推动形成现代产业体系，为攀枝花高质量发展提供有力支撑</w:t>
            </w:r>
          </w:p>
        </w:tc>
      </w:tr>
      <w:tr>
        <w:tblPrEx>
          <w:tblCellMar>
            <w:top w:w="0" w:type="dxa"/>
            <w:left w:w="0" w:type="dxa"/>
            <w:bottom w:w="0" w:type="dxa"/>
            <w:right w:w="0" w:type="dxa"/>
          </w:tblCellMar>
        </w:tblPrEx>
        <w:trPr>
          <w:trHeight w:val="749" w:hRule="atLeast"/>
        </w:trPr>
        <w:tc>
          <w:tcPr>
            <w:tcW w:w="88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满意度指标</w:t>
            </w: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企业满意度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w:t>
            </w:r>
            <w:r>
              <w:rPr>
                <w:rFonts w:hint="eastAsia"/>
                <w:color w:val="000000"/>
                <w:szCs w:val="21"/>
              </w:rPr>
              <w:t>9</w:t>
            </w:r>
            <w:r>
              <w:rPr>
                <w:color w:val="000000"/>
                <w:szCs w:val="21"/>
              </w:rPr>
              <w:t>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完全达到预期指标</w:t>
            </w:r>
          </w:p>
        </w:tc>
      </w:tr>
    </w:tbl>
    <w:p>
      <w:r>
        <w:br w:type="page"/>
      </w:r>
    </w:p>
    <w:tbl>
      <w:tblPr>
        <w:tblStyle w:val="9"/>
        <w:tblpPr w:leftFromText="180" w:rightFromText="180" w:vertAnchor="text" w:horzAnchor="page" w:tblpX="1055" w:tblpY="114"/>
        <w:tblOverlap w:val="never"/>
        <w:tblW w:w="10221" w:type="dxa"/>
        <w:tblInd w:w="0" w:type="dxa"/>
        <w:tblLayout w:type="fixed"/>
        <w:tblCellMar>
          <w:top w:w="0" w:type="dxa"/>
          <w:left w:w="0" w:type="dxa"/>
          <w:bottom w:w="0" w:type="dxa"/>
          <w:right w:w="0" w:type="dxa"/>
        </w:tblCellMar>
      </w:tblPr>
      <w:tblGrid>
        <w:gridCol w:w="882"/>
        <w:gridCol w:w="875"/>
        <w:gridCol w:w="1286"/>
        <w:gridCol w:w="2392"/>
        <w:gridCol w:w="2394"/>
        <w:gridCol w:w="2392"/>
      </w:tblGrid>
      <w:tr>
        <w:tblPrEx>
          <w:tblCellMar>
            <w:top w:w="0" w:type="dxa"/>
            <w:left w:w="0" w:type="dxa"/>
            <w:bottom w:w="0" w:type="dxa"/>
            <w:right w:w="0" w:type="dxa"/>
          </w:tblCellMar>
        </w:tblPrEx>
        <w:trPr>
          <w:trHeight w:val="1034" w:hRule="atLeast"/>
        </w:trPr>
        <w:tc>
          <w:tcPr>
            <w:tcW w:w="10221"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hint="eastAsia"/>
                <w:b/>
                <w:bCs/>
                <w:color w:val="000000"/>
                <w:kern w:val="0"/>
                <w:sz w:val="36"/>
                <w:szCs w:val="36"/>
                <w:lang w:bidi="ar"/>
              </w:rPr>
            </w:pPr>
            <w:r>
              <w:rPr>
                <w:b/>
                <w:bCs/>
                <w:color w:val="000000"/>
                <w:kern w:val="0"/>
                <w:sz w:val="36"/>
                <w:szCs w:val="36"/>
                <w:lang w:bidi="ar"/>
              </w:rPr>
              <w:t>项目绩效目标完成情况表</w:t>
            </w:r>
          </w:p>
          <w:p>
            <w:pPr>
              <w:widowControl/>
              <w:jc w:val="center"/>
              <w:textAlignment w:val="center"/>
              <w:rPr>
                <w:color w:val="000000"/>
                <w:sz w:val="36"/>
                <w:szCs w:val="36"/>
              </w:rPr>
            </w:pPr>
            <w:r>
              <w:rPr>
                <w:color w:val="000000"/>
                <w:kern w:val="0"/>
                <w:sz w:val="36"/>
                <w:szCs w:val="36"/>
                <w:lang w:bidi="ar"/>
              </w:rPr>
              <w:t>(2020年度)</w:t>
            </w:r>
          </w:p>
        </w:tc>
      </w:tr>
      <w:tr>
        <w:tblPrEx>
          <w:tblCellMar>
            <w:top w:w="0" w:type="dxa"/>
            <w:left w:w="0" w:type="dxa"/>
            <w:bottom w:w="0" w:type="dxa"/>
            <w:right w:w="0" w:type="dxa"/>
          </w:tblCellMar>
        </w:tblPrEx>
        <w:trPr>
          <w:trHeight w:val="276" w:hRule="atLeast"/>
        </w:trPr>
        <w:tc>
          <w:tcPr>
            <w:tcW w:w="304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1865"/>
              </w:tabs>
              <w:jc w:val="center"/>
              <w:textAlignment w:val="center"/>
              <w:rPr>
                <w:color w:val="000000"/>
                <w:szCs w:val="21"/>
              </w:rPr>
            </w:pPr>
            <w:r>
              <w:rPr>
                <w:color w:val="000000"/>
                <w:szCs w:val="21"/>
              </w:rPr>
              <w:t>科技招商专项资金</w:t>
            </w:r>
          </w:p>
        </w:tc>
      </w:tr>
      <w:tr>
        <w:tblPrEx>
          <w:tblCellMar>
            <w:top w:w="0" w:type="dxa"/>
            <w:left w:w="0" w:type="dxa"/>
            <w:bottom w:w="0" w:type="dxa"/>
            <w:right w:w="0" w:type="dxa"/>
          </w:tblCellMar>
        </w:tblPrEx>
        <w:trPr>
          <w:trHeight w:val="276" w:hRule="atLeast"/>
        </w:trPr>
        <w:tc>
          <w:tcPr>
            <w:tcW w:w="304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攀枝花市科学技术局</w:t>
            </w:r>
          </w:p>
        </w:tc>
      </w:tr>
      <w:tr>
        <w:tblPrEx>
          <w:tblCellMar>
            <w:top w:w="0" w:type="dxa"/>
            <w:left w:w="0" w:type="dxa"/>
            <w:bottom w:w="0" w:type="dxa"/>
            <w:right w:w="0" w:type="dxa"/>
          </w:tblCellMar>
        </w:tblPrEx>
        <w:trPr>
          <w:trHeight w:val="276" w:hRule="atLeast"/>
        </w:trPr>
        <w:tc>
          <w:tcPr>
            <w:tcW w:w="8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预算执行情况(万元)</w:t>
            </w:r>
          </w:p>
        </w:tc>
        <w:tc>
          <w:tcPr>
            <w:tcW w:w="216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16.12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16.12</w:t>
            </w:r>
          </w:p>
        </w:tc>
      </w:tr>
      <w:tr>
        <w:tblPrEx>
          <w:tblCellMar>
            <w:top w:w="0" w:type="dxa"/>
            <w:left w:w="0" w:type="dxa"/>
            <w:bottom w:w="0" w:type="dxa"/>
            <w:right w:w="0" w:type="dxa"/>
          </w:tblCellMar>
        </w:tblPrEx>
        <w:trPr>
          <w:trHeight w:val="276" w:hRule="atLeast"/>
        </w:trPr>
        <w:tc>
          <w:tcPr>
            <w:tcW w:w="8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Cs w:val="21"/>
              </w:rPr>
            </w:pPr>
          </w:p>
        </w:tc>
        <w:tc>
          <w:tcPr>
            <w:tcW w:w="216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16.12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16.12</w:t>
            </w:r>
          </w:p>
        </w:tc>
      </w:tr>
      <w:tr>
        <w:tblPrEx>
          <w:tblCellMar>
            <w:top w:w="0" w:type="dxa"/>
            <w:left w:w="0" w:type="dxa"/>
            <w:bottom w:w="0" w:type="dxa"/>
            <w:right w:w="0" w:type="dxa"/>
          </w:tblCellMar>
        </w:tblPrEx>
        <w:trPr>
          <w:trHeight w:val="247" w:hRule="atLeast"/>
        </w:trPr>
        <w:tc>
          <w:tcPr>
            <w:tcW w:w="8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Cs w:val="21"/>
              </w:rPr>
            </w:pPr>
          </w:p>
        </w:tc>
        <w:tc>
          <w:tcPr>
            <w:tcW w:w="216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Cs w:val="21"/>
              </w:rPr>
            </w:pPr>
          </w:p>
        </w:tc>
      </w:tr>
      <w:tr>
        <w:tblPrEx>
          <w:tblCellMar>
            <w:top w:w="0" w:type="dxa"/>
            <w:left w:w="0" w:type="dxa"/>
            <w:bottom w:w="0" w:type="dxa"/>
            <w:right w:w="0" w:type="dxa"/>
          </w:tblCellMar>
        </w:tblPrEx>
        <w:trPr>
          <w:trHeight w:val="276" w:hRule="atLeast"/>
        </w:trPr>
        <w:tc>
          <w:tcPr>
            <w:tcW w:w="8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年度目标完成情况</w:t>
            </w:r>
          </w:p>
        </w:tc>
        <w:tc>
          <w:tcPr>
            <w:tcW w:w="45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实际完成目标</w:t>
            </w:r>
          </w:p>
        </w:tc>
      </w:tr>
      <w:tr>
        <w:tblPrEx>
          <w:tblCellMar>
            <w:top w:w="0" w:type="dxa"/>
            <w:left w:w="0" w:type="dxa"/>
            <w:bottom w:w="0" w:type="dxa"/>
            <w:right w:w="0" w:type="dxa"/>
          </w:tblCellMar>
        </w:tblPrEx>
        <w:trPr>
          <w:trHeight w:val="975" w:hRule="atLeast"/>
        </w:trPr>
        <w:tc>
          <w:tcPr>
            <w:tcW w:w="8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Cs w:val="21"/>
              </w:rPr>
            </w:pPr>
          </w:p>
        </w:tc>
        <w:tc>
          <w:tcPr>
            <w:tcW w:w="455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Cs w:val="21"/>
              </w:rPr>
            </w:pPr>
            <w:r>
              <w:rPr>
                <w:color w:val="000000"/>
                <w:szCs w:val="21"/>
              </w:rPr>
              <w:t>积极对接高校、院所、企业引进共建研究院、重点实验室等科研机构，集聚2家科研机构入驻“两城”。</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Cs w:val="21"/>
              </w:rPr>
            </w:pPr>
            <w:r>
              <w:rPr>
                <w:color w:val="000000"/>
                <w:szCs w:val="21"/>
              </w:rPr>
              <w:t>制定科技招商工作方案，对县区、园区招商任务进行细化分解，组成科技招商小分队，分批分次赴省内外高校、科研院所、高技术企业等目标单位，组织到海口、湛江、广州、徐州、宝鸡等地开展了招商活动，争取省级国外引智项目6项，推动项目落地。</w:t>
            </w:r>
          </w:p>
        </w:tc>
      </w:tr>
      <w:tr>
        <w:tblPrEx>
          <w:tblCellMar>
            <w:top w:w="0" w:type="dxa"/>
            <w:left w:w="0" w:type="dxa"/>
            <w:bottom w:w="0" w:type="dxa"/>
            <w:right w:w="0" w:type="dxa"/>
          </w:tblCellMar>
        </w:tblPrEx>
        <w:trPr>
          <w:trHeight w:val="664" w:hRule="atLeast"/>
        </w:trPr>
        <w:tc>
          <w:tcPr>
            <w:tcW w:w="88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绩效指标完成情况</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一级指标</w:t>
            </w: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实际完成指标值(包含数字及文字描述)</w:t>
            </w:r>
          </w:p>
        </w:tc>
      </w:tr>
      <w:tr>
        <w:tblPrEx>
          <w:tblCellMar>
            <w:top w:w="0" w:type="dxa"/>
            <w:left w:w="0" w:type="dxa"/>
            <w:bottom w:w="0" w:type="dxa"/>
            <w:right w:w="0" w:type="dxa"/>
          </w:tblCellMar>
        </w:tblPrEx>
        <w:trPr>
          <w:trHeight w:val="367" w:hRule="atLeast"/>
        </w:trPr>
        <w:tc>
          <w:tcPr>
            <w:tcW w:w="8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875"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项目完成指标</w:t>
            </w:r>
          </w:p>
        </w:tc>
        <w:tc>
          <w:tcPr>
            <w:tcW w:w="1286"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Cs w:val="21"/>
              </w:rPr>
            </w:pPr>
            <w:r>
              <w:rPr>
                <w:color w:val="000000"/>
                <w:szCs w:val="21"/>
              </w:rPr>
              <w:t>引进科研机构入驻“两城”</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Cs w:val="21"/>
              </w:rPr>
            </w:pPr>
            <w:r>
              <w:rPr>
                <w:color w:val="000000"/>
                <w:szCs w:val="21"/>
              </w:rPr>
              <w:t>集聚 2 家科研机构入驻“两城”</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完全达到预期指标</w:t>
            </w:r>
          </w:p>
        </w:tc>
      </w:tr>
      <w:tr>
        <w:tblPrEx>
          <w:tblCellMar>
            <w:top w:w="0" w:type="dxa"/>
            <w:left w:w="0" w:type="dxa"/>
            <w:bottom w:w="0" w:type="dxa"/>
            <w:right w:w="0" w:type="dxa"/>
          </w:tblCellMar>
        </w:tblPrEx>
        <w:trPr>
          <w:trHeight w:val="577" w:hRule="atLeast"/>
        </w:trPr>
        <w:tc>
          <w:tcPr>
            <w:tcW w:w="8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875"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项目完成指标</w:t>
            </w:r>
          </w:p>
        </w:tc>
        <w:tc>
          <w:tcPr>
            <w:tcW w:w="1286"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科技招商专项资金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Cs w:val="21"/>
              </w:rPr>
            </w:pPr>
            <w:r>
              <w:rPr>
                <w:color w:val="000000"/>
                <w:szCs w:val="21"/>
              </w:rPr>
              <w:t>积极对接高校、院所、企业引进共建研究院、重点实验室等科研机构</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完全达到预期指标</w:t>
            </w:r>
          </w:p>
        </w:tc>
      </w:tr>
      <w:tr>
        <w:tblPrEx>
          <w:tblCellMar>
            <w:top w:w="0" w:type="dxa"/>
            <w:left w:w="0" w:type="dxa"/>
            <w:bottom w:w="0" w:type="dxa"/>
            <w:right w:w="0" w:type="dxa"/>
          </w:tblCellMar>
        </w:tblPrEx>
        <w:trPr>
          <w:trHeight w:val="743" w:hRule="atLeast"/>
        </w:trPr>
        <w:tc>
          <w:tcPr>
            <w:tcW w:w="8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项目完成指标</w:t>
            </w: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全年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全年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完全达到预期指标</w:t>
            </w:r>
          </w:p>
        </w:tc>
      </w:tr>
      <w:tr>
        <w:tblPrEx>
          <w:tblCellMar>
            <w:top w:w="0" w:type="dxa"/>
            <w:left w:w="0" w:type="dxa"/>
            <w:bottom w:w="0" w:type="dxa"/>
            <w:right w:w="0" w:type="dxa"/>
          </w:tblCellMar>
        </w:tblPrEx>
        <w:trPr>
          <w:trHeight w:val="719" w:hRule="atLeast"/>
        </w:trPr>
        <w:tc>
          <w:tcPr>
            <w:tcW w:w="8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Cs w:val="21"/>
                <w:lang w:bidi="ar"/>
              </w:rPr>
            </w:pPr>
            <w:r>
              <w:rPr>
                <w:color w:val="000000"/>
                <w:kern w:val="0"/>
                <w:szCs w:val="21"/>
                <w:lang w:bidi="ar"/>
              </w:rPr>
              <w:t>项目完成指标</w:t>
            </w:r>
          </w:p>
        </w:tc>
        <w:tc>
          <w:tcPr>
            <w:tcW w:w="1286"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Cs w:val="21"/>
              </w:rPr>
            </w:pPr>
            <w:r>
              <w:rPr>
                <w:color w:val="000000"/>
                <w:szCs w:val="21"/>
              </w:rPr>
              <w:t>开展科技招商、科技交流对接等活动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Cs w:val="21"/>
              </w:rPr>
            </w:pPr>
            <w:r>
              <w:rPr>
                <w:color w:val="000000"/>
                <w:szCs w:val="21"/>
              </w:rPr>
              <w:t>开展科技招商、科技交流对接等相关费用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完全达到预期指标</w:t>
            </w:r>
          </w:p>
        </w:tc>
      </w:tr>
      <w:tr>
        <w:tblPrEx>
          <w:tblCellMar>
            <w:top w:w="0" w:type="dxa"/>
            <w:left w:w="0" w:type="dxa"/>
            <w:bottom w:w="0" w:type="dxa"/>
            <w:right w:w="0" w:type="dxa"/>
          </w:tblCellMar>
        </w:tblPrEx>
        <w:trPr>
          <w:trHeight w:val="648" w:hRule="atLeast"/>
        </w:trPr>
        <w:tc>
          <w:tcPr>
            <w:tcW w:w="8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效益指标</w:t>
            </w: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经济效益</w:t>
            </w:r>
          </w:p>
          <w:p>
            <w:pPr>
              <w:widowControl/>
              <w:jc w:val="center"/>
              <w:textAlignment w:val="center"/>
              <w:rPr>
                <w:color w:val="000000"/>
                <w:szCs w:val="21"/>
              </w:rPr>
            </w:pPr>
            <w:r>
              <w:rPr>
                <w:color w:val="000000"/>
                <w:szCs w:val="21"/>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Cs w:val="21"/>
              </w:rPr>
            </w:pPr>
            <w:r>
              <w:rPr>
                <w:color w:val="000000"/>
                <w:szCs w:val="21"/>
              </w:rPr>
              <w:t>促进合作交流</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Cs w:val="21"/>
              </w:rPr>
            </w:pPr>
            <w:r>
              <w:rPr>
                <w:color w:val="000000"/>
                <w:szCs w:val="21"/>
              </w:rPr>
              <w:t>加强同成渝双城经济圈企业、高校、科研单位加强了沟通联系，搭建起科技创新合作平台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完全达到预期指标</w:t>
            </w:r>
          </w:p>
        </w:tc>
      </w:tr>
      <w:tr>
        <w:tblPrEx>
          <w:tblCellMar>
            <w:top w:w="0" w:type="dxa"/>
            <w:left w:w="0" w:type="dxa"/>
            <w:bottom w:w="0" w:type="dxa"/>
            <w:right w:w="0" w:type="dxa"/>
          </w:tblCellMar>
        </w:tblPrEx>
        <w:trPr>
          <w:trHeight w:val="720" w:hRule="atLeast"/>
        </w:trPr>
        <w:tc>
          <w:tcPr>
            <w:tcW w:w="8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效益指标</w:t>
            </w: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Cs w:val="21"/>
                <w:lang w:bidi="ar"/>
              </w:rPr>
            </w:pPr>
            <w:r>
              <w:rPr>
                <w:color w:val="000000"/>
                <w:kern w:val="0"/>
                <w:szCs w:val="21"/>
                <w:lang w:bidi="ar"/>
              </w:rPr>
              <w:t>社会效益</w:t>
            </w:r>
          </w:p>
          <w:p>
            <w:pPr>
              <w:widowControl/>
              <w:jc w:val="center"/>
              <w:textAlignment w:val="center"/>
              <w:rPr>
                <w:color w:val="000000"/>
                <w:szCs w:val="21"/>
              </w:rPr>
            </w:pPr>
            <w:r>
              <w:rPr>
                <w:color w:val="000000"/>
                <w:kern w:val="0"/>
                <w:szCs w:val="21"/>
                <w:lang w:bidi="ar"/>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Cs w:val="21"/>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r>
      <w:tr>
        <w:tblPrEx>
          <w:tblCellMar>
            <w:top w:w="0" w:type="dxa"/>
            <w:left w:w="0" w:type="dxa"/>
            <w:bottom w:w="0" w:type="dxa"/>
            <w:right w:w="0" w:type="dxa"/>
          </w:tblCellMar>
        </w:tblPrEx>
        <w:trPr>
          <w:trHeight w:val="720" w:hRule="atLeast"/>
        </w:trPr>
        <w:tc>
          <w:tcPr>
            <w:tcW w:w="8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效益指标</w:t>
            </w: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生态效益</w:t>
            </w:r>
          </w:p>
          <w:p>
            <w:pPr>
              <w:widowControl/>
              <w:jc w:val="center"/>
              <w:textAlignment w:val="center"/>
              <w:rPr>
                <w:color w:val="000000"/>
                <w:szCs w:val="21"/>
              </w:rPr>
            </w:pPr>
            <w:r>
              <w:rPr>
                <w:color w:val="000000"/>
                <w:szCs w:val="21"/>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Cs w:val="21"/>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Cs w:val="21"/>
              </w:rPr>
            </w:pPr>
          </w:p>
        </w:tc>
      </w:tr>
      <w:tr>
        <w:tblPrEx>
          <w:tblCellMar>
            <w:top w:w="0" w:type="dxa"/>
            <w:left w:w="0" w:type="dxa"/>
            <w:bottom w:w="0" w:type="dxa"/>
            <w:right w:w="0" w:type="dxa"/>
          </w:tblCellMar>
        </w:tblPrEx>
        <w:trPr>
          <w:trHeight w:val="735" w:hRule="atLeast"/>
        </w:trPr>
        <w:tc>
          <w:tcPr>
            <w:tcW w:w="8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效益指标</w:t>
            </w: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Cs w:val="21"/>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Cs w:val="21"/>
              </w:rPr>
            </w:pPr>
          </w:p>
        </w:tc>
      </w:tr>
      <w:tr>
        <w:tblPrEx>
          <w:tblCellMar>
            <w:top w:w="0" w:type="dxa"/>
            <w:left w:w="0" w:type="dxa"/>
            <w:bottom w:w="0" w:type="dxa"/>
            <w:right w:w="0" w:type="dxa"/>
          </w:tblCellMar>
        </w:tblPrEx>
        <w:trPr>
          <w:trHeight w:val="859" w:hRule="atLeast"/>
        </w:trPr>
        <w:tc>
          <w:tcPr>
            <w:tcW w:w="88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满意度指标</w:t>
            </w: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企业满意度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完全达到预期指标</w:t>
            </w:r>
          </w:p>
        </w:tc>
      </w:tr>
    </w:tbl>
    <w:p>
      <w:r>
        <w:br w:type="page"/>
      </w:r>
    </w:p>
    <w:tbl>
      <w:tblPr>
        <w:tblStyle w:val="9"/>
        <w:tblpPr w:leftFromText="180" w:rightFromText="180" w:vertAnchor="text" w:horzAnchor="page" w:tblpX="887" w:tblpY="97"/>
        <w:tblOverlap w:val="never"/>
        <w:tblW w:w="10164" w:type="dxa"/>
        <w:tblInd w:w="0" w:type="dxa"/>
        <w:tblLayout w:type="fixed"/>
        <w:tblCellMar>
          <w:top w:w="0" w:type="dxa"/>
          <w:left w:w="0" w:type="dxa"/>
          <w:bottom w:w="0" w:type="dxa"/>
          <w:right w:w="0" w:type="dxa"/>
        </w:tblCellMar>
      </w:tblPr>
      <w:tblGrid>
        <w:gridCol w:w="900"/>
        <w:gridCol w:w="893"/>
        <w:gridCol w:w="1046"/>
        <w:gridCol w:w="2441"/>
        <w:gridCol w:w="2443"/>
        <w:gridCol w:w="2441"/>
      </w:tblGrid>
      <w:tr>
        <w:tblPrEx>
          <w:tblCellMar>
            <w:top w:w="0" w:type="dxa"/>
            <w:left w:w="0" w:type="dxa"/>
            <w:bottom w:w="0" w:type="dxa"/>
            <w:right w:w="0" w:type="dxa"/>
          </w:tblCellMar>
        </w:tblPrEx>
        <w:trPr>
          <w:trHeight w:val="1034" w:hRule="atLeast"/>
        </w:trPr>
        <w:tc>
          <w:tcPr>
            <w:tcW w:w="10164"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hint="eastAsia"/>
                <w:b/>
                <w:bCs/>
                <w:color w:val="000000"/>
                <w:kern w:val="0"/>
                <w:sz w:val="36"/>
                <w:szCs w:val="36"/>
                <w:lang w:bidi="ar"/>
              </w:rPr>
            </w:pPr>
            <w:r>
              <w:rPr>
                <w:b/>
                <w:bCs/>
                <w:color w:val="000000"/>
                <w:kern w:val="0"/>
                <w:sz w:val="36"/>
                <w:szCs w:val="36"/>
                <w:lang w:bidi="ar"/>
              </w:rPr>
              <w:t>项目绩效目标完成情况表</w:t>
            </w:r>
          </w:p>
          <w:p>
            <w:pPr>
              <w:widowControl/>
              <w:jc w:val="center"/>
              <w:textAlignment w:val="center"/>
              <w:rPr>
                <w:color w:val="000000"/>
                <w:sz w:val="36"/>
                <w:szCs w:val="36"/>
              </w:rPr>
            </w:pPr>
            <w:r>
              <w:rPr>
                <w:color w:val="000000"/>
                <w:kern w:val="0"/>
                <w:sz w:val="36"/>
                <w:szCs w:val="36"/>
                <w:lang w:bidi="ar"/>
              </w:rPr>
              <w:t>(2020年度)</w:t>
            </w:r>
          </w:p>
        </w:tc>
      </w:tr>
      <w:tr>
        <w:tblPrEx>
          <w:tblCellMar>
            <w:top w:w="0" w:type="dxa"/>
            <w:left w:w="0" w:type="dxa"/>
            <w:bottom w:w="0" w:type="dxa"/>
            <w:right w:w="0" w:type="dxa"/>
          </w:tblCellMar>
        </w:tblPrEx>
        <w:trPr>
          <w:trHeight w:val="276" w:hRule="atLeast"/>
        </w:trPr>
        <w:tc>
          <w:tcPr>
            <w:tcW w:w="283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项目名称</w:t>
            </w:r>
          </w:p>
        </w:tc>
        <w:tc>
          <w:tcPr>
            <w:tcW w:w="73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1865"/>
              </w:tabs>
              <w:jc w:val="center"/>
              <w:textAlignment w:val="center"/>
              <w:rPr>
                <w:color w:val="000000"/>
                <w:szCs w:val="21"/>
              </w:rPr>
            </w:pPr>
            <w:r>
              <w:rPr>
                <w:color w:val="000000"/>
                <w:szCs w:val="21"/>
              </w:rPr>
              <w:t>创新创业专项</w:t>
            </w:r>
          </w:p>
        </w:tc>
      </w:tr>
      <w:tr>
        <w:tblPrEx>
          <w:tblCellMar>
            <w:top w:w="0" w:type="dxa"/>
            <w:left w:w="0" w:type="dxa"/>
            <w:bottom w:w="0" w:type="dxa"/>
            <w:right w:w="0" w:type="dxa"/>
          </w:tblCellMar>
        </w:tblPrEx>
        <w:trPr>
          <w:trHeight w:val="276" w:hRule="atLeast"/>
        </w:trPr>
        <w:tc>
          <w:tcPr>
            <w:tcW w:w="283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预算单位</w:t>
            </w:r>
          </w:p>
        </w:tc>
        <w:tc>
          <w:tcPr>
            <w:tcW w:w="73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攀枝花市科学技术局</w:t>
            </w:r>
          </w:p>
        </w:tc>
      </w:tr>
      <w:tr>
        <w:tblPrEx>
          <w:tblCellMar>
            <w:top w:w="0" w:type="dxa"/>
            <w:left w:w="0" w:type="dxa"/>
            <w:bottom w:w="0" w:type="dxa"/>
            <w:right w:w="0" w:type="dxa"/>
          </w:tblCellMar>
        </w:tblPrEx>
        <w:trPr>
          <w:trHeight w:val="276" w:hRule="atLeast"/>
        </w:trPr>
        <w:tc>
          <w:tcPr>
            <w:tcW w:w="9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预算执行情况(万元)</w:t>
            </w:r>
          </w:p>
        </w:tc>
        <w:tc>
          <w:tcPr>
            <w:tcW w:w="193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预算数:</w:t>
            </w:r>
          </w:p>
        </w:tc>
        <w:tc>
          <w:tcPr>
            <w:tcW w:w="24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40</w:t>
            </w:r>
          </w:p>
        </w:tc>
        <w:tc>
          <w:tcPr>
            <w:tcW w:w="24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执行数:</w:t>
            </w:r>
          </w:p>
        </w:tc>
        <w:tc>
          <w:tcPr>
            <w:tcW w:w="24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40</w:t>
            </w:r>
          </w:p>
        </w:tc>
      </w:tr>
      <w:tr>
        <w:tblPrEx>
          <w:tblCellMar>
            <w:top w:w="0" w:type="dxa"/>
            <w:left w:w="0" w:type="dxa"/>
            <w:bottom w:w="0" w:type="dxa"/>
            <w:right w:w="0" w:type="dxa"/>
          </w:tblCellMar>
        </w:tblPrEx>
        <w:trPr>
          <w:trHeight w:val="276" w:hRule="atLeast"/>
        </w:trPr>
        <w:tc>
          <w:tcPr>
            <w:tcW w:w="9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Cs w:val="21"/>
              </w:rPr>
            </w:pPr>
          </w:p>
        </w:tc>
        <w:tc>
          <w:tcPr>
            <w:tcW w:w="193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其中-财政拨款:</w:t>
            </w:r>
          </w:p>
        </w:tc>
        <w:tc>
          <w:tcPr>
            <w:tcW w:w="24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40</w:t>
            </w:r>
          </w:p>
        </w:tc>
        <w:tc>
          <w:tcPr>
            <w:tcW w:w="24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其中-财政拨款:</w:t>
            </w:r>
          </w:p>
        </w:tc>
        <w:tc>
          <w:tcPr>
            <w:tcW w:w="24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40</w:t>
            </w:r>
          </w:p>
        </w:tc>
      </w:tr>
      <w:tr>
        <w:tblPrEx>
          <w:tblCellMar>
            <w:top w:w="0" w:type="dxa"/>
            <w:left w:w="0" w:type="dxa"/>
            <w:bottom w:w="0" w:type="dxa"/>
            <w:right w:w="0" w:type="dxa"/>
          </w:tblCellMar>
        </w:tblPrEx>
        <w:trPr>
          <w:trHeight w:val="247" w:hRule="atLeast"/>
        </w:trPr>
        <w:tc>
          <w:tcPr>
            <w:tcW w:w="9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Cs w:val="21"/>
              </w:rPr>
            </w:pPr>
          </w:p>
        </w:tc>
        <w:tc>
          <w:tcPr>
            <w:tcW w:w="193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其它资金:</w:t>
            </w:r>
          </w:p>
        </w:tc>
        <w:tc>
          <w:tcPr>
            <w:tcW w:w="24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24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其它资金:</w:t>
            </w:r>
          </w:p>
        </w:tc>
        <w:tc>
          <w:tcPr>
            <w:tcW w:w="24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Cs w:val="21"/>
              </w:rPr>
            </w:pPr>
          </w:p>
        </w:tc>
      </w:tr>
      <w:tr>
        <w:tblPrEx>
          <w:tblCellMar>
            <w:top w:w="0" w:type="dxa"/>
            <w:left w:w="0" w:type="dxa"/>
            <w:bottom w:w="0" w:type="dxa"/>
            <w:right w:w="0" w:type="dxa"/>
          </w:tblCellMar>
        </w:tblPrEx>
        <w:trPr>
          <w:trHeight w:val="276" w:hRule="atLeast"/>
        </w:trPr>
        <w:tc>
          <w:tcPr>
            <w:tcW w:w="9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年度目标完成情况</w:t>
            </w:r>
          </w:p>
        </w:tc>
        <w:tc>
          <w:tcPr>
            <w:tcW w:w="43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预期目标</w:t>
            </w:r>
          </w:p>
        </w:tc>
        <w:tc>
          <w:tcPr>
            <w:tcW w:w="48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实际完成目标</w:t>
            </w:r>
          </w:p>
        </w:tc>
      </w:tr>
      <w:tr>
        <w:tblPrEx>
          <w:tblCellMar>
            <w:top w:w="0" w:type="dxa"/>
            <w:left w:w="0" w:type="dxa"/>
            <w:bottom w:w="0" w:type="dxa"/>
            <w:right w:w="0" w:type="dxa"/>
          </w:tblCellMar>
        </w:tblPrEx>
        <w:trPr>
          <w:trHeight w:val="975" w:hRule="atLeast"/>
        </w:trPr>
        <w:tc>
          <w:tcPr>
            <w:tcW w:w="9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Cs w:val="21"/>
              </w:rPr>
            </w:pPr>
          </w:p>
        </w:tc>
        <w:tc>
          <w:tcPr>
            <w:tcW w:w="43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Cs w:val="21"/>
              </w:rPr>
            </w:pPr>
            <w:r>
              <w:rPr>
                <w:color w:val="000000"/>
                <w:szCs w:val="21"/>
              </w:rPr>
              <w:t>用于孵化载体建设、创新创业大赛组织、创新大会表彰等工作经费</w:t>
            </w:r>
          </w:p>
        </w:tc>
        <w:tc>
          <w:tcPr>
            <w:tcW w:w="488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Cs w:val="21"/>
              </w:rPr>
            </w:pPr>
            <w:r>
              <w:rPr>
                <w:color w:val="000000"/>
                <w:szCs w:val="21"/>
              </w:rPr>
              <w:t>对奥创智汇成功创建市级众创空间、2020钛时代创未来创新创业大赛、第九届中国创新创业大赛（四川赛区）等进行补助</w:t>
            </w:r>
          </w:p>
        </w:tc>
      </w:tr>
      <w:tr>
        <w:tblPrEx>
          <w:tblCellMar>
            <w:top w:w="0" w:type="dxa"/>
            <w:left w:w="0" w:type="dxa"/>
            <w:bottom w:w="0" w:type="dxa"/>
            <w:right w:w="0" w:type="dxa"/>
          </w:tblCellMar>
        </w:tblPrEx>
        <w:trPr>
          <w:trHeight w:val="664" w:hRule="atLeast"/>
        </w:trPr>
        <w:tc>
          <w:tcPr>
            <w:tcW w:w="90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绩效指标完成情况</w:t>
            </w: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一级指标</w:t>
            </w:r>
          </w:p>
        </w:tc>
        <w:tc>
          <w:tcPr>
            <w:tcW w:w="10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二级指标</w:t>
            </w:r>
          </w:p>
        </w:tc>
        <w:tc>
          <w:tcPr>
            <w:tcW w:w="24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三级指标</w:t>
            </w:r>
          </w:p>
        </w:tc>
        <w:tc>
          <w:tcPr>
            <w:tcW w:w="24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预期指标值(包含数字及文字描述)</w:t>
            </w:r>
          </w:p>
        </w:tc>
        <w:tc>
          <w:tcPr>
            <w:tcW w:w="24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实际完成指标值(包含数字及文字描述)</w:t>
            </w:r>
          </w:p>
        </w:tc>
      </w:tr>
      <w:tr>
        <w:tblPrEx>
          <w:tblCellMar>
            <w:top w:w="0" w:type="dxa"/>
            <w:left w:w="0" w:type="dxa"/>
            <w:bottom w:w="0" w:type="dxa"/>
            <w:right w:w="0" w:type="dxa"/>
          </w:tblCellMar>
        </w:tblPrEx>
        <w:trPr>
          <w:trHeight w:val="367" w:hRule="atLeast"/>
        </w:trPr>
        <w:tc>
          <w:tcPr>
            <w:tcW w:w="90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89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项目完成指标</w:t>
            </w:r>
          </w:p>
        </w:tc>
        <w:tc>
          <w:tcPr>
            <w:tcW w:w="104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t>数量指标</w:t>
            </w:r>
          </w:p>
        </w:tc>
        <w:tc>
          <w:tcPr>
            <w:tcW w:w="24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市级孵化载体建设补贴</w:t>
            </w:r>
          </w:p>
        </w:tc>
        <w:tc>
          <w:tcPr>
            <w:tcW w:w="24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完成1家</w:t>
            </w:r>
          </w:p>
        </w:tc>
        <w:tc>
          <w:tcPr>
            <w:tcW w:w="24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完成1家</w:t>
            </w:r>
          </w:p>
        </w:tc>
      </w:tr>
      <w:tr>
        <w:tblPrEx>
          <w:tblCellMar>
            <w:top w:w="0" w:type="dxa"/>
            <w:left w:w="0" w:type="dxa"/>
            <w:bottom w:w="0" w:type="dxa"/>
            <w:right w:w="0" w:type="dxa"/>
          </w:tblCellMar>
        </w:tblPrEx>
        <w:trPr>
          <w:trHeight w:val="607" w:hRule="atLeast"/>
        </w:trPr>
        <w:tc>
          <w:tcPr>
            <w:tcW w:w="90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89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Cs w:val="21"/>
                <w:lang w:bidi="ar"/>
              </w:rPr>
            </w:pPr>
          </w:p>
        </w:tc>
        <w:tc>
          <w:tcPr>
            <w:tcW w:w="104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24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第九届中国创新创业大赛（四川赛区）参赛项目</w:t>
            </w:r>
          </w:p>
        </w:tc>
        <w:tc>
          <w:tcPr>
            <w:tcW w:w="24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计划组织10项</w:t>
            </w:r>
          </w:p>
        </w:tc>
        <w:tc>
          <w:tcPr>
            <w:tcW w:w="24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组织参赛项目10项</w:t>
            </w:r>
          </w:p>
        </w:tc>
      </w:tr>
      <w:tr>
        <w:tblPrEx>
          <w:tblCellMar>
            <w:top w:w="0" w:type="dxa"/>
            <w:left w:w="0" w:type="dxa"/>
            <w:bottom w:w="0" w:type="dxa"/>
            <w:right w:w="0" w:type="dxa"/>
          </w:tblCellMar>
        </w:tblPrEx>
        <w:trPr>
          <w:trHeight w:val="577" w:hRule="atLeast"/>
        </w:trPr>
        <w:tc>
          <w:tcPr>
            <w:tcW w:w="90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89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项目完成指标</w:t>
            </w:r>
          </w:p>
        </w:tc>
        <w:tc>
          <w:tcPr>
            <w:tcW w:w="104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质量指标</w:t>
            </w:r>
          </w:p>
        </w:tc>
        <w:tc>
          <w:tcPr>
            <w:tcW w:w="24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2020钛时代创未来创新创业大赛举办费</w:t>
            </w:r>
          </w:p>
        </w:tc>
        <w:tc>
          <w:tcPr>
            <w:tcW w:w="24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完成大赛举办</w:t>
            </w:r>
          </w:p>
        </w:tc>
        <w:tc>
          <w:tcPr>
            <w:tcW w:w="24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完全达到预期指标</w:t>
            </w:r>
          </w:p>
        </w:tc>
      </w:tr>
      <w:tr>
        <w:tblPrEx>
          <w:tblCellMar>
            <w:top w:w="0" w:type="dxa"/>
            <w:left w:w="0" w:type="dxa"/>
            <w:bottom w:w="0" w:type="dxa"/>
            <w:right w:w="0" w:type="dxa"/>
          </w:tblCellMar>
        </w:tblPrEx>
        <w:trPr>
          <w:trHeight w:val="352" w:hRule="atLeast"/>
        </w:trPr>
        <w:tc>
          <w:tcPr>
            <w:tcW w:w="90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89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Cs w:val="21"/>
                <w:lang w:bidi="ar"/>
              </w:rPr>
            </w:pPr>
          </w:p>
        </w:tc>
        <w:tc>
          <w:tcPr>
            <w:tcW w:w="104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24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支持创建市级众创空间</w:t>
            </w:r>
          </w:p>
        </w:tc>
        <w:tc>
          <w:tcPr>
            <w:tcW w:w="24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帮助企业申报创建</w:t>
            </w:r>
          </w:p>
        </w:tc>
        <w:tc>
          <w:tcPr>
            <w:tcW w:w="24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三家企业成功创建</w:t>
            </w:r>
          </w:p>
        </w:tc>
      </w:tr>
      <w:tr>
        <w:tblPrEx>
          <w:tblCellMar>
            <w:top w:w="0" w:type="dxa"/>
            <w:left w:w="0" w:type="dxa"/>
            <w:bottom w:w="0" w:type="dxa"/>
            <w:right w:w="0" w:type="dxa"/>
          </w:tblCellMar>
        </w:tblPrEx>
        <w:trPr>
          <w:trHeight w:val="743" w:hRule="atLeast"/>
        </w:trPr>
        <w:tc>
          <w:tcPr>
            <w:tcW w:w="90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项目完成指标</w:t>
            </w:r>
          </w:p>
        </w:tc>
        <w:tc>
          <w:tcPr>
            <w:tcW w:w="10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时效指标</w:t>
            </w:r>
          </w:p>
        </w:tc>
        <w:tc>
          <w:tcPr>
            <w:tcW w:w="24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全年</w:t>
            </w:r>
          </w:p>
        </w:tc>
        <w:tc>
          <w:tcPr>
            <w:tcW w:w="24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全年</w:t>
            </w:r>
          </w:p>
        </w:tc>
        <w:tc>
          <w:tcPr>
            <w:tcW w:w="24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完全达到预期指标</w:t>
            </w:r>
          </w:p>
        </w:tc>
      </w:tr>
      <w:tr>
        <w:tblPrEx>
          <w:tblCellMar>
            <w:top w:w="0" w:type="dxa"/>
            <w:left w:w="0" w:type="dxa"/>
            <w:bottom w:w="0" w:type="dxa"/>
            <w:right w:w="0" w:type="dxa"/>
          </w:tblCellMar>
        </w:tblPrEx>
        <w:trPr>
          <w:trHeight w:val="719" w:hRule="atLeast"/>
        </w:trPr>
        <w:tc>
          <w:tcPr>
            <w:tcW w:w="90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Cs w:val="21"/>
                <w:lang w:bidi="ar"/>
              </w:rPr>
            </w:pPr>
            <w:r>
              <w:rPr>
                <w:color w:val="000000"/>
                <w:kern w:val="0"/>
                <w:szCs w:val="21"/>
                <w:lang w:bidi="ar"/>
              </w:rPr>
              <w:t>项目完成指标</w:t>
            </w:r>
          </w:p>
        </w:tc>
        <w:tc>
          <w:tcPr>
            <w:tcW w:w="1046"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成本指标</w:t>
            </w:r>
          </w:p>
        </w:tc>
        <w:tc>
          <w:tcPr>
            <w:tcW w:w="24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创新创业专项</w:t>
            </w:r>
          </w:p>
        </w:tc>
        <w:tc>
          <w:tcPr>
            <w:tcW w:w="24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40万</w:t>
            </w:r>
          </w:p>
        </w:tc>
        <w:tc>
          <w:tcPr>
            <w:tcW w:w="24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完全达到预期指标</w:t>
            </w:r>
          </w:p>
        </w:tc>
      </w:tr>
      <w:tr>
        <w:tblPrEx>
          <w:tblCellMar>
            <w:top w:w="0" w:type="dxa"/>
            <w:left w:w="0" w:type="dxa"/>
            <w:bottom w:w="0" w:type="dxa"/>
            <w:right w:w="0" w:type="dxa"/>
          </w:tblCellMar>
        </w:tblPrEx>
        <w:trPr>
          <w:trHeight w:val="648" w:hRule="atLeast"/>
        </w:trPr>
        <w:tc>
          <w:tcPr>
            <w:tcW w:w="90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效益指标</w:t>
            </w:r>
          </w:p>
        </w:tc>
        <w:tc>
          <w:tcPr>
            <w:tcW w:w="10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经济效益</w:t>
            </w:r>
          </w:p>
          <w:p>
            <w:pPr>
              <w:widowControl/>
              <w:jc w:val="center"/>
              <w:textAlignment w:val="center"/>
              <w:rPr>
                <w:color w:val="000000"/>
                <w:szCs w:val="21"/>
              </w:rPr>
            </w:pPr>
            <w:r>
              <w:rPr>
                <w:color w:val="000000"/>
                <w:szCs w:val="21"/>
              </w:rPr>
              <w:t>指标</w:t>
            </w:r>
          </w:p>
        </w:tc>
        <w:tc>
          <w:tcPr>
            <w:tcW w:w="24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24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24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r>
      <w:tr>
        <w:tblPrEx>
          <w:tblCellMar>
            <w:top w:w="0" w:type="dxa"/>
            <w:left w:w="0" w:type="dxa"/>
            <w:bottom w:w="0" w:type="dxa"/>
            <w:right w:w="0" w:type="dxa"/>
          </w:tblCellMar>
        </w:tblPrEx>
        <w:trPr>
          <w:trHeight w:val="720" w:hRule="atLeast"/>
        </w:trPr>
        <w:tc>
          <w:tcPr>
            <w:tcW w:w="90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效益指标</w:t>
            </w:r>
          </w:p>
        </w:tc>
        <w:tc>
          <w:tcPr>
            <w:tcW w:w="10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Cs w:val="21"/>
                <w:lang w:bidi="ar"/>
              </w:rPr>
            </w:pPr>
            <w:r>
              <w:rPr>
                <w:color w:val="000000"/>
                <w:kern w:val="0"/>
                <w:szCs w:val="21"/>
                <w:lang w:bidi="ar"/>
              </w:rPr>
              <w:t>社会效益</w:t>
            </w:r>
          </w:p>
          <w:p>
            <w:pPr>
              <w:widowControl/>
              <w:jc w:val="center"/>
              <w:textAlignment w:val="center"/>
              <w:rPr>
                <w:color w:val="000000"/>
                <w:szCs w:val="21"/>
              </w:rPr>
            </w:pPr>
            <w:r>
              <w:rPr>
                <w:color w:val="000000"/>
                <w:kern w:val="0"/>
                <w:szCs w:val="21"/>
                <w:lang w:bidi="ar"/>
              </w:rPr>
              <w:t>指标</w:t>
            </w:r>
          </w:p>
        </w:tc>
        <w:tc>
          <w:tcPr>
            <w:tcW w:w="24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24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Cs w:val="21"/>
              </w:rPr>
            </w:pPr>
          </w:p>
        </w:tc>
        <w:tc>
          <w:tcPr>
            <w:tcW w:w="24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r>
      <w:tr>
        <w:tblPrEx>
          <w:tblCellMar>
            <w:top w:w="0" w:type="dxa"/>
            <w:left w:w="0" w:type="dxa"/>
            <w:bottom w:w="0" w:type="dxa"/>
            <w:right w:w="0" w:type="dxa"/>
          </w:tblCellMar>
        </w:tblPrEx>
        <w:trPr>
          <w:trHeight w:val="720" w:hRule="atLeast"/>
        </w:trPr>
        <w:tc>
          <w:tcPr>
            <w:tcW w:w="90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效益指标</w:t>
            </w:r>
          </w:p>
        </w:tc>
        <w:tc>
          <w:tcPr>
            <w:tcW w:w="10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生态效益</w:t>
            </w:r>
          </w:p>
          <w:p>
            <w:pPr>
              <w:widowControl/>
              <w:jc w:val="center"/>
              <w:textAlignment w:val="center"/>
              <w:rPr>
                <w:color w:val="000000"/>
                <w:szCs w:val="21"/>
              </w:rPr>
            </w:pPr>
            <w:r>
              <w:rPr>
                <w:color w:val="000000"/>
                <w:szCs w:val="21"/>
              </w:rPr>
              <w:t>指标</w:t>
            </w:r>
          </w:p>
        </w:tc>
        <w:tc>
          <w:tcPr>
            <w:tcW w:w="24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24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Cs w:val="21"/>
              </w:rPr>
            </w:pPr>
          </w:p>
        </w:tc>
        <w:tc>
          <w:tcPr>
            <w:tcW w:w="24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Cs w:val="21"/>
              </w:rPr>
            </w:pPr>
          </w:p>
        </w:tc>
      </w:tr>
      <w:tr>
        <w:tblPrEx>
          <w:tblCellMar>
            <w:top w:w="0" w:type="dxa"/>
            <w:left w:w="0" w:type="dxa"/>
            <w:bottom w:w="0" w:type="dxa"/>
            <w:right w:w="0" w:type="dxa"/>
          </w:tblCellMar>
        </w:tblPrEx>
        <w:trPr>
          <w:trHeight w:val="735" w:hRule="atLeast"/>
        </w:trPr>
        <w:tc>
          <w:tcPr>
            <w:tcW w:w="90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效益指标</w:t>
            </w:r>
          </w:p>
        </w:tc>
        <w:tc>
          <w:tcPr>
            <w:tcW w:w="10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可持续影响指标</w:t>
            </w:r>
          </w:p>
        </w:tc>
        <w:tc>
          <w:tcPr>
            <w:tcW w:w="24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企业创新能力提升</w:t>
            </w:r>
          </w:p>
        </w:tc>
        <w:tc>
          <w:tcPr>
            <w:tcW w:w="24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Cs w:val="21"/>
              </w:rPr>
            </w:pPr>
            <w:r>
              <w:rPr>
                <w:color w:val="000000"/>
                <w:szCs w:val="21"/>
              </w:rPr>
              <w:t>激发企业创新活力，加快企业发展</w:t>
            </w:r>
          </w:p>
        </w:tc>
        <w:tc>
          <w:tcPr>
            <w:tcW w:w="24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Cs w:val="21"/>
              </w:rPr>
            </w:pPr>
            <w:r>
              <w:rPr>
                <w:color w:val="000000"/>
                <w:szCs w:val="21"/>
              </w:rPr>
              <w:t>激发企业创新活力，加快企业发展</w:t>
            </w:r>
          </w:p>
        </w:tc>
      </w:tr>
      <w:tr>
        <w:tblPrEx>
          <w:tblCellMar>
            <w:top w:w="0" w:type="dxa"/>
            <w:left w:w="0" w:type="dxa"/>
            <w:bottom w:w="0" w:type="dxa"/>
            <w:right w:w="0" w:type="dxa"/>
          </w:tblCellMar>
        </w:tblPrEx>
        <w:trPr>
          <w:trHeight w:val="834" w:hRule="atLeast"/>
        </w:trPr>
        <w:tc>
          <w:tcPr>
            <w:tcW w:w="90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p>
        </w:tc>
        <w:tc>
          <w:tcPr>
            <w:tcW w:w="8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kern w:val="0"/>
                <w:szCs w:val="21"/>
                <w:lang w:bidi="ar"/>
              </w:rPr>
              <w:t>满意度指标</w:t>
            </w:r>
          </w:p>
        </w:tc>
        <w:tc>
          <w:tcPr>
            <w:tcW w:w="10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满意度指标</w:t>
            </w:r>
          </w:p>
        </w:tc>
        <w:tc>
          <w:tcPr>
            <w:tcW w:w="24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企业满意度</w:t>
            </w:r>
          </w:p>
        </w:tc>
        <w:tc>
          <w:tcPr>
            <w:tcW w:w="24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≥95%</w:t>
            </w:r>
          </w:p>
        </w:tc>
        <w:tc>
          <w:tcPr>
            <w:tcW w:w="24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Cs w:val="21"/>
              </w:rPr>
            </w:pPr>
            <w:r>
              <w:rPr>
                <w:color w:val="000000"/>
                <w:szCs w:val="21"/>
              </w:rPr>
              <w:t>完全达到预期指标</w:t>
            </w:r>
          </w:p>
        </w:tc>
      </w:tr>
    </w:tbl>
    <w:p>
      <w:pPr>
        <w:spacing w:line="600" w:lineRule="exact"/>
        <w:rPr>
          <w:rFonts w:eastAsia="仿宋_GB2312"/>
          <w:sz w:val="32"/>
          <w:szCs w:val="32"/>
        </w:rPr>
      </w:pPr>
      <w:r>
        <w:br w:type="page"/>
      </w:r>
      <w:r>
        <w:rPr>
          <w:rFonts w:hint="eastAsia"/>
        </w:rPr>
        <w:t xml:space="preserve">       </w:t>
      </w:r>
      <w:r>
        <w:rPr>
          <w:rFonts w:eastAsia="楷体_GB2312"/>
          <w:sz w:val="32"/>
          <w:szCs w:val="32"/>
        </w:rPr>
        <w:t>2.部门绩效评价结果。</w:t>
      </w:r>
    </w:p>
    <w:p>
      <w:pPr>
        <w:spacing w:line="600" w:lineRule="exact"/>
        <w:ind w:firstLine="640" w:firstLineChars="200"/>
        <w:rPr>
          <w:rFonts w:eastAsia="仿宋_GB2312"/>
          <w:sz w:val="32"/>
          <w:szCs w:val="32"/>
        </w:rPr>
      </w:pPr>
      <w:r>
        <w:rPr>
          <w:rFonts w:eastAsia="仿宋_GB2312"/>
          <w:sz w:val="32"/>
          <w:szCs w:val="32"/>
        </w:rPr>
        <w:t>本部门按要求对2020年部门整体支出绩效评价情况开展自评</w:t>
      </w:r>
      <w:r>
        <w:rPr>
          <w:rFonts w:hint="eastAsia" w:eastAsia="仿宋_GB2312"/>
          <w:sz w:val="32"/>
          <w:szCs w:val="32"/>
        </w:rPr>
        <w:t>，</w:t>
      </w:r>
      <w:r>
        <w:rPr>
          <w:rFonts w:eastAsia="仿宋_GB2312"/>
          <w:sz w:val="32"/>
          <w:szCs w:val="32"/>
        </w:rPr>
        <w:t>《</w:t>
      </w:r>
      <w:r>
        <w:rPr>
          <w:rFonts w:hint="eastAsia" w:eastAsia="仿宋_GB2312"/>
          <w:sz w:val="32"/>
          <w:szCs w:val="32"/>
        </w:rPr>
        <w:t>攀枝花市科学技术局</w:t>
      </w:r>
      <w:r>
        <w:rPr>
          <w:rFonts w:eastAsia="仿宋_GB2312"/>
          <w:sz w:val="32"/>
          <w:szCs w:val="32"/>
        </w:rPr>
        <w:t>2020年部门整体支出绩效评价报告》见附件（附件1）。</w:t>
      </w:r>
    </w:p>
    <w:p>
      <w:pPr>
        <w:spacing w:line="600" w:lineRule="exact"/>
        <w:ind w:firstLine="640" w:firstLineChars="200"/>
        <w:rPr>
          <w:rFonts w:eastAsia="仿宋_GB2312"/>
          <w:b/>
          <w:color w:val="000000"/>
          <w:sz w:val="32"/>
          <w:szCs w:val="32"/>
        </w:rPr>
      </w:pPr>
      <w:r>
        <w:rPr>
          <w:rFonts w:eastAsia="仿宋_GB2312"/>
          <w:sz w:val="32"/>
          <w:szCs w:val="32"/>
        </w:rPr>
        <w:t>本部门自行组织对科技计划项目管理经费项目开展了绩效评价，《科技计划项目管理经费项目2020年绩效评价报告》见附件（附件2）。</w:t>
      </w:r>
    </w:p>
    <w:p>
      <w:pPr>
        <w:jc w:val="center"/>
        <w:rPr>
          <w:rStyle w:val="12"/>
          <w:rFonts w:eastAsia="黑体"/>
          <w:b w:val="0"/>
        </w:rPr>
      </w:pPr>
      <w:bookmarkStart w:id="59" w:name="_Toc15396613"/>
      <w:bookmarkStart w:id="60" w:name="_Toc15377225"/>
      <w:r>
        <w:rPr>
          <w:rFonts w:eastAsia="仿宋_GB2312"/>
          <w:b/>
          <w:color w:val="000000"/>
          <w:sz w:val="32"/>
          <w:szCs w:val="32"/>
        </w:rPr>
        <w:br w:type="page"/>
      </w:r>
      <w:r>
        <w:rPr>
          <w:rStyle w:val="12"/>
          <w:rFonts w:eastAsia="黑体"/>
          <w:b w:val="0"/>
        </w:rPr>
        <w:t>第三部分</w:t>
      </w:r>
      <w:r>
        <w:rPr>
          <w:rStyle w:val="12"/>
          <w:rFonts w:hint="eastAsia" w:eastAsia="黑体"/>
        </w:rPr>
        <w:t xml:space="preserve"> </w:t>
      </w:r>
      <w:r>
        <w:rPr>
          <w:rStyle w:val="12"/>
          <w:rFonts w:eastAsia="黑体"/>
        </w:rPr>
        <w:t>名</w:t>
      </w:r>
      <w:r>
        <w:rPr>
          <w:rStyle w:val="12"/>
          <w:rFonts w:eastAsia="黑体"/>
          <w:b w:val="0"/>
        </w:rPr>
        <w:t>词解释</w:t>
      </w:r>
      <w:bookmarkEnd w:id="59"/>
      <w:bookmarkEnd w:id="60"/>
    </w:p>
    <w:p>
      <w:pPr>
        <w:spacing w:line="600" w:lineRule="exact"/>
        <w:jc w:val="left"/>
        <w:rPr>
          <w:b/>
          <w:color w:val="000000"/>
          <w:sz w:val="44"/>
          <w:szCs w:val="44"/>
        </w:rPr>
      </w:pPr>
    </w:p>
    <w:p>
      <w:pPr>
        <w:pStyle w:val="15"/>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1.财政拨款收入：指单位从同级财政部门取得的财政预算资金。</w:t>
      </w:r>
    </w:p>
    <w:p>
      <w:pPr>
        <w:pStyle w:val="15"/>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2.其他收入：指单位取得的除上述收入以外的各项收入。 </w:t>
      </w:r>
    </w:p>
    <w:p>
      <w:pPr>
        <w:pStyle w:val="15"/>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 xml:space="preserve">.使用非财政拨款结余：指事业单位使用以前年度积累的非财政拨款结余弥补当年收支差额的金额。 </w:t>
      </w:r>
    </w:p>
    <w:p>
      <w:pPr>
        <w:pStyle w:val="15"/>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 xml:space="preserve">.年初结转和结余：指以前年度尚未完成、结转到本年按有关规定继续使用的资金。 </w:t>
      </w:r>
    </w:p>
    <w:p>
      <w:pPr>
        <w:pStyle w:val="15"/>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.结余分配：指事业单位按照会计制度规定缴纳的所得税、提取的专用结余以及转入非财政拨款结余的金额等。</w:t>
      </w:r>
    </w:p>
    <w:p>
      <w:pPr>
        <w:pStyle w:val="15"/>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年末结转和结余：指单位按有关规定结转到下年或以后年度继续使用的资金。</w:t>
      </w:r>
    </w:p>
    <w:p>
      <w:pPr>
        <w:spacing w:line="600" w:lineRule="exact"/>
        <w:ind w:firstLine="640" w:firstLineChars="200"/>
        <w:rPr>
          <w:rFonts w:eastAsia="仿宋_GB2312"/>
          <w:color w:val="000000"/>
          <w:sz w:val="32"/>
          <w:szCs w:val="32"/>
        </w:rPr>
      </w:pPr>
      <w:r>
        <w:rPr>
          <w:rFonts w:hint="eastAsia" w:eastAsia="仿宋_GB2312"/>
          <w:color w:val="000000"/>
          <w:sz w:val="32"/>
          <w:szCs w:val="32"/>
        </w:rPr>
        <w:t>7</w:t>
      </w:r>
      <w:r>
        <w:rPr>
          <w:rFonts w:eastAsia="仿宋_GB2312"/>
          <w:color w:val="000000"/>
          <w:sz w:val="32"/>
          <w:szCs w:val="32"/>
        </w:rPr>
        <w:t>.一般公共服务（类）</w:t>
      </w:r>
      <w:r>
        <w:rPr>
          <w:rFonts w:hint="eastAsia" w:eastAsia="仿宋_GB2312"/>
          <w:color w:val="000000"/>
          <w:sz w:val="32"/>
          <w:szCs w:val="32"/>
        </w:rPr>
        <w:t>人力资源事务</w:t>
      </w:r>
      <w:r>
        <w:rPr>
          <w:rFonts w:eastAsia="仿宋_GB2312"/>
          <w:color w:val="000000"/>
          <w:sz w:val="32"/>
          <w:szCs w:val="32"/>
        </w:rPr>
        <w:t>（款）</w:t>
      </w:r>
      <w:r>
        <w:rPr>
          <w:rFonts w:hint="eastAsia" w:eastAsia="仿宋_GB2312"/>
          <w:color w:val="000000"/>
          <w:sz w:val="32"/>
          <w:szCs w:val="32"/>
        </w:rPr>
        <w:t>其他人力资源事务支出</w:t>
      </w:r>
      <w:r>
        <w:rPr>
          <w:rFonts w:eastAsia="仿宋_GB2312"/>
          <w:color w:val="000000"/>
          <w:sz w:val="32"/>
          <w:szCs w:val="32"/>
        </w:rPr>
        <w:t>（项）：指</w:t>
      </w:r>
      <w:r>
        <w:rPr>
          <w:rFonts w:hint="eastAsia" w:eastAsia="仿宋_GB2312"/>
          <w:color w:val="000000"/>
          <w:sz w:val="32"/>
          <w:szCs w:val="32"/>
        </w:rPr>
        <w:t>反映其他人力资源事务方面的支出</w:t>
      </w:r>
      <w:r>
        <w:rPr>
          <w:rFonts w:eastAsia="仿宋_GB2312"/>
          <w:color w:val="000000"/>
          <w:sz w:val="32"/>
          <w:szCs w:val="32"/>
        </w:rPr>
        <w:t>。</w:t>
      </w:r>
    </w:p>
    <w:p>
      <w:pPr>
        <w:spacing w:line="600" w:lineRule="exact"/>
        <w:ind w:firstLine="640" w:firstLineChars="200"/>
        <w:rPr>
          <w:rFonts w:hint="eastAsia" w:eastAsia="仿宋_GB2312"/>
          <w:color w:val="000000"/>
          <w:sz w:val="32"/>
          <w:szCs w:val="32"/>
        </w:rPr>
      </w:pPr>
      <w:r>
        <w:rPr>
          <w:rFonts w:hint="eastAsia" w:eastAsia="仿宋_GB2312"/>
          <w:color w:val="000000"/>
          <w:sz w:val="32"/>
          <w:szCs w:val="32"/>
        </w:rPr>
        <w:t>8.</w:t>
      </w:r>
      <w:r>
        <w:rPr>
          <w:rFonts w:eastAsia="仿宋_GB2312"/>
          <w:color w:val="000000"/>
          <w:sz w:val="32"/>
          <w:szCs w:val="32"/>
        </w:rPr>
        <w:t>一般公共服务（类）组织事务（款）其他组织事务支出（项）：</w:t>
      </w:r>
      <w:r>
        <w:rPr>
          <w:rFonts w:hint="eastAsia" w:eastAsia="仿宋_GB2312"/>
          <w:color w:val="000000"/>
          <w:sz w:val="32"/>
          <w:szCs w:val="32"/>
        </w:rPr>
        <w:t>指反映其他用于中国共产党组织部门的事务支出。</w:t>
      </w:r>
    </w:p>
    <w:p>
      <w:pPr>
        <w:spacing w:line="600" w:lineRule="exact"/>
        <w:ind w:firstLine="640" w:firstLineChars="200"/>
        <w:rPr>
          <w:rFonts w:eastAsia="仿宋_GB2312"/>
          <w:color w:val="000000"/>
          <w:sz w:val="32"/>
          <w:szCs w:val="32"/>
        </w:rPr>
      </w:pPr>
      <w:r>
        <w:rPr>
          <w:rFonts w:hint="eastAsia" w:eastAsia="仿宋_GB2312"/>
          <w:color w:val="000000"/>
          <w:sz w:val="32"/>
          <w:szCs w:val="32"/>
        </w:rPr>
        <w:t>9.</w:t>
      </w:r>
      <w:r>
        <w:rPr>
          <w:rFonts w:eastAsia="仿宋_GB2312"/>
          <w:color w:val="000000"/>
          <w:sz w:val="32"/>
          <w:szCs w:val="32"/>
        </w:rPr>
        <w:t>科学技术（类）科学技术管理事务（款）行政运行（项）:</w:t>
      </w:r>
      <w:r>
        <w:rPr>
          <w:rFonts w:hint="eastAsia" w:eastAsia="仿宋_GB2312"/>
          <w:color w:val="000000"/>
          <w:sz w:val="32"/>
          <w:szCs w:val="32"/>
        </w:rPr>
        <w:t>指反映行政单位（包括实行公务员管理的事业单位）科学技术管理事务方面的基本支出。</w:t>
      </w:r>
    </w:p>
    <w:p>
      <w:pPr>
        <w:spacing w:line="600" w:lineRule="exact"/>
        <w:ind w:firstLine="640" w:firstLineChars="200"/>
        <w:rPr>
          <w:rFonts w:eastAsia="仿宋_GB2312"/>
          <w:color w:val="000000"/>
          <w:sz w:val="32"/>
          <w:szCs w:val="32"/>
        </w:rPr>
      </w:pPr>
      <w:r>
        <w:rPr>
          <w:rFonts w:hint="eastAsia" w:eastAsia="仿宋_GB2312"/>
          <w:color w:val="000000"/>
          <w:sz w:val="32"/>
          <w:szCs w:val="32"/>
        </w:rPr>
        <w:t>10.</w:t>
      </w:r>
      <w:r>
        <w:rPr>
          <w:rFonts w:eastAsia="仿宋_GB2312"/>
          <w:color w:val="000000"/>
          <w:sz w:val="32"/>
          <w:szCs w:val="32"/>
        </w:rPr>
        <w:t>科学技术（类）科学技术管理事务（款）其他科学技术管理事务支出（项）</w:t>
      </w:r>
      <w:r>
        <w:rPr>
          <w:rFonts w:hint="eastAsia" w:eastAsia="仿宋_GB2312"/>
          <w:color w:val="000000"/>
          <w:sz w:val="32"/>
          <w:szCs w:val="32"/>
        </w:rPr>
        <w:t>：指反映行政单位（包括实行公务员管理的事业单位）其他用于科学技术管理事务方面的支出。</w:t>
      </w:r>
    </w:p>
    <w:p>
      <w:pPr>
        <w:spacing w:line="600" w:lineRule="exact"/>
        <w:ind w:firstLine="640" w:firstLineChars="200"/>
        <w:rPr>
          <w:rFonts w:hint="eastAsia" w:eastAsia="仿宋_GB2312"/>
          <w:color w:val="000000"/>
          <w:sz w:val="32"/>
          <w:szCs w:val="32"/>
        </w:rPr>
      </w:pPr>
      <w:r>
        <w:rPr>
          <w:rFonts w:hint="eastAsia" w:eastAsia="仿宋_GB2312"/>
          <w:color w:val="000000"/>
          <w:sz w:val="32"/>
          <w:szCs w:val="32"/>
        </w:rPr>
        <w:t>11.</w:t>
      </w:r>
      <w:r>
        <w:rPr>
          <w:rFonts w:eastAsia="仿宋_GB2312"/>
          <w:color w:val="000000"/>
          <w:sz w:val="32"/>
          <w:szCs w:val="32"/>
        </w:rPr>
        <w:t>科学技术（类）技术研究与开发（款）其他技术研究与开发支出（项）</w:t>
      </w:r>
      <w:r>
        <w:rPr>
          <w:rFonts w:hint="eastAsia" w:eastAsia="仿宋_GB2312"/>
          <w:color w:val="000000"/>
          <w:sz w:val="32"/>
          <w:szCs w:val="32"/>
        </w:rPr>
        <w:t>：指反映其他用于技术研究与开发方面的支出。</w:t>
      </w:r>
    </w:p>
    <w:p>
      <w:pPr>
        <w:spacing w:line="600" w:lineRule="exact"/>
        <w:ind w:firstLine="640" w:firstLineChars="200"/>
        <w:rPr>
          <w:rFonts w:hint="eastAsia" w:eastAsia="仿宋_GB2312"/>
          <w:color w:val="000000"/>
          <w:sz w:val="32"/>
          <w:szCs w:val="32"/>
        </w:rPr>
      </w:pPr>
      <w:r>
        <w:rPr>
          <w:rFonts w:hint="eastAsia" w:eastAsia="仿宋_GB2312"/>
          <w:color w:val="000000"/>
          <w:sz w:val="32"/>
          <w:szCs w:val="32"/>
        </w:rPr>
        <w:t>12.</w:t>
      </w:r>
      <w:r>
        <w:rPr>
          <w:rFonts w:eastAsia="仿宋_GB2312"/>
          <w:color w:val="000000"/>
          <w:sz w:val="32"/>
          <w:szCs w:val="32"/>
        </w:rPr>
        <w:t>科学技术（类）科技条件与服务（款）机构运行（项）</w:t>
      </w:r>
      <w:r>
        <w:rPr>
          <w:rFonts w:hint="eastAsia" w:eastAsia="仿宋_GB2312"/>
          <w:color w:val="000000"/>
          <w:sz w:val="32"/>
          <w:szCs w:val="32"/>
        </w:rPr>
        <w:t>：指反映科技服务机构的基本支出。</w:t>
      </w:r>
    </w:p>
    <w:p>
      <w:pPr>
        <w:spacing w:line="600" w:lineRule="exact"/>
        <w:ind w:firstLine="640" w:firstLineChars="200"/>
        <w:rPr>
          <w:rFonts w:hint="eastAsia" w:eastAsia="仿宋_GB2312"/>
          <w:color w:val="000000"/>
          <w:sz w:val="32"/>
          <w:szCs w:val="32"/>
        </w:rPr>
      </w:pPr>
      <w:r>
        <w:rPr>
          <w:rFonts w:hint="eastAsia" w:eastAsia="仿宋_GB2312"/>
          <w:color w:val="000000"/>
          <w:sz w:val="32"/>
          <w:szCs w:val="32"/>
        </w:rPr>
        <w:t>13.</w:t>
      </w:r>
      <w:r>
        <w:rPr>
          <w:rFonts w:eastAsia="仿宋_GB2312"/>
          <w:color w:val="000000"/>
          <w:sz w:val="32"/>
          <w:szCs w:val="32"/>
        </w:rPr>
        <w:t>科学技术（类）科技条件与服务（款）其他科技条件与服务支出（项）</w:t>
      </w:r>
      <w:r>
        <w:rPr>
          <w:rFonts w:hint="eastAsia" w:eastAsia="仿宋_GB2312"/>
          <w:color w:val="000000"/>
          <w:sz w:val="32"/>
          <w:szCs w:val="32"/>
        </w:rPr>
        <w:t>：指反映其他用于科技条件与服务方面的支出。</w:t>
      </w:r>
    </w:p>
    <w:p>
      <w:pPr>
        <w:spacing w:line="600" w:lineRule="exact"/>
        <w:ind w:firstLine="640" w:firstLineChars="200"/>
        <w:rPr>
          <w:rFonts w:hint="eastAsia" w:eastAsia="仿宋_GB2312"/>
          <w:color w:val="000000"/>
          <w:sz w:val="32"/>
          <w:szCs w:val="32"/>
        </w:rPr>
      </w:pPr>
      <w:r>
        <w:rPr>
          <w:rFonts w:hint="eastAsia" w:eastAsia="仿宋_GB2312"/>
          <w:color w:val="000000"/>
          <w:sz w:val="32"/>
          <w:szCs w:val="32"/>
        </w:rPr>
        <w:t>14.</w:t>
      </w:r>
      <w:r>
        <w:rPr>
          <w:rFonts w:eastAsia="仿宋_GB2312"/>
          <w:color w:val="000000"/>
          <w:sz w:val="32"/>
          <w:szCs w:val="32"/>
        </w:rPr>
        <w:t>科学技术（类）其他科学技术支出（款）其他科学技术支出（项）</w:t>
      </w:r>
      <w:r>
        <w:rPr>
          <w:rFonts w:hint="eastAsia" w:eastAsia="仿宋_GB2312"/>
          <w:color w:val="000000"/>
          <w:sz w:val="32"/>
          <w:szCs w:val="32"/>
        </w:rPr>
        <w:t>：指反映其他科学技术支出中用于其他科技方面的支出。</w:t>
      </w:r>
    </w:p>
    <w:p>
      <w:pPr>
        <w:spacing w:line="600" w:lineRule="exact"/>
        <w:ind w:firstLine="640" w:firstLineChars="200"/>
        <w:rPr>
          <w:rFonts w:eastAsia="仿宋_GB2312"/>
          <w:color w:val="000000"/>
          <w:sz w:val="32"/>
          <w:szCs w:val="32"/>
        </w:rPr>
      </w:pPr>
      <w:r>
        <w:rPr>
          <w:rFonts w:hint="eastAsia" w:eastAsia="仿宋_GB2312"/>
          <w:color w:val="000000"/>
          <w:sz w:val="32"/>
          <w:szCs w:val="32"/>
        </w:rPr>
        <w:t>15.</w:t>
      </w:r>
      <w:r>
        <w:rPr>
          <w:rFonts w:eastAsia="仿宋_GB2312"/>
          <w:color w:val="000000"/>
          <w:sz w:val="32"/>
          <w:szCs w:val="32"/>
        </w:rPr>
        <w:t>社会保障和就业（类）行政事业单位养老支出（款）行政单位离退休（项）</w:t>
      </w:r>
      <w:r>
        <w:rPr>
          <w:rFonts w:hint="eastAsia" w:eastAsia="仿宋_GB2312"/>
          <w:color w:val="000000"/>
          <w:sz w:val="32"/>
          <w:szCs w:val="32"/>
        </w:rPr>
        <w:t>：指反映实行归口管理的行政单位（包括实行公务员管理的事业单位）开支的离退休经费。</w:t>
      </w:r>
    </w:p>
    <w:p>
      <w:pPr>
        <w:spacing w:line="600" w:lineRule="exact"/>
        <w:ind w:firstLine="640" w:firstLineChars="200"/>
        <w:rPr>
          <w:rFonts w:hint="eastAsia" w:eastAsia="仿宋_GB2312"/>
          <w:color w:val="000000"/>
          <w:sz w:val="32"/>
          <w:szCs w:val="32"/>
        </w:rPr>
      </w:pPr>
      <w:r>
        <w:rPr>
          <w:rFonts w:hint="eastAsia" w:eastAsia="仿宋_GB2312"/>
          <w:color w:val="000000"/>
          <w:sz w:val="32"/>
          <w:szCs w:val="32"/>
        </w:rPr>
        <w:t>16.</w:t>
      </w:r>
      <w:r>
        <w:rPr>
          <w:rFonts w:eastAsia="仿宋_GB2312"/>
          <w:color w:val="000000"/>
          <w:sz w:val="32"/>
          <w:szCs w:val="32"/>
        </w:rPr>
        <w:t>社会保障和就业（类）行政事业单位养老支出（款）事业单位离退休（项）</w:t>
      </w:r>
      <w:r>
        <w:rPr>
          <w:rFonts w:hint="eastAsia" w:eastAsia="仿宋_GB2312"/>
          <w:color w:val="000000"/>
          <w:sz w:val="32"/>
          <w:szCs w:val="32"/>
        </w:rPr>
        <w:t>：指反映实行归口管理的事业单位开支的离退休经费。</w:t>
      </w:r>
    </w:p>
    <w:p>
      <w:pPr>
        <w:spacing w:line="600" w:lineRule="exact"/>
        <w:ind w:firstLine="640" w:firstLineChars="200"/>
        <w:rPr>
          <w:rFonts w:hint="eastAsia" w:eastAsia="仿宋_GB2312"/>
          <w:color w:val="000000"/>
          <w:sz w:val="32"/>
          <w:szCs w:val="32"/>
        </w:rPr>
      </w:pPr>
      <w:r>
        <w:rPr>
          <w:rFonts w:hint="eastAsia" w:eastAsia="仿宋_GB2312"/>
          <w:color w:val="000000"/>
          <w:sz w:val="32"/>
          <w:szCs w:val="32"/>
        </w:rPr>
        <w:t>17.</w:t>
      </w:r>
      <w:r>
        <w:rPr>
          <w:rFonts w:eastAsia="仿宋_GB2312"/>
          <w:color w:val="000000"/>
          <w:sz w:val="32"/>
          <w:szCs w:val="32"/>
        </w:rPr>
        <w:t>社会保障和就业（类）行政事业单位养老支出（款）机关事业单位基本养老保险缴费支出（项）</w:t>
      </w:r>
      <w:r>
        <w:rPr>
          <w:rFonts w:hint="eastAsia" w:eastAsia="仿宋_GB2312"/>
          <w:color w:val="000000"/>
          <w:sz w:val="32"/>
          <w:szCs w:val="32"/>
        </w:rPr>
        <w:t>：指反映机关事业单位实施养老保险制度由单位缴纳的基本养老保险费支出。</w:t>
      </w:r>
    </w:p>
    <w:p>
      <w:pPr>
        <w:spacing w:line="600" w:lineRule="exact"/>
        <w:ind w:firstLine="640" w:firstLineChars="200"/>
        <w:rPr>
          <w:rFonts w:hint="eastAsia" w:eastAsia="仿宋_GB2312"/>
          <w:color w:val="000000"/>
          <w:sz w:val="32"/>
          <w:szCs w:val="32"/>
        </w:rPr>
      </w:pPr>
      <w:r>
        <w:rPr>
          <w:rFonts w:hint="eastAsia" w:eastAsia="仿宋_GB2312"/>
          <w:color w:val="000000"/>
          <w:sz w:val="32"/>
          <w:szCs w:val="32"/>
        </w:rPr>
        <w:t>18.</w:t>
      </w:r>
      <w:r>
        <w:rPr>
          <w:rFonts w:eastAsia="仿宋_GB2312"/>
          <w:color w:val="000000"/>
          <w:sz w:val="32"/>
          <w:szCs w:val="32"/>
        </w:rPr>
        <w:t>社会保障和就业（类）行政事业单位养老支出（款）其他行政事业单位养老支出（项）</w:t>
      </w:r>
      <w:r>
        <w:rPr>
          <w:rFonts w:hint="eastAsia" w:eastAsia="仿宋_GB2312"/>
          <w:color w:val="000000"/>
          <w:sz w:val="32"/>
          <w:szCs w:val="32"/>
        </w:rPr>
        <w:t>：指反映其他用于行政事业单位离退休方面的支出。</w:t>
      </w:r>
    </w:p>
    <w:p>
      <w:pPr>
        <w:spacing w:line="600" w:lineRule="exact"/>
        <w:ind w:firstLine="640" w:firstLineChars="200"/>
        <w:rPr>
          <w:rFonts w:hint="eastAsia" w:eastAsia="仿宋_GB2312"/>
          <w:color w:val="000000"/>
          <w:sz w:val="32"/>
          <w:szCs w:val="32"/>
        </w:rPr>
      </w:pPr>
      <w:r>
        <w:rPr>
          <w:rFonts w:hint="eastAsia" w:eastAsia="仿宋_GB2312"/>
          <w:color w:val="000000"/>
          <w:sz w:val="32"/>
          <w:szCs w:val="32"/>
        </w:rPr>
        <w:t>19.</w:t>
      </w:r>
      <w:r>
        <w:rPr>
          <w:rFonts w:eastAsia="仿宋_GB2312"/>
          <w:color w:val="000000"/>
          <w:sz w:val="32"/>
          <w:szCs w:val="32"/>
        </w:rPr>
        <w:t>社会保障和就业（类）社会福利（款）儿童福利（项）:</w:t>
      </w:r>
      <w:r>
        <w:rPr>
          <w:rFonts w:hint="eastAsia" w:eastAsia="仿宋_GB2312"/>
          <w:color w:val="000000"/>
          <w:sz w:val="32"/>
          <w:szCs w:val="32"/>
        </w:rPr>
        <w:t>指反映对儿童提供福利服务方面的支出。</w:t>
      </w:r>
    </w:p>
    <w:p>
      <w:pPr>
        <w:pStyle w:val="15"/>
        <w:spacing w:line="560" w:lineRule="exact"/>
        <w:ind w:firstLine="640" w:firstLineChars="200"/>
        <w:rPr>
          <w:rFonts w:ascii="Times New Roman" w:hAnsi="Times New Roman" w:eastAsia="仿宋_GB2312" w:cs="Times New Roman"/>
          <w:sz w:val="32"/>
          <w:szCs w:val="32"/>
        </w:rPr>
      </w:pPr>
      <w:r>
        <w:rPr>
          <w:rFonts w:hint="eastAsia" w:eastAsia="仿宋_GB2312" w:cs="Times New Roman"/>
          <w:sz w:val="32"/>
          <w:szCs w:val="32"/>
        </w:rPr>
        <w:t>20.</w:t>
      </w:r>
      <w:r>
        <w:rPr>
          <w:rFonts w:eastAsia="仿宋_GB2312" w:cs="Times New Roman"/>
          <w:sz w:val="32"/>
          <w:szCs w:val="32"/>
        </w:rPr>
        <w:t>住房保障支出（类）住房改革支出（款）住房公积金（项）</w:t>
      </w:r>
      <w:r>
        <w:rPr>
          <w:rFonts w:hint="eastAsia" w:eastAsia="仿宋_GB2312" w:cs="Times New Roman"/>
          <w:sz w:val="32"/>
          <w:szCs w:val="32"/>
        </w:rPr>
        <w:t>：</w:t>
      </w:r>
      <w:r>
        <w:rPr>
          <w:rFonts w:ascii="Times New Roman" w:hAnsi="Times New Roman" w:eastAsia="仿宋_GB2312" w:cs="Times New Roman"/>
          <w:sz w:val="32"/>
          <w:szCs w:val="32"/>
        </w:rPr>
        <w:t>指反映行政事业单位按</w:t>
      </w:r>
      <w:r>
        <w:rPr>
          <w:rFonts w:hint="eastAsia" w:ascii="Times New Roman" w:hAnsi="Times New Roman" w:eastAsia="仿宋_GB2312" w:cs="Times New Roman"/>
          <w:sz w:val="32"/>
          <w:szCs w:val="32"/>
        </w:rPr>
        <w:t>人力资源和社会保障部</w:t>
      </w:r>
      <w:r>
        <w:rPr>
          <w:rFonts w:ascii="Times New Roman" w:hAnsi="Times New Roman" w:eastAsia="仿宋_GB2312" w:cs="Times New Roman"/>
          <w:sz w:val="32"/>
          <w:szCs w:val="32"/>
        </w:rPr>
        <w:t>、财政部门规定的基本工资和津贴补贴以及规定比例为职工缴纳的住房公积金。</w:t>
      </w:r>
    </w:p>
    <w:p>
      <w:pPr>
        <w:spacing w:line="600" w:lineRule="exact"/>
        <w:ind w:firstLine="640" w:firstLineChars="200"/>
        <w:rPr>
          <w:rFonts w:eastAsia="仿宋_GB2312"/>
          <w:color w:val="000000"/>
          <w:sz w:val="32"/>
          <w:szCs w:val="32"/>
        </w:rPr>
      </w:pPr>
      <w:r>
        <w:rPr>
          <w:rFonts w:eastAsia="仿宋_GB2312"/>
          <w:color w:val="000000"/>
          <w:sz w:val="32"/>
          <w:szCs w:val="32"/>
        </w:rPr>
        <w:t>2</w:t>
      </w:r>
      <w:r>
        <w:rPr>
          <w:rFonts w:hint="eastAsia" w:eastAsia="仿宋_GB2312"/>
          <w:color w:val="000000"/>
          <w:sz w:val="32"/>
          <w:szCs w:val="32"/>
        </w:rPr>
        <w:t>1</w:t>
      </w:r>
      <w:r>
        <w:rPr>
          <w:rFonts w:eastAsia="仿宋_GB2312"/>
          <w:color w:val="000000"/>
          <w:sz w:val="32"/>
          <w:szCs w:val="32"/>
        </w:rPr>
        <w:t>.基本支出：指为保障机构正常运转、完成日常工作任务而发生的人员支出和公用支出。</w:t>
      </w:r>
    </w:p>
    <w:p>
      <w:pPr>
        <w:spacing w:line="600" w:lineRule="exact"/>
        <w:ind w:firstLine="640" w:firstLineChars="200"/>
        <w:rPr>
          <w:rFonts w:eastAsia="仿宋_GB2312"/>
          <w:color w:val="000000"/>
          <w:sz w:val="32"/>
          <w:szCs w:val="32"/>
        </w:rPr>
      </w:pPr>
      <w:r>
        <w:rPr>
          <w:rFonts w:eastAsia="仿宋_GB2312"/>
          <w:color w:val="000000"/>
          <w:sz w:val="32"/>
          <w:szCs w:val="32"/>
        </w:rPr>
        <w:t>2</w:t>
      </w:r>
      <w:r>
        <w:rPr>
          <w:rFonts w:hint="eastAsia" w:eastAsia="仿宋_GB2312"/>
          <w:color w:val="000000"/>
          <w:sz w:val="32"/>
          <w:szCs w:val="32"/>
        </w:rPr>
        <w:t>2</w:t>
      </w:r>
      <w:r>
        <w:rPr>
          <w:rFonts w:eastAsia="仿宋_GB2312"/>
          <w:color w:val="000000"/>
          <w:sz w:val="32"/>
          <w:szCs w:val="32"/>
        </w:rPr>
        <w:t xml:space="preserve">.项目支出：指在基本支出之外为完成特定行政任务和事业发展目标所发生的支出。 </w:t>
      </w:r>
    </w:p>
    <w:p>
      <w:pPr>
        <w:pStyle w:val="15"/>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2"/>
          <w:sz w:val="32"/>
          <w:szCs w:val="32"/>
        </w:rPr>
        <w:t>2</w:t>
      </w:r>
      <w:r>
        <w:rPr>
          <w:rFonts w:hint="eastAsia" w:ascii="Times New Roman" w:hAnsi="Times New Roman" w:eastAsia="仿宋_GB2312" w:cs="Times New Roman"/>
          <w:kern w:val="2"/>
          <w:sz w:val="32"/>
          <w:szCs w:val="32"/>
        </w:rPr>
        <w:t>3</w:t>
      </w:r>
      <w:r>
        <w:rPr>
          <w:rFonts w:ascii="Times New Roman" w:hAnsi="Times New Roman" w:eastAsia="仿宋_GB2312" w:cs="Times New Roman"/>
          <w:kern w:val="2"/>
          <w:sz w:val="32"/>
          <w:szCs w:val="32"/>
        </w:rPr>
        <w:t>.“三公</w:t>
      </w:r>
      <w:r>
        <w:rPr>
          <w:rFonts w:ascii="Times New Roman" w:hAnsi="Times New Roman" w:eastAsia="仿宋_GB2312" w:cs="Times New Roman"/>
          <w:sz w:val="32"/>
          <w:szCs w:val="32"/>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5"/>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24</w:t>
      </w:r>
      <w:r>
        <w:rPr>
          <w:rFonts w:ascii="Times New Roman" w:hAnsi="Times New Roman" w:eastAsia="仿宋_GB2312"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5"/>
        <w:spacing w:line="600" w:lineRule="exact"/>
        <w:ind w:firstLine="640" w:firstLineChars="200"/>
        <w:rPr>
          <w:rFonts w:ascii="Times New Roman" w:hAnsi="Times New Roman" w:eastAsia="仿宋_GB2312" w:cs="Times New Roman"/>
          <w:sz w:val="32"/>
          <w:szCs w:val="32"/>
        </w:rPr>
      </w:pPr>
    </w:p>
    <w:p>
      <w:pPr>
        <w:spacing w:line="600" w:lineRule="exact"/>
        <w:ind w:firstLine="643" w:firstLineChars="200"/>
        <w:rPr>
          <w:rFonts w:eastAsia="仿宋"/>
          <w:b/>
          <w:color w:val="000000"/>
          <w:sz w:val="32"/>
          <w:szCs w:val="32"/>
        </w:rPr>
      </w:pPr>
      <w:r>
        <w:rPr>
          <w:rFonts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12"/>
          <w:rFonts w:eastAsia="黑体"/>
          <w:b w:val="0"/>
        </w:rPr>
      </w:pPr>
      <w:bookmarkStart w:id="61" w:name="_Toc15377226"/>
      <w:r>
        <w:rPr>
          <w:b/>
          <w:color w:val="000000"/>
          <w:sz w:val="44"/>
          <w:szCs w:val="44"/>
        </w:rPr>
        <w:br w:type="page"/>
      </w:r>
      <w:bookmarkStart w:id="62" w:name="_Toc15396614"/>
      <w:r>
        <w:rPr>
          <w:rFonts w:eastAsia="黑体"/>
          <w:color w:val="000000"/>
          <w:sz w:val="44"/>
          <w:szCs w:val="44"/>
        </w:rPr>
        <w:t>第</w:t>
      </w:r>
      <w:r>
        <w:rPr>
          <w:rStyle w:val="12"/>
          <w:rFonts w:eastAsia="黑体"/>
          <w:b w:val="0"/>
        </w:rPr>
        <w:t>四部分 附件</w:t>
      </w:r>
      <w:bookmarkEnd w:id="62"/>
    </w:p>
    <w:p>
      <w:pPr>
        <w:spacing w:line="600" w:lineRule="exact"/>
        <w:jc w:val="left"/>
        <w:outlineLvl w:val="0"/>
        <w:rPr>
          <w:rFonts w:eastAsia="方正小标宋简体"/>
          <w:sz w:val="32"/>
          <w:szCs w:val="32"/>
        </w:rPr>
      </w:pPr>
      <w:r>
        <w:rPr>
          <w:rFonts w:eastAsia="黑体"/>
          <w:sz w:val="32"/>
          <w:szCs w:val="32"/>
        </w:rPr>
        <w:t>附件1</w:t>
      </w:r>
    </w:p>
    <w:p>
      <w:pPr>
        <w:spacing w:line="600" w:lineRule="exact"/>
        <w:jc w:val="center"/>
        <w:rPr>
          <w:rFonts w:eastAsia="方正小标宋简体"/>
          <w:sz w:val="44"/>
          <w:szCs w:val="44"/>
        </w:rPr>
      </w:pPr>
    </w:p>
    <w:p>
      <w:pPr>
        <w:spacing w:line="600" w:lineRule="exact"/>
        <w:jc w:val="center"/>
        <w:rPr>
          <w:rFonts w:eastAsia="方正小标宋简体"/>
          <w:color w:val="000000"/>
          <w:kern w:val="0"/>
          <w:sz w:val="40"/>
          <w:szCs w:val="44"/>
          <w:lang w:val="zh-CN"/>
        </w:rPr>
      </w:pPr>
      <w:r>
        <w:rPr>
          <w:rFonts w:eastAsia="方正小标宋简体"/>
          <w:color w:val="000000"/>
          <w:kern w:val="0"/>
          <w:sz w:val="40"/>
          <w:szCs w:val="44"/>
        </w:rPr>
        <w:t>攀枝花市科学技术局</w:t>
      </w:r>
    </w:p>
    <w:p>
      <w:pPr>
        <w:spacing w:line="600" w:lineRule="exact"/>
        <w:jc w:val="center"/>
        <w:rPr>
          <w:rFonts w:eastAsia="方正小标宋简体"/>
          <w:color w:val="000000"/>
          <w:kern w:val="0"/>
          <w:sz w:val="40"/>
          <w:szCs w:val="44"/>
          <w:lang w:val="zh-CN"/>
        </w:rPr>
      </w:pPr>
      <w:r>
        <w:rPr>
          <w:rFonts w:eastAsia="方正小标宋简体"/>
          <w:color w:val="000000"/>
          <w:kern w:val="0"/>
          <w:sz w:val="40"/>
          <w:szCs w:val="44"/>
        </w:rPr>
        <w:t>2020年部门</w:t>
      </w:r>
      <w:r>
        <w:rPr>
          <w:rFonts w:eastAsia="方正小标宋简体"/>
          <w:color w:val="000000"/>
          <w:kern w:val="0"/>
          <w:sz w:val="40"/>
          <w:szCs w:val="44"/>
          <w:lang w:val="zh-CN"/>
        </w:rPr>
        <w:t>整体支出绩效评价报告</w:t>
      </w:r>
    </w:p>
    <w:p>
      <w:pPr>
        <w:widowControl/>
        <w:spacing w:line="600" w:lineRule="exact"/>
        <w:ind w:firstLine="640" w:firstLineChars="200"/>
        <w:contextualSpacing/>
        <w:jc w:val="center"/>
        <w:rPr>
          <w:rFonts w:eastAsia="仿宋_GB2312"/>
          <w:sz w:val="32"/>
          <w:szCs w:val="32"/>
          <w:shd w:val="clear" w:color="auto" w:fill="FFFFFF"/>
        </w:rPr>
      </w:pPr>
      <w:r>
        <w:rPr>
          <w:rFonts w:eastAsia="仿宋_GB2312"/>
          <w:sz w:val="32"/>
          <w:szCs w:val="32"/>
          <w:shd w:val="clear" w:color="auto" w:fill="FFFFFF"/>
        </w:rPr>
        <w:t>（报告范围包括机关和下属单位）</w:t>
      </w:r>
    </w:p>
    <w:p>
      <w:pPr>
        <w:widowControl/>
        <w:adjustRightInd w:val="0"/>
        <w:snapToGrid w:val="0"/>
        <w:spacing w:line="600" w:lineRule="exact"/>
        <w:ind w:firstLine="480" w:firstLineChars="200"/>
        <w:contextualSpacing/>
        <w:jc w:val="left"/>
        <w:rPr>
          <w:rFonts w:eastAsia="黑体"/>
          <w:color w:val="000000"/>
          <w:kern w:val="0"/>
          <w:sz w:val="24"/>
          <w:szCs w:val="32"/>
          <w:shd w:val="clear" w:color="auto" w:fill="FFFFFF"/>
        </w:rPr>
      </w:pPr>
    </w:p>
    <w:p>
      <w:pPr>
        <w:widowControl/>
        <w:adjustRightInd w:val="0"/>
        <w:snapToGrid w:val="0"/>
        <w:spacing w:line="600" w:lineRule="exact"/>
        <w:ind w:firstLine="640" w:firstLineChars="200"/>
        <w:contextualSpacing/>
        <w:rPr>
          <w:rFonts w:eastAsia="黑体"/>
          <w:color w:val="000000"/>
          <w:kern w:val="0"/>
          <w:sz w:val="32"/>
          <w:szCs w:val="32"/>
          <w:shd w:val="clear" w:color="auto" w:fill="FFFFFF"/>
        </w:rPr>
      </w:pPr>
      <w:r>
        <w:rPr>
          <w:rFonts w:eastAsia="黑体"/>
          <w:color w:val="000000"/>
          <w:kern w:val="0"/>
          <w:sz w:val="32"/>
          <w:szCs w:val="32"/>
          <w:shd w:val="clear" w:color="auto" w:fill="FFFFFF"/>
        </w:rPr>
        <w:t>一、部门（单位）概况</w:t>
      </w:r>
    </w:p>
    <w:p>
      <w:pPr>
        <w:spacing w:line="600" w:lineRule="exact"/>
        <w:ind w:firstLine="800" w:firstLineChars="250"/>
        <w:rPr>
          <w:rFonts w:eastAsia="仿宋_GB2312"/>
          <w:color w:val="000000"/>
          <w:kern w:val="0"/>
          <w:sz w:val="32"/>
          <w:szCs w:val="32"/>
        </w:rPr>
      </w:pPr>
      <w:r>
        <w:rPr>
          <w:rFonts w:eastAsia="仿宋_GB2312"/>
          <w:color w:val="000000"/>
          <w:kern w:val="0"/>
          <w:sz w:val="32"/>
          <w:szCs w:val="32"/>
        </w:rPr>
        <w:t>（一）机构组成。</w:t>
      </w:r>
    </w:p>
    <w:p>
      <w:pPr>
        <w:spacing w:line="600" w:lineRule="exact"/>
        <w:ind w:firstLine="800" w:firstLineChars="250"/>
        <w:rPr>
          <w:rFonts w:eastAsia="仿宋_GB2312"/>
          <w:color w:val="000000"/>
          <w:kern w:val="0"/>
          <w:sz w:val="32"/>
          <w:szCs w:val="32"/>
        </w:rPr>
      </w:pPr>
      <w:r>
        <w:rPr>
          <w:rFonts w:eastAsia="仿宋_GB2312"/>
          <w:color w:val="000000"/>
          <w:kern w:val="0"/>
          <w:sz w:val="32"/>
          <w:szCs w:val="32"/>
        </w:rPr>
        <w:t>攀枝花市科学技术局属于行政机关，内设机构7个，下属二级单位4个，其中，其他事业单位4个。</w:t>
      </w:r>
    </w:p>
    <w:p>
      <w:pPr>
        <w:widowControl/>
        <w:adjustRightInd w:val="0"/>
        <w:snapToGrid w:val="0"/>
        <w:spacing w:line="600" w:lineRule="exact"/>
        <w:ind w:firstLine="640" w:firstLineChars="200"/>
        <w:contextualSpacing/>
        <w:rPr>
          <w:rFonts w:eastAsia="仿宋_GB2312"/>
          <w:color w:val="000000"/>
          <w:kern w:val="0"/>
          <w:sz w:val="32"/>
          <w:szCs w:val="32"/>
        </w:rPr>
      </w:pPr>
      <w:r>
        <w:rPr>
          <w:rFonts w:eastAsia="仿宋_GB2312"/>
          <w:color w:val="000000"/>
          <w:kern w:val="0"/>
          <w:sz w:val="32"/>
          <w:szCs w:val="32"/>
        </w:rPr>
        <w:t>（二）机构职能。</w:t>
      </w:r>
    </w:p>
    <w:p>
      <w:pPr>
        <w:spacing w:line="600" w:lineRule="exact"/>
        <w:ind w:firstLine="800" w:firstLineChars="250"/>
        <w:rPr>
          <w:rFonts w:eastAsia="仿宋_GB2312"/>
          <w:color w:val="000000"/>
          <w:kern w:val="0"/>
          <w:sz w:val="32"/>
          <w:szCs w:val="32"/>
        </w:rPr>
      </w:pPr>
      <w:r>
        <w:rPr>
          <w:rFonts w:hint="eastAsia" w:eastAsia="仿宋_GB2312"/>
          <w:color w:val="000000"/>
          <w:kern w:val="0"/>
          <w:sz w:val="32"/>
          <w:szCs w:val="32"/>
        </w:rPr>
        <w:t>一是</w:t>
      </w:r>
      <w:r>
        <w:rPr>
          <w:rFonts w:eastAsia="仿宋_GB2312"/>
          <w:color w:val="000000"/>
          <w:kern w:val="0"/>
          <w:sz w:val="32"/>
          <w:szCs w:val="32"/>
        </w:rPr>
        <w:t>拟订全市创新驱动发展战略以及科技发展、引进国外智力规划和政策措施并组织实施</w:t>
      </w:r>
      <w:r>
        <w:rPr>
          <w:rFonts w:hint="eastAsia" w:eastAsia="仿宋_GB2312"/>
          <w:color w:val="000000"/>
          <w:kern w:val="0"/>
          <w:sz w:val="32"/>
          <w:szCs w:val="32"/>
        </w:rPr>
        <w:t>；</w:t>
      </w:r>
      <w:r>
        <w:rPr>
          <w:rFonts w:eastAsia="仿宋_GB2312"/>
          <w:color w:val="000000"/>
          <w:kern w:val="0"/>
          <w:sz w:val="32"/>
          <w:szCs w:val="32"/>
        </w:rPr>
        <w:t>起草有关科技发展的政策措施并组织实施。</w:t>
      </w:r>
      <w:r>
        <w:rPr>
          <w:rFonts w:hint="eastAsia" w:eastAsia="仿宋_GB2312"/>
          <w:color w:val="000000"/>
          <w:kern w:val="0"/>
          <w:sz w:val="32"/>
          <w:szCs w:val="32"/>
        </w:rPr>
        <w:t>二是</w:t>
      </w:r>
      <w:r>
        <w:rPr>
          <w:rFonts w:eastAsia="仿宋_GB2312"/>
          <w:color w:val="000000"/>
          <w:kern w:val="0"/>
          <w:sz w:val="32"/>
          <w:szCs w:val="32"/>
        </w:rPr>
        <w:t>统筹推进全市科技创新体系建设和科技体制改革，会同有关部门健全技术创新激励机制</w:t>
      </w:r>
      <w:r>
        <w:rPr>
          <w:rFonts w:hint="eastAsia" w:eastAsia="仿宋_GB2312"/>
          <w:color w:val="000000"/>
          <w:kern w:val="0"/>
          <w:sz w:val="32"/>
          <w:szCs w:val="32"/>
        </w:rPr>
        <w:t>；</w:t>
      </w:r>
      <w:r>
        <w:rPr>
          <w:rFonts w:eastAsia="仿宋_GB2312"/>
          <w:color w:val="000000"/>
          <w:kern w:val="0"/>
          <w:sz w:val="32"/>
          <w:szCs w:val="32"/>
        </w:rPr>
        <w:t>优化科研体系建设，指导科研机构改革发展，推动企业科技创新能力建设，承担推进科技军民融合发展相关工作，推进全市重大科技决策咨询制度建设</w:t>
      </w:r>
      <w:r>
        <w:rPr>
          <w:rFonts w:hint="eastAsia" w:eastAsia="仿宋_GB2312"/>
          <w:color w:val="000000"/>
          <w:kern w:val="0"/>
          <w:sz w:val="32"/>
          <w:szCs w:val="32"/>
        </w:rPr>
        <w:t>；</w:t>
      </w:r>
      <w:r>
        <w:rPr>
          <w:rFonts w:eastAsia="仿宋_GB2312"/>
          <w:color w:val="000000"/>
          <w:kern w:val="0"/>
          <w:sz w:val="32"/>
          <w:szCs w:val="32"/>
        </w:rPr>
        <w:t>组织拟订全市推进创新创业、促进科技金融结合、科技招商的政策措施并组织实施。</w:t>
      </w:r>
      <w:r>
        <w:rPr>
          <w:rFonts w:hint="eastAsia" w:eastAsia="仿宋_GB2312"/>
          <w:color w:val="000000"/>
          <w:kern w:val="0"/>
          <w:sz w:val="32"/>
          <w:szCs w:val="32"/>
        </w:rPr>
        <w:t>三是</w:t>
      </w:r>
      <w:r>
        <w:rPr>
          <w:rFonts w:eastAsia="仿宋_GB2312"/>
          <w:color w:val="000000"/>
          <w:kern w:val="0"/>
          <w:sz w:val="32"/>
          <w:szCs w:val="32"/>
        </w:rPr>
        <w:t>牵头建立全市科研项目资金协调、实施、评估、监管机制</w:t>
      </w:r>
      <w:r>
        <w:rPr>
          <w:rFonts w:hint="eastAsia" w:eastAsia="仿宋_GB2312"/>
          <w:color w:val="000000"/>
          <w:kern w:val="0"/>
          <w:sz w:val="32"/>
          <w:szCs w:val="32"/>
        </w:rPr>
        <w:t>；</w:t>
      </w:r>
      <w:r>
        <w:rPr>
          <w:rFonts w:eastAsia="仿宋_GB2312"/>
          <w:color w:val="000000"/>
          <w:kern w:val="0"/>
          <w:sz w:val="32"/>
          <w:szCs w:val="32"/>
        </w:rPr>
        <w:t>会同有关部门提出优化配置科技资源的政策措施建议，推动多元化科技投入体系建设</w:t>
      </w:r>
      <w:r>
        <w:rPr>
          <w:rFonts w:hint="eastAsia" w:eastAsia="仿宋_GB2312"/>
          <w:color w:val="000000"/>
          <w:kern w:val="0"/>
          <w:sz w:val="32"/>
          <w:szCs w:val="32"/>
        </w:rPr>
        <w:t>；</w:t>
      </w:r>
      <w:r>
        <w:rPr>
          <w:rFonts w:eastAsia="仿宋_GB2312"/>
          <w:color w:val="000000"/>
          <w:kern w:val="0"/>
          <w:sz w:val="32"/>
          <w:szCs w:val="32"/>
        </w:rPr>
        <w:t>组织拟订市级财政科技计划（专项、基金）并监督和实施</w:t>
      </w:r>
      <w:r>
        <w:rPr>
          <w:rFonts w:hint="eastAsia" w:eastAsia="仿宋_GB2312"/>
          <w:color w:val="000000"/>
          <w:kern w:val="0"/>
          <w:sz w:val="32"/>
          <w:szCs w:val="32"/>
        </w:rPr>
        <w:t>；</w:t>
      </w:r>
      <w:r>
        <w:rPr>
          <w:rFonts w:eastAsia="仿宋_GB2312"/>
          <w:color w:val="000000"/>
          <w:kern w:val="0"/>
          <w:sz w:val="32"/>
          <w:szCs w:val="32"/>
        </w:rPr>
        <w:t>负责本部门预算中的科技经费预决算及经费使用的监督管理。</w:t>
      </w:r>
      <w:r>
        <w:rPr>
          <w:rFonts w:hint="eastAsia" w:eastAsia="仿宋_GB2312"/>
          <w:color w:val="000000"/>
          <w:kern w:val="0"/>
          <w:sz w:val="32"/>
          <w:szCs w:val="32"/>
        </w:rPr>
        <w:t>四是</w:t>
      </w:r>
      <w:r>
        <w:rPr>
          <w:rFonts w:eastAsia="仿宋_GB2312"/>
          <w:color w:val="000000"/>
          <w:kern w:val="0"/>
          <w:sz w:val="32"/>
          <w:szCs w:val="32"/>
        </w:rPr>
        <w:t>组织协调全市重大基础研究和应用基础研究。拟订科技创新基地建设规划并监督实施，参与编制重大科技基础设施建设规划和监督实施</w:t>
      </w:r>
      <w:r>
        <w:rPr>
          <w:rFonts w:hint="eastAsia" w:eastAsia="仿宋_GB2312"/>
          <w:color w:val="000000"/>
          <w:kern w:val="0"/>
          <w:sz w:val="32"/>
          <w:szCs w:val="32"/>
        </w:rPr>
        <w:t>；</w:t>
      </w:r>
      <w:r>
        <w:rPr>
          <w:rFonts w:eastAsia="仿宋_GB2312"/>
          <w:color w:val="000000"/>
          <w:kern w:val="0"/>
          <w:sz w:val="32"/>
          <w:szCs w:val="32"/>
        </w:rPr>
        <w:t>牵头推进在攀的国家、省（部）重点实验室、技术创新中心等重大科研平台建设，推动科研条件保障建设和科技资源开放共享。</w:t>
      </w:r>
      <w:r>
        <w:rPr>
          <w:rFonts w:hint="eastAsia" w:eastAsia="仿宋_GB2312"/>
          <w:color w:val="000000"/>
          <w:kern w:val="0"/>
          <w:sz w:val="32"/>
          <w:szCs w:val="32"/>
        </w:rPr>
        <w:t>五是</w:t>
      </w:r>
      <w:r>
        <w:rPr>
          <w:rFonts w:eastAsia="仿宋_GB2312"/>
          <w:color w:val="000000"/>
          <w:kern w:val="0"/>
          <w:sz w:val="32"/>
          <w:szCs w:val="32"/>
        </w:rPr>
        <w:t>拟订推进攀西国家战略资源创新开发试验区建设发展的科技支撑计划并组织实施</w:t>
      </w:r>
      <w:r>
        <w:rPr>
          <w:rFonts w:hint="eastAsia" w:eastAsia="仿宋_GB2312"/>
          <w:color w:val="000000"/>
          <w:kern w:val="0"/>
          <w:sz w:val="32"/>
          <w:szCs w:val="32"/>
        </w:rPr>
        <w:t>；</w:t>
      </w:r>
      <w:r>
        <w:rPr>
          <w:rFonts w:eastAsia="仿宋_GB2312"/>
          <w:color w:val="000000"/>
          <w:kern w:val="0"/>
          <w:sz w:val="32"/>
          <w:szCs w:val="32"/>
        </w:rPr>
        <w:t>编制全市重大科技专项方案并组织实施</w:t>
      </w:r>
      <w:r>
        <w:rPr>
          <w:rFonts w:hint="eastAsia" w:eastAsia="仿宋_GB2312"/>
          <w:color w:val="000000"/>
          <w:kern w:val="0"/>
          <w:sz w:val="32"/>
          <w:szCs w:val="32"/>
        </w:rPr>
        <w:t>；</w:t>
      </w:r>
      <w:r>
        <w:rPr>
          <w:rFonts w:eastAsia="仿宋_GB2312"/>
          <w:color w:val="000000"/>
          <w:kern w:val="0"/>
          <w:sz w:val="32"/>
          <w:szCs w:val="32"/>
        </w:rPr>
        <w:t>统筹经济社会发展重要领域的关键共性技术、前沿引领技术、现代工程技术、颠覆性计划的研发和创新，牵头组织重大科技攻关和成果应用示范</w:t>
      </w:r>
      <w:r>
        <w:rPr>
          <w:rFonts w:hint="eastAsia" w:eastAsia="仿宋_GB2312"/>
          <w:color w:val="000000"/>
          <w:kern w:val="0"/>
          <w:sz w:val="32"/>
          <w:szCs w:val="32"/>
        </w:rPr>
        <w:t>；</w:t>
      </w:r>
      <w:r>
        <w:rPr>
          <w:rFonts w:eastAsia="仿宋_GB2312"/>
          <w:color w:val="000000"/>
          <w:kern w:val="0"/>
          <w:sz w:val="32"/>
          <w:szCs w:val="32"/>
        </w:rPr>
        <w:t>组织开展重点领域技术发展需求分析，提出重大科技发展建议并组织实施</w:t>
      </w:r>
      <w:r>
        <w:rPr>
          <w:rFonts w:hint="eastAsia" w:eastAsia="仿宋_GB2312"/>
          <w:color w:val="000000"/>
          <w:kern w:val="0"/>
          <w:sz w:val="32"/>
          <w:szCs w:val="32"/>
        </w:rPr>
        <w:t>；</w:t>
      </w:r>
      <w:r>
        <w:rPr>
          <w:rFonts w:eastAsia="仿宋_GB2312"/>
          <w:color w:val="000000"/>
          <w:kern w:val="0"/>
          <w:sz w:val="32"/>
          <w:szCs w:val="32"/>
        </w:rPr>
        <w:t>负责组织国家、省科学技术奖等科技评奖的申报、审核、推荐工作。</w:t>
      </w:r>
      <w:r>
        <w:rPr>
          <w:rFonts w:hint="eastAsia" w:eastAsia="仿宋_GB2312"/>
          <w:color w:val="000000"/>
          <w:kern w:val="0"/>
          <w:sz w:val="32"/>
          <w:szCs w:val="32"/>
        </w:rPr>
        <w:t>六是</w:t>
      </w:r>
      <w:r>
        <w:rPr>
          <w:rFonts w:eastAsia="仿宋_GB2312"/>
          <w:color w:val="000000"/>
          <w:kern w:val="0"/>
          <w:sz w:val="32"/>
          <w:szCs w:val="32"/>
        </w:rPr>
        <w:t>组织拟订高新技术发展及产业化的规划和政策措施并组织实施</w:t>
      </w:r>
      <w:r>
        <w:rPr>
          <w:rFonts w:hint="eastAsia" w:eastAsia="仿宋_GB2312"/>
          <w:color w:val="000000"/>
          <w:kern w:val="0"/>
          <w:sz w:val="32"/>
          <w:szCs w:val="32"/>
        </w:rPr>
        <w:t>；</w:t>
      </w:r>
      <w:r>
        <w:rPr>
          <w:rFonts w:eastAsia="仿宋_GB2312"/>
          <w:color w:val="000000"/>
          <w:kern w:val="0"/>
          <w:sz w:val="32"/>
          <w:szCs w:val="32"/>
        </w:rPr>
        <w:t>指导高新技术企业、创新型企业申报和创新平台建设，负责市级创新平台认定管理工作</w:t>
      </w:r>
      <w:r>
        <w:rPr>
          <w:rFonts w:hint="eastAsia" w:eastAsia="仿宋_GB2312"/>
          <w:color w:val="000000"/>
          <w:kern w:val="0"/>
          <w:sz w:val="32"/>
          <w:szCs w:val="32"/>
        </w:rPr>
        <w:t>；</w:t>
      </w:r>
      <w:r>
        <w:rPr>
          <w:rFonts w:eastAsia="仿宋_GB2312"/>
          <w:color w:val="000000"/>
          <w:kern w:val="0"/>
          <w:sz w:val="32"/>
          <w:szCs w:val="32"/>
        </w:rPr>
        <w:t>组织开展科技型中小企业评价的初审工作。</w:t>
      </w:r>
      <w:r>
        <w:rPr>
          <w:rFonts w:hint="eastAsia" w:eastAsia="仿宋_GB2312"/>
          <w:color w:val="000000"/>
          <w:kern w:val="0"/>
          <w:sz w:val="32"/>
          <w:szCs w:val="32"/>
        </w:rPr>
        <w:t>七是</w:t>
      </w:r>
      <w:r>
        <w:rPr>
          <w:rFonts w:eastAsia="仿宋_GB2312"/>
          <w:color w:val="000000"/>
          <w:kern w:val="0"/>
          <w:sz w:val="32"/>
          <w:szCs w:val="32"/>
        </w:rPr>
        <w:t>组织拟订科技促进农业农村和社会发展的规划、政策和措施，指导现代农业示范基地建设，推进科技服务民生工作</w:t>
      </w:r>
      <w:r>
        <w:rPr>
          <w:rFonts w:hint="eastAsia" w:eastAsia="仿宋_GB2312"/>
          <w:color w:val="000000"/>
          <w:kern w:val="0"/>
          <w:sz w:val="32"/>
          <w:szCs w:val="32"/>
        </w:rPr>
        <w:t>；</w:t>
      </w:r>
      <w:r>
        <w:rPr>
          <w:rFonts w:eastAsia="仿宋_GB2312"/>
          <w:color w:val="000000"/>
          <w:kern w:val="0"/>
          <w:sz w:val="32"/>
          <w:szCs w:val="32"/>
        </w:rPr>
        <w:t>拟订科学普及和科学传播规划，政策措施并组织实施。</w:t>
      </w:r>
      <w:r>
        <w:rPr>
          <w:rFonts w:hint="eastAsia" w:eastAsia="仿宋_GB2312"/>
          <w:color w:val="000000"/>
          <w:kern w:val="0"/>
          <w:sz w:val="32"/>
          <w:szCs w:val="32"/>
        </w:rPr>
        <w:t>八是</w:t>
      </w:r>
      <w:r>
        <w:rPr>
          <w:rFonts w:eastAsia="仿宋_GB2312"/>
          <w:color w:val="000000"/>
          <w:kern w:val="0"/>
          <w:sz w:val="32"/>
          <w:szCs w:val="32"/>
        </w:rPr>
        <w:t>牵头全市技术转移体系建设，拟订科技成果转移转化和促进产学研结合的相关政策措施并组织实施</w:t>
      </w:r>
      <w:r>
        <w:rPr>
          <w:rFonts w:hint="eastAsia" w:eastAsia="仿宋_GB2312"/>
          <w:color w:val="000000"/>
          <w:kern w:val="0"/>
          <w:sz w:val="32"/>
          <w:szCs w:val="32"/>
        </w:rPr>
        <w:t>；</w:t>
      </w:r>
      <w:r>
        <w:rPr>
          <w:rFonts w:eastAsia="仿宋_GB2312"/>
          <w:color w:val="000000"/>
          <w:kern w:val="0"/>
          <w:sz w:val="32"/>
          <w:szCs w:val="32"/>
        </w:rPr>
        <w:t>指导科技服务业、技术市场和科技中介组织发展。</w:t>
      </w:r>
      <w:r>
        <w:rPr>
          <w:rFonts w:hint="eastAsia" w:eastAsia="仿宋_GB2312"/>
          <w:color w:val="000000"/>
          <w:kern w:val="0"/>
          <w:sz w:val="32"/>
          <w:szCs w:val="32"/>
        </w:rPr>
        <w:t>九是</w:t>
      </w:r>
      <w:r>
        <w:rPr>
          <w:rFonts w:eastAsia="仿宋_GB2312"/>
          <w:color w:val="000000"/>
          <w:kern w:val="0"/>
          <w:sz w:val="32"/>
          <w:szCs w:val="32"/>
        </w:rPr>
        <w:t>统筹区域科技创新体系建设，指导区域创新发展、科技资源合理布局和协同创新能力建设，推动高新技术园区建设。</w:t>
      </w:r>
      <w:r>
        <w:rPr>
          <w:rFonts w:hint="eastAsia" w:eastAsia="仿宋_GB2312"/>
          <w:color w:val="000000"/>
          <w:kern w:val="0"/>
          <w:sz w:val="32"/>
          <w:szCs w:val="32"/>
        </w:rPr>
        <w:t>十是</w:t>
      </w:r>
      <w:r>
        <w:rPr>
          <w:rFonts w:eastAsia="仿宋_GB2312"/>
          <w:color w:val="000000"/>
          <w:kern w:val="0"/>
          <w:sz w:val="32"/>
          <w:szCs w:val="32"/>
        </w:rPr>
        <w:t>会同有关部门拟订科技人才队伍建设规划和政策，建立健全科技人才评价和激励机制，组织实施科技人才计划，推动高端科技创新人才队伍建设。</w:t>
      </w:r>
      <w:r>
        <w:rPr>
          <w:rFonts w:hint="eastAsia" w:eastAsia="仿宋_GB2312"/>
          <w:color w:val="000000"/>
          <w:kern w:val="0"/>
          <w:sz w:val="32"/>
          <w:szCs w:val="32"/>
        </w:rPr>
        <w:t>十一是</w:t>
      </w:r>
      <w:r>
        <w:rPr>
          <w:rFonts w:eastAsia="仿宋_GB2312"/>
          <w:color w:val="000000"/>
          <w:kern w:val="0"/>
          <w:sz w:val="32"/>
          <w:szCs w:val="32"/>
        </w:rPr>
        <w:t>负责科技监督评价体系建设和相关科技评估管理，指导科技评价机制改革，统筹科研诚信建设</w:t>
      </w:r>
      <w:r>
        <w:rPr>
          <w:rFonts w:hint="eastAsia" w:eastAsia="仿宋_GB2312"/>
          <w:color w:val="000000"/>
          <w:kern w:val="0"/>
          <w:sz w:val="32"/>
          <w:szCs w:val="32"/>
        </w:rPr>
        <w:t>；</w:t>
      </w:r>
      <w:r>
        <w:rPr>
          <w:rFonts w:eastAsia="仿宋_GB2312"/>
          <w:color w:val="000000"/>
          <w:kern w:val="0"/>
          <w:sz w:val="32"/>
          <w:szCs w:val="32"/>
        </w:rPr>
        <w:t>组织实施全市创新调查和科技报告制度，指导全市科技保密相关工作。</w:t>
      </w:r>
      <w:r>
        <w:rPr>
          <w:rFonts w:hint="eastAsia" w:eastAsia="仿宋_GB2312"/>
          <w:color w:val="000000"/>
          <w:kern w:val="0"/>
          <w:sz w:val="32"/>
          <w:szCs w:val="32"/>
        </w:rPr>
        <w:t>十二是</w:t>
      </w:r>
      <w:r>
        <w:rPr>
          <w:rFonts w:eastAsia="仿宋_GB2312"/>
          <w:color w:val="000000"/>
          <w:kern w:val="0"/>
          <w:sz w:val="32"/>
          <w:szCs w:val="32"/>
        </w:rPr>
        <w:t>拟订科技对外交流与创新能力开放合作的规划和政策措施，组织开展对外科技合作与科技人才交流</w:t>
      </w:r>
      <w:r>
        <w:rPr>
          <w:rFonts w:hint="eastAsia" w:eastAsia="仿宋_GB2312"/>
          <w:color w:val="000000"/>
          <w:kern w:val="0"/>
          <w:sz w:val="32"/>
          <w:szCs w:val="32"/>
        </w:rPr>
        <w:t>；</w:t>
      </w:r>
      <w:r>
        <w:rPr>
          <w:rFonts w:eastAsia="仿宋_GB2312"/>
          <w:color w:val="000000"/>
          <w:kern w:val="0"/>
          <w:sz w:val="32"/>
          <w:szCs w:val="32"/>
        </w:rPr>
        <w:t>指导县（区）和相关部门对外科技合作与科技人才交流工作</w:t>
      </w:r>
      <w:r>
        <w:rPr>
          <w:rFonts w:hint="eastAsia" w:eastAsia="仿宋_GB2312"/>
          <w:color w:val="000000"/>
          <w:kern w:val="0"/>
          <w:sz w:val="32"/>
          <w:szCs w:val="32"/>
        </w:rPr>
        <w:t>；</w:t>
      </w:r>
      <w:r>
        <w:rPr>
          <w:rFonts w:eastAsia="仿宋_GB2312"/>
          <w:color w:val="000000"/>
          <w:kern w:val="0"/>
          <w:sz w:val="32"/>
          <w:szCs w:val="32"/>
        </w:rPr>
        <w:t>负责有关科技博览展会参展推广的组织协调工作。</w:t>
      </w:r>
      <w:r>
        <w:rPr>
          <w:rFonts w:hint="eastAsia" w:eastAsia="仿宋_GB2312"/>
          <w:color w:val="000000"/>
          <w:kern w:val="0"/>
          <w:sz w:val="32"/>
          <w:szCs w:val="32"/>
        </w:rPr>
        <w:t>十三是</w:t>
      </w:r>
      <w:r>
        <w:rPr>
          <w:rFonts w:eastAsia="仿宋_GB2312"/>
          <w:color w:val="000000"/>
          <w:kern w:val="0"/>
          <w:sz w:val="32"/>
          <w:szCs w:val="32"/>
        </w:rPr>
        <w:t>负责引进国外智力工作</w:t>
      </w:r>
      <w:r>
        <w:rPr>
          <w:rFonts w:hint="eastAsia" w:eastAsia="仿宋_GB2312"/>
          <w:color w:val="000000"/>
          <w:kern w:val="0"/>
          <w:sz w:val="32"/>
          <w:szCs w:val="32"/>
        </w:rPr>
        <w:t>；</w:t>
      </w:r>
      <w:r>
        <w:rPr>
          <w:rFonts w:eastAsia="仿宋_GB2312"/>
          <w:color w:val="000000"/>
          <w:kern w:val="0"/>
          <w:sz w:val="32"/>
          <w:szCs w:val="32"/>
        </w:rPr>
        <w:t>拟订全市重点引进外国专家总体规划、计划并组织实施，建立外国顶尖专家、团队吸引集聚机制和重点外国专家联系服务机制</w:t>
      </w:r>
      <w:r>
        <w:rPr>
          <w:rFonts w:hint="eastAsia" w:eastAsia="仿宋_GB2312"/>
          <w:color w:val="000000"/>
          <w:kern w:val="0"/>
          <w:sz w:val="32"/>
          <w:szCs w:val="32"/>
        </w:rPr>
        <w:t>；</w:t>
      </w:r>
      <w:r>
        <w:rPr>
          <w:rFonts w:eastAsia="仿宋_GB2312"/>
          <w:color w:val="000000"/>
          <w:kern w:val="0"/>
          <w:sz w:val="32"/>
          <w:szCs w:val="32"/>
        </w:rPr>
        <w:t>拟订出国（境）培训总体规划、政策和年度计划并监督实施</w:t>
      </w:r>
      <w:r>
        <w:rPr>
          <w:rFonts w:hint="eastAsia" w:eastAsia="仿宋_GB2312"/>
          <w:color w:val="000000"/>
          <w:kern w:val="0"/>
          <w:sz w:val="32"/>
          <w:szCs w:val="32"/>
        </w:rPr>
        <w:t>；</w:t>
      </w:r>
      <w:r>
        <w:rPr>
          <w:rFonts w:eastAsia="仿宋_GB2312"/>
          <w:color w:val="000000"/>
          <w:kern w:val="0"/>
          <w:sz w:val="32"/>
          <w:szCs w:val="32"/>
        </w:rPr>
        <w:t>会同有关部门制定外国人来攀工作政策、办理相关外国人工作许可</w:t>
      </w:r>
      <w:r>
        <w:rPr>
          <w:rFonts w:hint="eastAsia" w:eastAsia="仿宋_GB2312"/>
          <w:color w:val="000000"/>
          <w:kern w:val="0"/>
          <w:sz w:val="32"/>
          <w:szCs w:val="32"/>
        </w:rPr>
        <w:t>。十四是</w:t>
      </w:r>
      <w:r>
        <w:rPr>
          <w:rFonts w:eastAsia="仿宋_GB2312"/>
          <w:color w:val="000000"/>
          <w:kern w:val="0"/>
          <w:sz w:val="32"/>
          <w:szCs w:val="32"/>
        </w:rPr>
        <w:t>负责职责范围内的安全生产和职业健康、生态环境保护、审批服务便民化等工作。</w:t>
      </w:r>
      <w:r>
        <w:rPr>
          <w:rFonts w:hint="eastAsia" w:eastAsia="仿宋_GB2312"/>
          <w:color w:val="000000"/>
          <w:kern w:val="0"/>
          <w:sz w:val="32"/>
          <w:szCs w:val="32"/>
        </w:rPr>
        <w:t>十五是</w:t>
      </w:r>
      <w:r>
        <w:rPr>
          <w:rFonts w:eastAsia="仿宋_GB2312"/>
          <w:color w:val="000000"/>
          <w:kern w:val="0"/>
          <w:sz w:val="32"/>
          <w:szCs w:val="32"/>
        </w:rPr>
        <w:t>完成市委、市政府交办的其他任务。</w:t>
      </w:r>
    </w:p>
    <w:p>
      <w:pPr>
        <w:widowControl/>
        <w:adjustRightInd w:val="0"/>
        <w:snapToGrid w:val="0"/>
        <w:spacing w:line="600" w:lineRule="exact"/>
        <w:ind w:firstLine="640" w:firstLineChars="200"/>
        <w:contextualSpacing/>
        <w:rPr>
          <w:rFonts w:eastAsia="仿宋_GB2312"/>
          <w:color w:val="000000"/>
          <w:kern w:val="0"/>
          <w:sz w:val="32"/>
          <w:szCs w:val="32"/>
        </w:rPr>
      </w:pPr>
      <w:r>
        <w:rPr>
          <w:rFonts w:eastAsia="仿宋_GB2312"/>
          <w:color w:val="000000"/>
          <w:kern w:val="0"/>
          <w:sz w:val="32"/>
          <w:szCs w:val="32"/>
        </w:rPr>
        <w:t>（三）人员概况。</w:t>
      </w:r>
    </w:p>
    <w:p>
      <w:pPr>
        <w:widowControl/>
        <w:adjustRightInd w:val="0"/>
        <w:snapToGrid w:val="0"/>
        <w:spacing w:line="600" w:lineRule="exact"/>
        <w:ind w:firstLine="640" w:firstLineChars="200"/>
        <w:contextualSpacing/>
        <w:rPr>
          <w:rFonts w:eastAsia="仿宋_GB2312"/>
          <w:color w:val="000000"/>
          <w:kern w:val="0"/>
          <w:sz w:val="32"/>
          <w:szCs w:val="32"/>
        </w:rPr>
      </w:pPr>
      <w:r>
        <w:rPr>
          <w:rFonts w:eastAsia="仿宋_GB2312"/>
          <w:color w:val="000000"/>
          <w:kern w:val="0"/>
          <w:sz w:val="32"/>
          <w:szCs w:val="32"/>
        </w:rPr>
        <w:t>我局机关行政编制21名，后勤事业编制5名。领导职数5名（一正三副、1名机关总支书记），科级领导职数11名。局属事业单位4个，编制4</w:t>
      </w:r>
      <w:r>
        <w:rPr>
          <w:rFonts w:hint="eastAsia" w:eastAsia="仿宋_GB2312"/>
          <w:color w:val="000000"/>
          <w:kern w:val="0"/>
          <w:sz w:val="32"/>
          <w:szCs w:val="32"/>
        </w:rPr>
        <w:t>9</w:t>
      </w:r>
      <w:r>
        <w:rPr>
          <w:rFonts w:eastAsia="仿宋_GB2312"/>
          <w:color w:val="000000"/>
          <w:kern w:val="0"/>
          <w:sz w:val="32"/>
          <w:szCs w:val="32"/>
        </w:rPr>
        <w:t>名。</w:t>
      </w:r>
    </w:p>
    <w:p>
      <w:pPr>
        <w:widowControl/>
        <w:adjustRightInd w:val="0"/>
        <w:snapToGrid w:val="0"/>
        <w:spacing w:line="600" w:lineRule="exact"/>
        <w:ind w:firstLine="640" w:firstLineChars="200"/>
        <w:contextualSpacing/>
        <w:rPr>
          <w:rFonts w:eastAsia="黑体"/>
          <w:color w:val="000000"/>
          <w:kern w:val="0"/>
          <w:sz w:val="32"/>
          <w:szCs w:val="32"/>
          <w:shd w:val="clear" w:color="auto" w:fill="FFFFFF"/>
        </w:rPr>
      </w:pPr>
      <w:r>
        <w:rPr>
          <w:rFonts w:eastAsia="黑体"/>
          <w:color w:val="000000"/>
          <w:kern w:val="0"/>
          <w:sz w:val="32"/>
          <w:szCs w:val="32"/>
          <w:shd w:val="clear" w:color="auto" w:fill="FFFFFF"/>
        </w:rPr>
        <w:t>二、部门财政资金收支情况</w:t>
      </w:r>
    </w:p>
    <w:p>
      <w:pPr>
        <w:widowControl/>
        <w:spacing w:line="600" w:lineRule="exact"/>
        <w:ind w:firstLine="640" w:firstLineChars="200"/>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（一）部门财政资金收入情况。20</w:t>
      </w:r>
      <w:r>
        <w:rPr>
          <w:rFonts w:eastAsia="仿宋_GB2312"/>
          <w:color w:val="000000"/>
          <w:kern w:val="0"/>
          <w:sz w:val="32"/>
          <w:szCs w:val="32"/>
          <w:shd w:val="clear" w:color="auto" w:fill="FFFFFF"/>
        </w:rPr>
        <w:t>20</w:t>
      </w:r>
      <w:r>
        <w:rPr>
          <w:rFonts w:eastAsia="仿宋_GB2312"/>
          <w:color w:val="000000"/>
          <w:kern w:val="0"/>
          <w:sz w:val="32"/>
          <w:szCs w:val="32"/>
          <w:shd w:val="clear" w:color="auto" w:fill="FFFFFF"/>
          <w:lang w:val="zh-CN"/>
        </w:rPr>
        <w:t>年财政总收入</w:t>
      </w:r>
      <w:r>
        <w:rPr>
          <w:rFonts w:eastAsia="仿宋_GB2312"/>
          <w:color w:val="000000"/>
          <w:kern w:val="0"/>
          <w:sz w:val="32"/>
          <w:szCs w:val="32"/>
          <w:shd w:val="clear" w:color="auto" w:fill="FFFFFF"/>
        </w:rPr>
        <w:t>2201.81</w:t>
      </w:r>
      <w:r>
        <w:rPr>
          <w:rFonts w:eastAsia="仿宋_GB2312"/>
          <w:color w:val="000000"/>
          <w:kern w:val="0"/>
          <w:sz w:val="32"/>
          <w:szCs w:val="32"/>
          <w:shd w:val="clear" w:color="auto" w:fill="FFFFFF"/>
          <w:lang w:val="zh-CN"/>
        </w:rPr>
        <w:t>万元。其中：年初财政拨款结转和结余财政资金（项目资金）</w:t>
      </w:r>
      <w:r>
        <w:rPr>
          <w:rFonts w:eastAsia="仿宋_GB2312"/>
          <w:color w:val="000000"/>
          <w:kern w:val="0"/>
          <w:sz w:val="32"/>
          <w:szCs w:val="32"/>
          <w:shd w:val="clear" w:color="auto" w:fill="FFFFFF"/>
        </w:rPr>
        <w:t>110.79</w:t>
      </w:r>
      <w:r>
        <w:rPr>
          <w:rFonts w:eastAsia="仿宋_GB2312"/>
          <w:color w:val="000000"/>
          <w:kern w:val="0"/>
          <w:sz w:val="32"/>
          <w:szCs w:val="32"/>
          <w:shd w:val="clear" w:color="auto" w:fill="FFFFFF"/>
          <w:lang w:val="zh-CN"/>
        </w:rPr>
        <w:t>万元；20</w:t>
      </w:r>
      <w:r>
        <w:rPr>
          <w:rFonts w:eastAsia="仿宋_GB2312"/>
          <w:color w:val="000000"/>
          <w:kern w:val="0"/>
          <w:sz w:val="32"/>
          <w:szCs w:val="32"/>
          <w:shd w:val="clear" w:color="auto" w:fill="FFFFFF"/>
        </w:rPr>
        <w:t>20</w:t>
      </w:r>
      <w:r>
        <w:rPr>
          <w:rFonts w:eastAsia="仿宋_GB2312"/>
          <w:color w:val="000000"/>
          <w:kern w:val="0"/>
          <w:sz w:val="32"/>
          <w:szCs w:val="32"/>
          <w:shd w:val="clear" w:color="auto" w:fill="FFFFFF"/>
          <w:lang w:val="zh-CN"/>
        </w:rPr>
        <w:t>年财政资金拨款</w:t>
      </w:r>
      <w:r>
        <w:rPr>
          <w:rFonts w:eastAsia="仿宋_GB2312"/>
          <w:color w:val="000000"/>
          <w:kern w:val="0"/>
          <w:sz w:val="32"/>
          <w:szCs w:val="32"/>
          <w:shd w:val="clear" w:color="auto" w:fill="FFFFFF"/>
        </w:rPr>
        <w:t>2091.0</w:t>
      </w:r>
      <w:r>
        <w:rPr>
          <w:rFonts w:hint="eastAsia" w:eastAsia="仿宋_GB2312"/>
          <w:color w:val="000000"/>
          <w:kern w:val="0"/>
          <w:sz w:val="32"/>
          <w:szCs w:val="32"/>
          <w:shd w:val="clear" w:color="auto" w:fill="FFFFFF"/>
        </w:rPr>
        <w:t>2</w:t>
      </w:r>
      <w:r>
        <w:rPr>
          <w:rFonts w:eastAsia="仿宋_GB2312"/>
          <w:color w:val="000000"/>
          <w:kern w:val="0"/>
          <w:sz w:val="32"/>
          <w:szCs w:val="32"/>
          <w:shd w:val="clear" w:color="auto" w:fill="FFFFFF"/>
          <w:lang w:val="zh-CN"/>
        </w:rPr>
        <w:t>万元（其中：一般公共预算财政拨款</w:t>
      </w:r>
      <w:r>
        <w:rPr>
          <w:rFonts w:eastAsia="仿宋_GB2312"/>
          <w:color w:val="000000"/>
          <w:kern w:val="0"/>
          <w:sz w:val="32"/>
          <w:szCs w:val="32"/>
          <w:shd w:val="clear" w:color="auto" w:fill="FFFFFF"/>
        </w:rPr>
        <w:t>1521.</w:t>
      </w:r>
      <w:r>
        <w:rPr>
          <w:rFonts w:hint="eastAsia" w:eastAsia="仿宋_GB2312"/>
          <w:color w:val="000000"/>
          <w:kern w:val="0"/>
          <w:sz w:val="32"/>
          <w:szCs w:val="32"/>
          <w:shd w:val="clear" w:color="auto" w:fill="FFFFFF"/>
        </w:rPr>
        <w:t>4</w:t>
      </w:r>
      <w:r>
        <w:rPr>
          <w:rFonts w:eastAsia="仿宋_GB2312"/>
          <w:color w:val="000000"/>
          <w:kern w:val="0"/>
          <w:sz w:val="32"/>
          <w:szCs w:val="32"/>
          <w:shd w:val="clear" w:color="auto" w:fill="FFFFFF"/>
          <w:lang w:val="zh-CN"/>
        </w:rPr>
        <w:t>万元，政府性基金预算财政拨款</w:t>
      </w:r>
      <w:r>
        <w:rPr>
          <w:rFonts w:eastAsia="仿宋_GB2312"/>
          <w:color w:val="000000"/>
          <w:kern w:val="0"/>
          <w:sz w:val="32"/>
          <w:szCs w:val="32"/>
          <w:shd w:val="clear" w:color="auto" w:fill="FFFFFF"/>
        </w:rPr>
        <w:t>569.62</w:t>
      </w:r>
      <w:r>
        <w:rPr>
          <w:rFonts w:eastAsia="仿宋_GB2312"/>
          <w:color w:val="000000"/>
          <w:kern w:val="0"/>
          <w:sz w:val="32"/>
          <w:szCs w:val="32"/>
          <w:shd w:val="clear" w:color="auto" w:fill="FFFFFF"/>
          <w:lang w:val="zh-CN"/>
        </w:rPr>
        <w:t>万元）。</w:t>
      </w:r>
    </w:p>
    <w:p>
      <w:pPr>
        <w:widowControl/>
        <w:spacing w:line="600" w:lineRule="exact"/>
        <w:ind w:firstLine="480" w:firstLineChars="150"/>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（二）部门财政资金支出情况。20</w:t>
      </w:r>
      <w:r>
        <w:rPr>
          <w:rFonts w:eastAsia="仿宋_GB2312"/>
          <w:color w:val="000000"/>
          <w:kern w:val="0"/>
          <w:sz w:val="32"/>
          <w:szCs w:val="32"/>
          <w:shd w:val="clear" w:color="auto" w:fill="FFFFFF"/>
        </w:rPr>
        <w:t>20</w:t>
      </w:r>
      <w:r>
        <w:rPr>
          <w:rFonts w:eastAsia="仿宋_GB2312"/>
          <w:color w:val="000000"/>
          <w:kern w:val="0"/>
          <w:sz w:val="32"/>
          <w:szCs w:val="32"/>
          <w:shd w:val="clear" w:color="auto" w:fill="FFFFFF"/>
          <w:lang w:val="zh-CN"/>
        </w:rPr>
        <w:t>年财政总支出2</w:t>
      </w:r>
      <w:r>
        <w:rPr>
          <w:rFonts w:eastAsia="仿宋_GB2312"/>
          <w:color w:val="000000"/>
          <w:kern w:val="0"/>
          <w:sz w:val="32"/>
          <w:szCs w:val="32"/>
          <w:shd w:val="clear" w:color="auto" w:fill="FFFFFF"/>
        </w:rPr>
        <w:t>201.81</w:t>
      </w:r>
      <w:r>
        <w:rPr>
          <w:rFonts w:eastAsia="仿宋_GB2312"/>
          <w:color w:val="000000"/>
          <w:kern w:val="0"/>
          <w:sz w:val="32"/>
          <w:szCs w:val="32"/>
          <w:shd w:val="clear" w:color="auto" w:fill="FFFFFF"/>
          <w:lang w:val="zh-CN"/>
        </w:rPr>
        <w:t>万元，其中：一般公共预算财政拨款支出1</w:t>
      </w:r>
      <w:r>
        <w:rPr>
          <w:rFonts w:eastAsia="仿宋_GB2312"/>
          <w:color w:val="000000"/>
          <w:kern w:val="0"/>
          <w:sz w:val="32"/>
          <w:szCs w:val="32"/>
          <w:shd w:val="clear" w:color="auto" w:fill="FFFFFF"/>
        </w:rPr>
        <w:t>606.1</w:t>
      </w:r>
      <w:r>
        <w:rPr>
          <w:rFonts w:hint="eastAsia" w:eastAsia="仿宋_GB2312"/>
          <w:color w:val="000000"/>
          <w:kern w:val="0"/>
          <w:sz w:val="32"/>
          <w:szCs w:val="32"/>
          <w:shd w:val="clear" w:color="auto" w:fill="FFFFFF"/>
        </w:rPr>
        <w:t>5</w:t>
      </w:r>
      <w:r>
        <w:rPr>
          <w:rFonts w:eastAsia="仿宋_GB2312"/>
          <w:color w:val="000000"/>
          <w:kern w:val="0"/>
          <w:sz w:val="32"/>
          <w:szCs w:val="32"/>
          <w:shd w:val="clear" w:color="auto" w:fill="FFFFFF"/>
          <w:lang w:val="zh-CN"/>
        </w:rPr>
        <w:t>万元，政府性基金预算财政拨款支出</w:t>
      </w:r>
      <w:r>
        <w:rPr>
          <w:rFonts w:eastAsia="仿宋_GB2312"/>
          <w:color w:val="000000"/>
          <w:kern w:val="0"/>
          <w:sz w:val="32"/>
          <w:szCs w:val="32"/>
          <w:shd w:val="clear" w:color="auto" w:fill="FFFFFF"/>
        </w:rPr>
        <w:t>569.62</w:t>
      </w:r>
      <w:r>
        <w:rPr>
          <w:rFonts w:eastAsia="仿宋_GB2312"/>
          <w:color w:val="000000"/>
          <w:kern w:val="0"/>
          <w:sz w:val="32"/>
          <w:szCs w:val="32"/>
          <w:shd w:val="clear" w:color="auto" w:fill="FFFFFF"/>
          <w:lang w:val="zh-CN"/>
        </w:rPr>
        <w:t>万元，年末结余</w:t>
      </w:r>
      <w:r>
        <w:rPr>
          <w:rFonts w:eastAsia="仿宋_GB2312"/>
          <w:color w:val="000000"/>
          <w:kern w:val="0"/>
          <w:sz w:val="32"/>
          <w:szCs w:val="32"/>
          <w:shd w:val="clear" w:color="auto" w:fill="FFFFFF"/>
        </w:rPr>
        <w:t>26.0</w:t>
      </w:r>
      <w:r>
        <w:rPr>
          <w:rFonts w:hint="eastAsia" w:eastAsia="仿宋_GB2312"/>
          <w:color w:val="000000"/>
          <w:kern w:val="0"/>
          <w:sz w:val="32"/>
          <w:szCs w:val="32"/>
          <w:shd w:val="clear" w:color="auto" w:fill="FFFFFF"/>
        </w:rPr>
        <w:t>4</w:t>
      </w:r>
      <w:r>
        <w:rPr>
          <w:rFonts w:eastAsia="仿宋_GB2312"/>
          <w:color w:val="000000"/>
          <w:kern w:val="0"/>
          <w:sz w:val="32"/>
          <w:szCs w:val="32"/>
          <w:shd w:val="clear" w:color="auto" w:fill="FFFFFF"/>
          <w:lang w:val="zh-CN"/>
        </w:rPr>
        <w:t>万元。</w:t>
      </w:r>
    </w:p>
    <w:p>
      <w:pPr>
        <w:widowControl/>
        <w:adjustRightInd w:val="0"/>
        <w:snapToGrid w:val="0"/>
        <w:spacing w:line="600" w:lineRule="exact"/>
        <w:ind w:firstLine="640" w:firstLineChars="200"/>
        <w:contextualSpacing/>
        <w:rPr>
          <w:rFonts w:eastAsia="黑体"/>
          <w:color w:val="000000"/>
          <w:kern w:val="0"/>
          <w:sz w:val="32"/>
          <w:szCs w:val="32"/>
          <w:shd w:val="clear" w:color="auto" w:fill="FFFFFF"/>
        </w:rPr>
      </w:pPr>
      <w:r>
        <w:rPr>
          <w:rFonts w:eastAsia="黑体"/>
          <w:color w:val="000000"/>
          <w:kern w:val="0"/>
          <w:sz w:val="32"/>
          <w:szCs w:val="32"/>
          <w:shd w:val="clear" w:color="auto" w:fill="FFFFFF"/>
        </w:rPr>
        <w:t>三、部门整体预算绩效管理情况</w:t>
      </w:r>
    </w:p>
    <w:p>
      <w:pPr>
        <w:widowControl/>
        <w:adjustRightInd w:val="0"/>
        <w:snapToGrid w:val="0"/>
        <w:spacing w:line="600" w:lineRule="exact"/>
        <w:ind w:firstLine="640" w:firstLineChars="200"/>
        <w:contextualSpacing/>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（一）部门预算管理。</w:t>
      </w:r>
    </w:p>
    <w:p>
      <w:pPr>
        <w:widowControl/>
        <w:adjustRightInd w:val="0"/>
        <w:snapToGrid w:val="0"/>
        <w:spacing w:line="600" w:lineRule="exact"/>
        <w:ind w:firstLine="640" w:firstLineChars="200"/>
        <w:contextualSpacing/>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1.预算编制情况。根据《中华人民共和国预算法》、《中华人民共和国预算法实施条例》</w:t>
      </w:r>
      <w:r>
        <w:rPr>
          <w:rFonts w:hint="eastAsia" w:eastAsia="仿宋_GB2312"/>
          <w:color w:val="000000"/>
          <w:kern w:val="0"/>
          <w:sz w:val="32"/>
          <w:szCs w:val="32"/>
          <w:shd w:val="clear" w:color="auto" w:fill="FFFFFF"/>
          <w:lang w:val="zh-CN"/>
        </w:rPr>
        <w:t>，</w:t>
      </w:r>
      <w:r>
        <w:rPr>
          <w:rFonts w:eastAsia="仿宋_GB2312"/>
          <w:color w:val="000000"/>
          <w:kern w:val="0"/>
          <w:sz w:val="32"/>
          <w:szCs w:val="32"/>
          <w:shd w:val="clear" w:color="auto" w:fill="FFFFFF"/>
          <w:lang w:val="zh-CN"/>
        </w:rPr>
        <w:t>认真贯彻党的十九大精神，紧紧围绕市委、市政府决策部署，按照“保工资、保运转、保必要民生”的财政保障序列，严格控制一般性支出和“三公”经费规模，首先安排用于保工资，其次是保基本运转，再次是保必要民生支出，最后安排单位项目支出的原则进行预算编制。</w:t>
      </w:r>
    </w:p>
    <w:p>
      <w:pPr>
        <w:widowControl/>
        <w:adjustRightInd w:val="0"/>
        <w:snapToGrid w:val="0"/>
        <w:spacing w:line="600" w:lineRule="exact"/>
        <w:ind w:firstLine="640" w:firstLineChars="200"/>
        <w:contextualSpacing/>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2.执行管理情况：20</w:t>
      </w:r>
      <w:r>
        <w:rPr>
          <w:rFonts w:eastAsia="仿宋_GB2312"/>
          <w:color w:val="000000"/>
          <w:kern w:val="0"/>
          <w:sz w:val="32"/>
          <w:szCs w:val="32"/>
          <w:shd w:val="clear" w:color="auto" w:fill="FFFFFF"/>
        </w:rPr>
        <w:t>20</w:t>
      </w:r>
      <w:r>
        <w:rPr>
          <w:rFonts w:eastAsia="仿宋_GB2312"/>
          <w:color w:val="000000"/>
          <w:kern w:val="0"/>
          <w:sz w:val="32"/>
          <w:szCs w:val="32"/>
          <w:shd w:val="clear" w:color="auto" w:fill="FFFFFF"/>
          <w:lang w:val="zh-CN"/>
        </w:rPr>
        <w:t>年部门预算下达</w:t>
      </w:r>
      <w:r>
        <w:rPr>
          <w:rFonts w:eastAsia="仿宋_GB2312"/>
          <w:color w:val="000000"/>
          <w:kern w:val="0"/>
          <w:sz w:val="32"/>
          <w:szCs w:val="32"/>
          <w:shd w:val="clear" w:color="auto" w:fill="FFFFFF"/>
        </w:rPr>
        <w:t>2091.0</w:t>
      </w:r>
      <w:r>
        <w:rPr>
          <w:rFonts w:hint="eastAsia" w:eastAsia="仿宋_GB2312"/>
          <w:color w:val="000000"/>
          <w:kern w:val="0"/>
          <w:sz w:val="32"/>
          <w:szCs w:val="32"/>
          <w:shd w:val="clear" w:color="auto" w:fill="FFFFFF"/>
        </w:rPr>
        <w:t>2</w:t>
      </w:r>
      <w:r>
        <w:rPr>
          <w:rFonts w:eastAsia="仿宋_GB2312"/>
          <w:color w:val="000000"/>
          <w:kern w:val="0"/>
          <w:sz w:val="32"/>
          <w:szCs w:val="32"/>
          <w:shd w:val="clear" w:color="auto" w:fill="FFFFFF"/>
          <w:lang w:val="zh-CN"/>
        </w:rPr>
        <w:t>万元，201</w:t>
      </w:r>
      <w:r>
        <w:rPr>
          <w:rFonts w:eastAsia="仿宋_GB2312"/>
          <w:color w:val="000000"/>
          <w:kern w:val="0"/>
          <w:sz w:val="32"/>
          <w:szCs w:val="32"/>
          <w:shd w:val="clear" w:color="auto" w:fill="FFFFFF"/>
        </w:rPr>
        <w:t>9</w:t>
      </w:r>
      <w:r>
        <w:rPr>
          <w:rFonts w:eastAsia="仿宋_GB2312"/>
          <w:color w:val="000000"/>
          <w:kern w:val="0"/>
          <w:sz w:val="32"/>
          <w:szCs w:val="32"/>
          <w:shd w:val="clear" w:color="auto" w:fill="FFFFFF"/>
          <w:lang w:val="zh-CN"/>
        </w:rPr>
        <w:t>年结转项目资金</w:t>
      </w:r>
      <w:r>
        <w:rPr>
          <w:rFonts w:eastAsia="仿宋_GB2312"/>
          <w:color w:val="000000"/>
          <w:kern w:val="0"/>
          <w:sz w:val="32"/>
          <w:szCs w:val="32"/>
          <w:shd w:val="clear" w:color="auto" w:fill="FFFFFF"/>
        </w:rPr>
        <w:t>110.79</w:t>
      </w:r>
      <w:r>
        <w:rPr>
          <w:rFonts w:eastAsia="仿宋_GB2312"/>
          <w:color w:val="000000"/>
          <w:kern w:val="0"/>
          <w:sz w:val="32"/>
          <w:szCs w:val="32"/>
          <w:shd w:val="clear" w:color="auto" w:fill="FFFFFF"/>
          <w:lang w:val="zh-CN"/>
        </w:rPr>
        <w:t>万元，本年实际支出</w:t>
      </w:r>
      <w:r>
        <w:rPr>
          <w:rFonts w:eastAsia="仿宋_GB2312"/>
          <w:color w:val="000000"/>
          <w:kern w:val="0"/>
          <w:sz w:val="32"/>
          <w:szCs w:val="32"/>
          <w:shd w:val="clear" w:color="auto" w:fill="FFFFFF"/>
        </w:rPr>
        <w:t>2175.77</w:t>
      </w:r>
      <w:r>
        <w:rPr>
          <w:rFonts w:eastAsia="仿宋_GB2312"/>
          <w:color w:val="000000"/>
          <w:kern w:val="0"/>
          <w:sz w:val="32"/>
          <w:szCs w:val="32"/>
          <w:shd w:val="clear" w:color="auto" w:fill="FFFFFF"/>
          <w:lang w:val="zh-CN"/>
        </w:rPr>
        <w:t>万元，其中：基本支出</w:t>
      </w:r>
      <w:r>
        <w:rPr>
          <w:rFonts w:eastAsia="仿宋_GB2312"/>
          <w:color w:val="000000"/>
          <w:kern w:val="0"/>
          <w:sz w:val="32"/>
          <w:szCs w:val="32"/>
          <w:shd w:val="clear" w:color="auto" w:fill="FFFFFF"/>
        </w:rPr>
        <w:t>1471.94</w:t>
      </w:r>
      <w:r>
        <w:rPr>
          <w:rFonts w:eastAsia="仿宋_GB2312"/>
          <w:color w:val="000000"/>
          <w:kern w:val="0"/>
          <w:sz w:val="32"/>
          <w:szCs w:val="32"/>
          <w:shd w:val="clear" w:color="auto" w:fill="FFFFFF"/>
          <w:lang w:val="zh-CN"/>
        </w:rPr>
        <w:t>万元，包含人员工资及公用经费，职工基本养老保险缴费，职工住房公积金等支出；项目支出</w:t>
      </w:r>
      <w:r>
        <w:rPr>
          <w:rFonts w:eastAsia="仿宋_GB2312"/>
          <w:color w:val="000000"/>
          <w:kern w:val="0"/>
          <w:sz w:val="32"/>
          <w:szCs w:val="32"/>
          <w:shd w:val="clear" w:color="auto" w:fill="FFFFFF"/>
        </w:rPr>
        <w:t>703.8</w:t>
      </w:r>
      <w:r>
        <w:rPr>
          <w:rFonts w:hint="eastAsia" w:eastAsia="仿宋_GB2312"/>
          <w:color w:val="000000"/>
          <w:kern w:val="0"/>
          <w:sz w:val="32"/>
          <w:szCs w:val="32"/>
          <w:shd w:val="clear" w:color="auto" w:fill="FFFFFF"/>
        </w:rPr>
        <w:t>3</w:t>
      </w:r>
      <w:r>
        <w:rPr>
          <w:rFonts w:eastAsia="仿宋_GB2312"/>
          <w:color w:val="000000"/>
          <w:kern w:val="0"/>
          <w:sz w:val="32"/>
          <w:szCs w:val="32"/>
          <w:shd w:val="clear" w:color="auto" w:fill="FFFFFF"/>
          <w:lang w:val="zh-CN"/>
        </w:rPr>
        <w:t>万元，包含“业务运行费”“科技创新大会”“科技计划项目管理费”“科技招商”“创新创业专项”等项目支出，在支出过程中，能严格遵守各项规章制度，全年严格按预算支付，没出现无预算和超预算支出的现象。20</w:t>
      </w:r>
      <w:r>
        <w:rPr>
          <w:rFonts w:eastAsia="仿宋_GB2312"/>
          <w:color w:val="000000"/>
          <w:kern w:val="0"/>
          <w:sz w:val="32"/>
          <w:szCs w:val="32"/>
          <w:shd w:val="clear" w:color="auto" w:fill="FFFFFF"/>
        </w:rPr>
        <w:t>20</w:t>
      </w:r>
      <w:r>
        <w:rPr>
          <w:rFonts w:eastAsia="仿宋_GB2312"/>
          <w:color w:val="000000"/>
          <w:kern w:val="0"/>
          <w:sz w:val="32"/>
          <w:szCs w:val="32"/>
          <w:shd w:val="clear" w:color="auto" w:fill="FFFFFF"/>
          <w:lang w:val="zh-CN"/>
        </w:rPr>
        <w:t>年度单位严格执行三公经费的控制政策，全年“三公”经费支出</w:t>
      </w:r>
      <w:r>
        <w:rPr>
          <w:rFonts w:eastAsia="仿宋_GB2312"/>
          <w:color w:val="000000"/>
          <w:kern w:val="0"/>
          <w:sz w:val="32"/>
          <w:szCs w:val="32"/>
          <w:shd w:val="clear" w:color="auto" w:fill="FFFFFF"/>
        </w:rPr>
        <w:t>11.98</w:t>
      </w:r>
      <w:r>
        <w:rPr>
          <w:rFonts w:eastAsia="仿宋_GB2312"/>
          <w:color w:val="000000"/>
          <w:kern w:val="0"/>
          <w:sz w:val="32"/>
          <w:szCs w:val="32"/>
          <w:shd w:val="clear" w:color="auto" w:fill="FFFFFF"/>
          <w:lang w:val="zh-CN"/>
        </w:rPr>
        <w:t>万元，比上年同期下降</w:t>
      </w:r>
      <w:r>
        <w:rPr>
          <w:rFonts w:eastAsia="仿宋_GB2312"/>
          <w:color w:val="000000"/>
          <w:kern w:val="0"/>
          <w:sz w:val="32"/>
          <w:szCs w:val="32"/>
          <w:shd w:val="clear" w:color="auto" w:fill="FFFFFF"/>
        </w:rPr>
        <w:t>40.78</w:t>
      </w:r>
      <w:r>
        <w:rPr>
          <w:rFonts w:eastAsia="仿宋_GB2312"/>
          <w:color w:val="000000"/>
          <w:kern w:val="0"/>
          <w:sz w:val="32"/>
          <w:szCs w:val="32"/>
          <w:shd w:val="clear" w:color="auto" w:fill="FFFFFF"/>
          <w:lang w:val="zh-CN"/>
        </w:rPr>
        <w:t>%。</w:t>
      </w:r>
    </w:p>
    <w:p>
      <w:pPr>
        <w:widowControl/>
        <w:adjustRightInd w:val="0"/>
        <w:snapToGrid w:val="0"/>
        <w:spacing w:line="600" w:lineRule="exact"/>
        <w:ind w:firstLine="640" w:firstLineChars="200"/>
        <w:contextualSpacing/>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（二）结果应用情况。</w:t>
      </w:r>
    </w:p>
    <w:p>
      <w:pPr>
        <w:widowControl/>
        <w:adjustRightInd w:val="0"/>
        <w:snapToGrid w:val="0"/>
        <w:spacing w:line="600" w:lineRule="exact"/>
        <w:ind w:firstLine="640" w:firstLineChars="200"/>
        <w:contextualSpacing/>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按照市财政局的要求，我局认真开展了</w:t>
      </w:r>
      <w:r>
        <w:rPr>
          <w:rFonts w:eastAsia="仿宋_GB2312"/>
          <w:color w:val="000000"/>
          <w:kern w:val="0"/>
          <w:sz w:val="32"/>
          <w:szCs w:val="32"/>
          <w:shd w:val="clear" w:color="auto" w:fill="FFFFFF"/>
        </w:rPr>
        <w:t>2020年</w:t>
      </w:r>
      <w:r>
        <w:rPr>
          <w:rFonts w:eastAsia="仿宋_GB2312"/>
          <w:color w:val="000000"/>
          <w:kern w:val="0"/>
          <w:sz w:val="32"/>
          <w:szCs w:val="32"/>
          <w:shd w:val="clear" w:color="auto" w:fill="FFFFFF"/>
          <w:lang w:val="zh-CN"/>
        </w:rPr>
        <w:t>预算整体绩效自评工作，绩效评价较为真实的反映了绩效情况。</w:t>
      </w:r>
    </w:p>
    <w:p>
      <w:pPr>
        <w:widowControl/>
        <w:adjustRightInd w:val="0"/>
        <w:snapToGrid w:val="0"/>
        <w:spacing w:line="600" w:lineRule="exact"/>
        <w:ind w:firstLine="640" w:firstLineChars="200"/>
        <w:contextualSpacing/>
        <w:rPr>
          <w:rFonts w:eastAsia="黑体"/>
          <w:color w:val="000000"/>
          <w:kern w:val="0"/>
          <w:sz w:val="32"/>
          <w:szCs w:val="32"/>
          <w:shd w:val="clear" w:color="auto" w:fill="FFFFFF"/>
        </w:rPr>
      </w:pPr>
      <w:r>
        <w:rPr>
          <w:rFonts w:eastAsia="黑体"/>
          <w:color w:val="000000"/>
          <w:kern w:val="0"/>
          <w:sz w:val="32"/>
          <w:szCs w:val="32"/>
          <w:shd w:val="clear" w:color="auto" w:fill="FFFFFF"/>
        </w:rPr>
        <w:t>四、评价结论及建议</w:t>
      </w:r>
    </w:p>
    <w:p>
      <w:pPr>
        <w:widowControl/>
        <w:adjustRightInd w:val="0"/>
        <w:snapToGrid w:val="0"/>
        <w:spacing w:line="600" w:lineRule="exact"/>
        <w:ind w:firstLine="640" w:firstLineChars="200"/>
        <w:contextualSpacing/>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（一）评价结论。2020年市科技局专项资金安排和使用，紧紧围绕市委、市政府确定的战略目标，根据加快科技发展的工作部署，</w:t>
      </w:r>
      <w:r>
        <w:rPr>
          <w:rFonts w:hint="eastAsia" w:eastAsia="仿宋_GB2312"/>
          <w:color w:val="000000"/>
          <w:kern w:val="0"/>
          <w:sz w:val="32"/>
          <w:szCs w:val="32"/>
          <w:shd w:val="clear" w:color="auto" w:fill="FFFFFF"/>
          <w:lang w:val="zh-CN"/>
        </w:rPr>
        <w:t>在项目实施过程中，得到各级党委、政府，科研院所和高校的高度重视，密切配合，目标任务顺利完成。资金安排使用情况基本达到预期绩效目标，取得了较好的经济、社会和生态效益，有力助推了攀枝花市科技创新工作的持续高效开展。</w:t>
      </w:r>
    </w:p>
    <w:p>
      <w:pPr>
        <w:widowControl/>
        <w:adjustRightInd w:val="0"/>
        <w:snapToGrid w:val="0"/>
        <w:spacing w:line="600" w:lineRule="exact"/>
        <w:ind w:firstLine="640" w:firstLineChars="200"/>
        <w:contextualSpacing/>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（二）存在问题。</w:t>
      </w:r>
    </w:p>
    <w:p>
      <w:pPr>
        <w:widowControl/>
        <w:adjustRightInd w:val="0"/>
        <w:snapToGrid w:val="0"/>
        <w:spacing w:line="600" w:lineRule="exact"/>
        <w:ind w:firstLine="640" w:firstLineChars="200"/>
        <w:contextualSpacing/>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无</w:t>
      </w:r>
    </w:p>
    <w:p>
      <w:pPr>
        <w:widowControl/>
        <w:adjustRightInd w:val="0"/>
        <w:snapToGrid w:val="0"/>
        <w:spacing w:line="600" w:lineRule="exact"/>
        <w:ind w:firstLine="640" w:firstLineChars="200"/>
        <w:contextualSpacing/>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（三）改进建议。</w:t>
      </w:r>
    </w:p>
    <w:p>
      <w:pPr>
        <w:widowControl/>
        <w:adjustRightInd w:val="0"/>
        <w:snapToGrid w:val="0"/>
        <w:spacing w:line="600" w:lineRule="exact"/>
        <w:ind w:firstLine="640" w:firstLineChars="200"/>
        <w:contextualSpacing/>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无</w:t>
      </w:r>
    </w:p>
    <w:p>
      <w:pPr>
        <w:spacing w:line="600" w:lineRule="exact"/>
        <w:ind w:firstLine="640" w:firstLineChars="200"/>
        <w:rPr>
          <w:rFonts w:eastAsia="仿宋_GB2312"/>
          <w:sz w:val="32"/>
          <w:szCs w:val="32"/>
        </w:rPr>
      </w:pPr>
    </w:p>
    <w:p>
      <w:pPr>
        <w:spacing w:line="600" w:lineRule="exact"/>
        <w:rPr>
          <w:rFonts w:eastAsia="仿宋_GB2312"/>
          <w:sz w:val="32"/>
          <w:szCs w:val="32"/>
        </w:rPr>
      </w:pPr>
      <w:r>
        <w:rPr>
          <w:rFonts w:eastAsia="黑体"/>
          <w:sz w:val="32"/>
          <w:szCs w:val="32"/>
        </w:rPr>
        <w:br w:type="page"/>
      </w:r>
      <w:r>
        <w:rPr>
          <w:rFonts w:eastAsia="黑体"/>
          <w:sz w:val="32"/>
          <w:szCs w:val="32"/>
        </w:rPr>
        <w:t>附件2</w:t>
      </w:r>
    </w:p>
    <w:p>
      <w:pPr>
        <w:spacing w:line="600" w:lineRule="exact"/>
        <w:ind w:firstLine="640" w:firstLineChars="200"/>
        <w:rPr>
          <w:rFonts w:eastAsia="仿宋_GB2312"/>
          <w:sz w:val="32"/>
          <w:szCs w:val="32"/>
        </w:rPr>
      </w:pPr>
    </w:p>
    <w:p>
      <w:pPr>
        <w:spacing w:line="600" w:lineRule="exact"/>
        <w:jc w:val="center"/>
        <w:rPr>
          <w:rFonts w:eastAsia="方正小标宋简体"/>
          <w:color w:val="000000"/>
          <w:kern w:val="0"/>
          <w:sz w:val="44"/>
          <w:szCs w:val="44"/>
          <w:lang w:val="zh-CN"/>
        </w:rPr>
      </w:pPr>
      <w:r>
        <w:rPr>
          <w:rFonts w:eastAsia="方正小标宋简体"/>
          <w:color w:val="000000"/>
          <w:kern w:val="0"/>
          <w:sz w:val="44"/>
          <w:szCs w:val="44"/>
        </w:rPr>
        <w:t>科技计划项目管理经费</w:t>
      </w:r>
      <w:r>
        <w:rPr>
          <w:rFonts w:eastAsia="方正小标宋简体"/>
          <w:color w:val="000000"/>
          <w:kern w:val="0"/>
          <w:sz w:val="44"/>
          <w:szCs w:val="44"/>
          <w:lang w:val="zh-CN"/>
        </w:rPr>
        <w:t>项目</w:t>
      </w:r>
      <w:r>
        <w:rPr>
          <w:rFonts w:eastAsia="方正小标宋简体"/>
          <w:color w:val="000000"/>
          <w:kern w:val="0"/>
          <w:sz w:val="44"/>
          <w:szCs w:val="44"/>
        </w:rPr>
        <w:t>2020年</w:t>
      </w:r>
      <w:r>
        <w:rPr>
          <w:rFonts w:eastAsia="方正小标宋简体"/>
          <w:color w:val="000000"/>
          <w:kern w:val="0"/>
          <w:sz w:val="44"/>
          <w:szCs w:val="44"/>
          <w:lang w:val="zh-CN"/>
        </w:rPr>
        <w:t>绩效评价报告</w:t>
      </w:r>
    </w:p>
    <w:p>
      <w:pPr>
        <w:spacing w:line="600" w:lineRule="exact"/>
        <w:rPr>
          <w:sz w:val="32"/>
          <w:szCs w:val="32"/>
          <w:lang w:val="zh-CN"/>
        </w:rPr>
      </w:pPr>
    </w:p>
    <w:p>
      <w:pPr>
        <w:adjustRightInd w:val="0"/>
        <w:snapToGrid w:val="0"/>
        <w:spacing w:line="600" w:lineRule="exact"/>
        <w:ind w:firstLine="720"/>
        <w:rPr>
          <w:rFonts w:eastAsia="黑体"/>
          <w:sz w:val="32"/>
          <w:szCs w:val="32"/>
          <w:lang w:val="zh-CN"/>
        </w:rPr>
      </w:pPr>
      <w:r>
        <w:rPr>
          <w:rFonts w:eastAsia="黑体"/>
          <w:sz w:val="32"/>
          <w:szCs w:val="32"/>
        </w:rPr>
        <w:t>一、</w:t>
      </w:r>
      <w:r>
        <w:rPr>
          <w:rFonts w:eastAsia="黑体"/>
          <w:sz w:val="32"/>
          <w:szCs w:val="32"/>
          <w:lang w:val="zh-CN"/>
        </w:rPr>
        <w:t>项目概况</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（一）项目基本情况。</w:t>
      </w:r>
    </w:p>
    <w:p>
      <w:pPr>
        <w:widowControl/>
        <w:adjustRightInd w:val="0"/>
        <w:snapToGrid w:val="0"/>
        <w:spacing w:line="600" w:lineRule="exact"/>
        <w:ind w:firstLine="640" w:firstLineChars="200"/>
        <w:contextualSpacing/>
        <w:rPr>
          <w:rFonts w:eastAsia="仿宋_GB2312"/>
          <w:color w:val="000000"/>
          <w:kern w:val="0"/>
          <w:sz w:val="32"/>
          <w:szCs w:val="32"/>
          <w:shd w:val="clear" w:color="auto" w:fill="FFFFFF"/>
        </w:rPr>
      </w:pPr>
      <w:r>
        <w:rPr>
          <w:rFonts w:eastAsia="仿宋_GB2312"/>
          <w:color w:val="000000"/>
          <w:kern w:val="0"/>
          <w:sz w:val="32"/>
          <w:szCs w:val="32"/>
          <w:shd w:val="clear" w:color="auto" w:fill="FFFFFF"/>
        </w:rPr>
        <w:t>1.说明项目主管部门（单位）在该项目管理中的职能。</w:t>
      </w:r>
    </w:p>
    <w:p>
      <w:pPr>
        <w:widowControl/>
        <w:adjustRightInd w:val="0"/>
        <w:snapToGrid w:val="0"/>
        <w:spacing w:line="600" w:lineRule="exact"/>
        <w:ind w:firstLine="640" w:firstLineChars="200"/>
        <w:contextualSpacing/>
        <w:rPr>
          <w:rFonts w:eastAsia="仿宋_GB2312"/>
          <w:color w:val="000000"/>
          <w:kern w:val="0"/>
          <w:sz w:val="32"/>
          <w:szCs w:val="32"/>
          <w:shd w:val="clear" w:color="auto" w:fill="FFFFFF"/>
        </w:rPr>
      </w:pPr>
      <w:r>
        <w:rPr>
          <w:rFonts w:eastAsia="仿宋_GB2312"/>
          <w:color w:val="000000"/>
          <w:kern w:val="0"/>
          <w:sz w:val="32"/>
          <w:szCs w:val="32"/>
          <w:shd w:val="clear" w:color="auto" w:fill="FFFFFF"/>
        </w:rPr>
        <w:t>攀枝花市科学技术局（以下简称“市科技局”）是市级科技计划项目的主管部门，负责项目管理、制定项目资金分配建议方案、绩效评价和监督检查等工作。</w:t>
      </w:r>
    </w:p>
    <w:p>
      <w:pPr>
        <w:widowControl/>
        <w:adjustRightInd w:val="0"/>
        <w:snapToGrid w:val="0"/>
        <w:spacing w:line="600" w:lineRule="exact"/>
        <w:ind w:firstLine="640" w:firstLineChars="200"/>
        <w:contextualSpacing/>
        <w:rPr>
          <w:rFonts w:eastAsia="仿宋_GB2312"/>
          <w:color w:val="000000"/>
          <w:kern w:val="0"/>
          <w:sz w:val="32"/>
          <w:szCs w:val="32"/>
          <w:shd w:val="clear" w:color="auto" w:fill="FFFFFF"/>
        </w:rPr>
      </w:pPr>
      <w:r>
        <w:rPr>
          <w:rFonts w:eastAsia="仿宋_GB2312"/>
          <w:color w:val="000000"/>
          <w:kern w:val="0"/>
          <w:sz w:val="32"/>
          <w:szCs w:val="32"/>
          <w:shd w:val="clear" w:color="auto" w:fill="FFFFFF"/>
        </w:rPr>
        <w:t>2.项目立项、资金申报的依据。</w:t>
      </w:r>
    </w:p>
    <w:p>
      <w:pPr>
        <w:widowControl/>
        <w:adjustRightInd w:val="0"/>
        <w:snapToGrid w:val="0"/>
        <w:spacing w:line="600" w:lineRule="exact"/>
        <w:ind w:firstLine="640" w:firstLineChars="200"/>
        <w:contextualSpacing/>
        <w:rPr>
          <w:rFonts w:eastAsia="仿宋_GB2312"/>
          <w:color w:val="000000"/>
          <w:kern w:val="0"/>
          <w:sz w:val="32"/>
          <w:szCs w:val="32"/>
          <w:shd w:val="clear" w:color="auto" w:fill="FFFFFF"/>
        </w:rPr>
      </w:pPr>
      <w:r>
        <w:rPr>
          <w:rFonts w:eastAsia="仿宋_GB2312"/>
          <w:color w:val="000000"/>
          <w:kern w:val="0"/>
          <w:sz w:val="32"/>
          <w:szCs w:val="32"/>
          <w:shd w:val="clear" w:color="auto" w:fill="FFFFFF"/>
        </w:rPr>
        <w:t>资金项目由市科技局和市财政局根据全市2020年工作重点提出安排方案，2020年2月，市科技局报送了《关于解决近期科技计划项目管理工作经费的请示》（攀科〔2020〕2号），经市政府同意后下达我局。</w:t>
      </w:r>
    </w:p>
    <w:p>
      <w:pPr>
        <w:widowControl/>
        <w:adjustRightInd w:val="0"/>
        <w:snapToGrid w:val="0"/>
        <w:spacing w:line="600" w:lineRule="exact"/>
        <w:ind w:firstLine="640" w:firstLineChars="200"/>
        <w:contextualSpacing/>
        <w:rPr>
          <w:rFonts w:eastAsia="仿宋_GB2312"/>
          <w:color w:val="000000"/>
          <w:kern w:val="0"/>
          <w:sz w:val="32"/>
          <w:szCs w:val="32"/>
          <w:shd w:val="clear" w:color="auto" w:fill="FFFFFF"/>
        </w:rPr>
      </w:pPr>
      <w:r>
        <w:rPr>
          <w:rFonts w:eastAsia="仿宋_GB2312"/>
          <w:color w:val="000000"/>
          <w:kern w:val="0"/>
          <w:sz w:val="32"/>
          <w:szCs w:val="32"/>
          <w:shd w:val="clear" w:color="auto" w:fill="FFFFFF"/>
        </w:rPr>
        <w:t>3.资金管理办法制定情况，资金支持具体项目的条件、范围与支持方式概况。</w:t>
      </w:r>
    </w:p>
    <w:p>
      <w:pPr>
        <w:widowControl/>
        <w:adjustRightInd w:val="0"/>
        <w:snapToGrid w:val="0"/>
        <w:spacing w:line="600" w:lineRule="exact"/>
        <w:ind w:firstLine="640" w:firstLineChars="200"/>
        <w:contextualSpacing/>
        <w:rPr>
          <w:rFonts w:eastAsia="仿宋_GB2312"/>
          <w:color w:val="000000"/>
          <w:kern w:val="0"/>
          <w:sz w:val="32"/>
          <w:szCs w:val="32"/>
          <w:shd w:val="clear" w:color="auto" w:fill="FFFFFF"/>
        </w:rPr>
      </w:pPr>
      <w:r>
        <w:rPr>
          <w:rFonts w:eastAsia="仿宋_GB2312"/>
          <w:color w:val="000000"/>
          <w:kern w:val="0"/>
          <w:sz w:val="32"/>
          <w:szCs w:val="32"/>
          <w:shd w:val="clear" w:color="auto" w:fill="FFFFFF"/>
        </w:rPr>
        <w:t>按照市委、市政府抓项目、抓资金、抓政策工作要求，主动对接科技厅了解省级科技计划项目申报动态和资金安排情况，加强省、市级项目申报培训，承接</w:t>
      </w:r>
      <w:r>
        <w:rPr>
          <w:rFonts w:hint="eastAsia" w:eastAsia="仿宋_GB2312"/>
          <w:color w:val="000000"/>
          <w:kern w:val="0"/>
          <w:sz w:val="32"/>
          <w:szCs w:val="32"/>
          <w:shd w:val="clear" w:color="auto" w:fill="FFFFFF"/>
        </w:rPr>
        <w:t>省</w:t>
      </w:r>
      <w:r>
        <w:rPr>
          <w:rFonts w:eastAsia="仿宋_GB2312"/>
          <w:color w:val="000000"/>
          <w:kern w:val="0"/>
          <w:sz w:val="32"/>
          <w:szCs w:val="32"/>
          <w:shd w:val="clear" w:color="auto" w:fill="FFFFFF"/>
        </w:rPr>
        <w:t>科技厅安排的项目过程管理、专家评审、验收等工作，市级科技计划项目征集、专家评审、立项项目、过程管理和监督检查、项目验收、绩效评价等管理工作。</w:t>
      </w:r>
    </w:p>
    <w:p>
      <w:pPr>
        <w:widowControl/>
        <w:adjustRightInd w:val="0"/>
        <w:snapToGrid w:val="0"/>
        <w:spacing w:line="600" w:lineRule="exact"/>
        <w:ind w:firstLine="640" w:firstLineChars="200"/>
        <w:contextualSpacing/>
        <w:rPr>
          <w:rFonts w:eastAsia="仿宋_GB2312"/>
          <w:color w:val="000000"/>
          <w:kern w:val="0"/>
          <w:sz w:val="32"/>
          <w:szCs w:val="32"/>
          <w:shd w:val="clear" w:color="auto" w:fill="FFFFFF"/>
        </w:rPr>
      </w:pPr>
      <w:r>
        <w:rPr>
          <w:rFonts w:eastAsia="仿宋_GB2312"/>
          <w:color w:val="000000"/>
          <w:kern w:val="0"/>
          <w:sz w:val="32"/>
          <w:szCs w:val="32"/>
          <w:shd w:val="clear" w:color="auto" w:fill="FFFFFF"/>
        </w:rPr>
        <w:t>4.资金分配的原则及考虑因素。</w:t>
      </w:r>
    </w:p>
    <w:p>
      <w:pPr>
        <w:widowControl/>
        <w:adjustRightInd w:val="0"/>
        <w:snapToGrid w:val="0"/>
        <w:spacing w:line="600" w:lineRule="exact"/>
        <w:ind w:firstLine="640" w:firstLineChars="200"/>
        <w:contextualSpacing/>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全力保障</w:t>
      </w:r>
      <w:r>
        <w:rPr>
          <w:rFonts w:eastAsia="仿宋_GB2312"/>
          <w:color w:val="000000"/>
          <w:kern w:val="0"/>
          <w:sz w:val="32"/>
          <w:szCs w:val="32"/>
          <w:shd w:val="clear" w:color="auto" w:fill="FFFFFF"/>
        </w:rPr>
        <w:t>项目征集、项目初审、专家评审、立项项目、过程管理和监督检查、项目验收、绩效评价等</w:t>
      </w:r>
      <w:r>
        <w:rPr>
          <w:rFonts w:hint="eastAsia" w:eastAsia="仿宋_GB2312"/>
          <w:color w:val="000000"/>
          <w:kern w:val="0"/>
          <w:sz w:val="32"/>
          <w:szCs w:val="32"/>
          <w:shd w:val="clear" w:color="auto" w:fill="FFFFFF"/>
        </w:rPr>
        <w:t>工作的有序推进</w:t>
      </w:r>
      <w:r>
        <w:rPr>
          <w:rFonts w:eastAsia="仿宋_GB2312"/>
          <w:color w:val="000000"/>
          <w:kern w:val="0"/>
          <w:sz w:val="32"/>
          <w:szCs w:val="32"/>
          <w:shd w:val="clear" w:color="auto" w:fill="FFFFFF"/>
        </w:rPr>
        <w:t>，统筹资金分配。</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（二）项目绩效目标。</w:t>
      </w:r>
    </w:p>
    <w:p>
      <w:pPr>
        <w:widowControl/>
        <w:adjustRightInd w:val="0"/>
        <w:snapToGrid w:val="0"/>
        <w:spacing w:line="600" w:lineRule="exact"/>
        <w:ind w:firstLine="640" w:firstLineChars="200"/>
        <w:contextualSpacing/>
        <w:rPr>
          <w:rFonts w:eastAsia="仿宋_GB2312"/>
          <w:color w:val="000000"/>
          <w:kern w:val="0"/>
          <w:sz w:val="32"/>
          <w:szCs w:val="32"/>
          <w:shd w:val="clear" w:color="auto" w:fill="FFFFFF"/>
        </w:rPr>
      </w:pPr>
      <w:r>
        <w:rPr>
          <w:rFonts w:eastAsia="仿宋_GB2312"/>
          <w:color w:val="000000"/>
          <w:kern w:val="0"/>
          <w:sz w:val="32"/>
          <w:szCs w:val="32"/>
          <w:shd w:val="clear" w:color="auto" w:fill="FFFFFF"/>
        </w:rPr>
        <w:t>1.项目主要内容。</w:t>
      </w:r>
    </w:p>
    <w:p>
      <w:pPr>
        <w:widowControl/>
        <w:adjustRightInd w:val="0"/>
        <w:snapToGrid w:val="0"/>
        <w:spacing w:line="600" w:lineRule="exact"/>
        <w:ind w:firstLine="640" w:firstLineChars="200"/>
        <w:contextualSpacing/>
        <w:rPr>
          <w:rFonts w:eastAsia="仿宋_GB2312"/>
          <w:color w:val="000000"/>
          <w:kern w:val="0"/>
          <w:sz w:val="32"/>
          <w:szCs w:val="32"/>
          <w:shd w:val="clear" w:color="auto" w:fill="FFFFFF"/>
        </w:rPr>
      </w:pPr>
      <w:r>
        <w:rPr>
          <w:rFonts w:eastAsia="仿宋_GB2312"/>
          <w:color w:val="000000"/>
          <w:kern w:val="0"/>
          <w:sz w:val="32"/>
          <w:szCs w:val="32"/>
          <w:shd w:val="clear" w:color="auto" w:fill="FFFFFF"/>
        </w:rPr>
        <w:t>加强省、市级项目申报培训，承接项目征集、专家评审、立项项目、过程管理和监督检查、项目验收、绩效评价等工作。</w:t>
      </w:r>
    </w:p>
    <w:p>
      <w:pPr>
        <w:widowControl/>
        <w:adjustRightInd w:val="0"/>
        <w:snapToGrid w:val="0"/>
        <w:spacing w:line="600" w:lineRule="exact"/>
        <w:ind w:firstLine="640" w:firstLineChars="200"/>
        <w:contextualSpacing/>
        <w:rPr>
          <w:rFonts w:eastAsia="仿宋_GB2312"/>
          <w:color w:val="000000"/>
          <w:kern w:val="0"/>
          <w:sz w:val="32"/>
          <w:szCs w:val="32"/>
          <w:shd w:val="clear" w:color="auto" w:fill="FFFFFF"/>
        </w:rPr>
      </w:pPr>
      <w:r>
        <w:rPr>
          <w:rFonts w:eastAsia="仿宋_GB2312"/>
          <w:color w:val="000000"/>
          <w:kern w:val="0"/>
          <w:sz w:val="32"/>
          <w:szCs w:val="32"/>
          <w:shd w:val="clear" w:color="auto" w:fill="FFFFFF"/>
        </w:rPr>
        <w:t>2.项目应实现的具体绩效目标，包括目标的量化、细化情况以及项目实施进度计划等。</w:t>
      </w:r>
    </w:p>
    <w:p>
      <w:pPr>
        <w:widowControl/>
        <w:adjustRightInd w:val="0"/>
        <w:snapToGrid w:val="0"/>
        <w:spacing w:line="600" w:lineRule="exact"/>
        <w:ind w:firstLine="640" w:firstLineChars="200"/>
        <w:contextualSpacing/>
        <w:rPr>
          <w:rFonts w:eastAsia="仿宋_GB2312"/>
          <w:color w:val="000000"/>
          <w:kern w:val="0"/>
          <w:sz w:val="32"/>
          <w:szCs w:val="32"/>
          <w:shd w:val="clear" w:color="auto" w:fill="FFFFFF"/>
        </w:rPr>
      </w:pPr>
      <w:r>
        <w:rPr>
          <w:rFonts w:eastAsia="仿宋_GB2312"/>
          <w:color w:val="000000"/>
          <w:kern w:val="0"/>
          <w:sz w:val="32"/>
          <w:szCs w:val="32"/>
          <w:shd w:val="clear" w:color="auto" w:fill="FFFFFF"/>
        </w:rPr>
        <w:t>具体绩效目标：编制年度项目申报指南</w:t>
      </w:r>
      <w:r>
        <w:rPr>
          <w:rFonts w:hint="eastAsia" w:eastAsia="仿宋_GB2312"/>
          <w:color w:val="000000"/>
          <w:kern w:val="0"/>
          <w:sz w:val="32"/>
          <w:szCs w:val="32"/>
          <w:shd w:val="clear" w:color="auto" w:fill="FFFFFF"/>
        </w:rPr>
        <w:t>、</w:t>
      </w:r>
      <w:r>
        <w:rPr>
          <w:rFonts w:eastAsia="仿宋_GB2312"/>
          <w:color w:val="000000"/>
          <w:kern w:val="0"/>
          <w:sz w:val="32"/>
          <w:szCs w:val="32"/>
          <w:shd w:val="clear" w:color="auto" w:fill="FFFFFF"/>
        </w:rPr>
        <w:t>组织市级科技计划项目征集、专家评审、立项项目、过程管理和监督检查、项目验收、绩效评价等管理工作。受</w:t>
      </w:r>
      <w:r>
        <w:rPr>
          <w:rFonts w:hint="eastAsia" w:eastAsia="仿宋_GB2312"/>
          <w:color w:val="000000"/>
          <w:kern w:val="0"/>
          <w:sz w:val="32"/>
          <w:szCs w:val="32"/>
          <w:shd w:val="clear" w:color="auto" w:fill="FFFFFF"/>
        </w:rPr>
        <w:t>省</w:t>
      </w:r>
      <w:r>
        <w:rPr>
          <w:rFonts w:eastAsia="仿宋_GB2312"/>
          <w:color w:val="000000"/>
          <w:kern w:val="0"/>
          <w:sz w:val="32"/>
          <w:szCs w:val="32"/>
          <w:shd w:val="clear" w:color="auto" w:fill="FFFFFF"/>
        </w:rPr>
        <w:t>科技厅委托，参与或组织项目的中期检查、监督检查、验收和绩效评价等工作；参与项目过程管理，督促承担单位按期实施和完成项目，监督经费的使用，协助核查并报告项目执行进展和出现的重大问题等；协调推动项目成果的转移转化与应用示范。</w:t>
      </w:r>
    </w:p>
    <w:p>
      <w:pPr>
        <w:widowControl/>
        <w:adjustRightInd w:val="0"/>
        <w:snapToGrid w:val="0"/>
        <w:spacing w:line="600" w:lineRule="exact"/>
        <w:ind w:firstLine="640" w:firstLineChars="200"/>
        <w:contextualSpacing/>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实施进度计划：20</w:t>
      </w:r>
      <w:r>
        <w:rPr>
          <w:rFonts w:eastAsia="仿宋_GB2312"/>
          <w:color w:val="000000"/>
          <w:kern w:val="0"/>
          <w:sz w:val="32"/>
          <w:szCs w:val="32"/>
          <w:shd w:val="clear" w:color="auto" w:fill="FFFFFF"/>
        </w:rPr>
        <w:t>20</w:t>
      </w:r>
      <w:r>
        <w:rPr>
          <w:rFonts w:eastAsia="仿宋_GB2312"/>
          <w:color w:val="000000"/>
          <w:kern w:val="0"/>
          <w:sz w:val="32"/>
          <w:szCs w:val="32"/>
          <w:shd w:val="clear" w:color="auto" w:fill="FFFFFF"/>
          <w:lang w:val="zh-CN"/>
        </w:rPr>
        <w:t>年4—</w:t>
      </w:r>
      <w:r>
        <w:rPr>
          <w:rFonts w:eastAsia="仿宋_GB2312"/>
          <w:color w:val="000000"/>
          <w:kern w:val="0"/>
          <w:sz w:val="32"/>
          <w:szCs w:val="32"/>
          <w:shd w:val="clear" w:color="auto" w:fill="FFFFFF"/>
        </w:rPr>
        <w:t>6</w:t>
      </w:r>
      <w:r>
        <w:rPr>
          <w:rFonts w:eastAsia="仿宋_GB2312"/>
          <w:color w:val="000000"/>
          <w:kern w:val="0"/>
          <w:sz w:val="32"/>
          <w:szCs w:val="32"/>
          <w:shd w:val="clear" w:color="auto" w:fill="FFFFFF"/>
          <w:lang w:val="zh-CN"/>
        </w:rPr>
        <w:t>月，</w:t>
      </w:r>
      <w:r>
        <w:rPr>
          <w:rFonts w:eastAsia="仿宋_GB2312"/>
          <w:color w:val="000000"/>
          <w:kern w:val="0"/>
          <w:sz w:val="32"/>
          <w:szCs w:val="32"/>
          <w:shd w:val="clear" w:color="auto" w:fill="FFFFFF"/>
        </w:rPr>
        <w:t>发布年度科技计划项目申报通知和申报指南，</w:t>
      </w:r>
      <w:r>
        <w:rPr>
          <w:rFonts w:eastAsia="仿宋_GB2312"/>
          <w:color w:val="000000"/>
          <w:kern w:val="0"/>
          <w:sz w:val="32"/>
          <w:szCs w:val="32"/>
          <w:shd w:val="clear" w:color="auto" w:fill="FFFFFF"/>
          <w:lang w:val="zh-CN"/>
        </w:rPr>
        <w:t>正式启动项目征集工作；20</w:t>
      </w:r>
      <w:r>
        <w:rPr>
          <w:rFonts w:eastAsia="仿宋_GB2312"/>
          <w:color w:val="000000"/>
          <w:kern w:val="0"/>
          <w:sz w:val="32"/>
          <w:szCs w:val="32"/>
          <w:shd w:val="clear" w:color="auto" w:fill="FFFFFF"/>
        </w:rPr>
        <w:t>20</w:t>
      </w:r>
      <w:r>
        <w:rPr>
          <w:rFonts w:eastAsia="仿宋_GB2312"/>
          <w:color w:val="000000"/>
          <w:kern w:val="0"/>
          <w:sz w:val="32"/>
          <w:szCs w:val="32"/>
          <w:shd w:val="clear" w:color="auto" w:fill="FFFFFF"/>
          <w:lang w:val="zh-CN"/>
        </w:rPr>
        <w:t>年6—7月，组织开展申报项目</w:t>
      </w:r>
      <w:r>
        <w:rPr>
          <w:rFonts w:eastAsia="仿宋_GB2312"/>
          <w:color w:val="000000"/>
          <w:kern w:val="0"/>
          <w:sz w:val="32"/>
          <w:szCs w:val="32"/>
          <w:shd w:val="clear" w:color="auto" w:fill="FFFFFF"/>
        </w:rPr>
        <w:t>专家评审、局务会研究、分管市领导审批、立项项目攀枝花市日报公示等工作；</w:t>
      </w:r>
      <w:r>
        <w:rPr>
          <w:rFonts w:eastAsia="仿宋_GB2312"/>
          <w:color w:val="000000"/>
          <w:kern w:val="0"/>
          <w:sz w:val="32"/>
          <w:szCs w:val="32"/>
          <w:shd w:val="clear" w:color="auto" w:fill="FFFFFF"/>
          <w:lang w:val="zh-CN"/>
        </w:rPr>
        <w:t>20</w:t>
      </w:r>
      <w:r>
        <w:rPr>
          <w:rFonts w:eastAsia="仿宋_GB2312"/>
          <w:color w:val="000000"/>
          <w:kern w:val="0"/>
          <w:sz w:val="32"/>
          <w:szCs w:val="32"/>
          <w:shd w:val="clear" w:color="auto" w:fill="FFFFFF"/>
        </w:rPr>
        <w:t>20</w:t>
      </w:r>
      <w:r>
        <w:rPr>
          <w:rFonts w:eastAsia="仿宋_GB2312"/>
          <w:color w:val="000000"/>
          <w:kern w:val="0"/>
          <w:sz w:val="32"/>
          <w:szCs w:val="32"/>
          <w:shd w:val="clear" w:color="auto" w:fill="FFFFFF"/>
          <w:lang w:val="zh-CN"/>
        </w:rPr>
        <w:t>年</w:t>
      </w:r>
      <w:r>
        <w:rPr>
          <w:rFonts w:eastAsia="仿宋_GB2312"/>
          <w:color w:val="000000"/>
          <w:kern w:val="0"/>
          <w:sz w:val="32"/>
          <w:szCs w:val="32"/>
          <w:shd w:val="clear" w:color="auto" w:fill="FFFFFF"/>
        </w:rPr>
        <w:t>7</w:t>
      </w:r>
      <w:r>
        <w:rPr>
          <w:rFonts w:eastAsia="仿宋_GB2312"/>
          <w:color w:val="000000"/>
          <w:kern w:val="0"/>
          <w:sz w:val="32"/>
          <w:szCs w:val="32"/>
          <w:shd w:val="clear" w:color="auto" w:fill="FFFFFF"/>
          <w:lang w:val="zh-CN"/>
        </w:rPr>
        <w:t>—</w:t>
      </w:r>
      <w:r>
        <w:rPr>
          <w:rFonts w:eastAsia="仿宋_GB2312"/>
          <w:color w:val="000000"/>
          <w:kern w:val="0"/>
          <w:sz w:val="32"/>
          <w:szCs w:val="32"/>
          <w:shd w:val="clear" w:color="auto" w:fill="FFFFFF"/>
        </w:rPr>
        <w:t>8</w:t>
      </w:r>
      <w:r>
        <w:rPr>
          <w:rFonts w:eastAsia="仿宋_GB2312"/>
          <w:color w:val="000000"/>
          <w:kern w:val="0"/>
          <w:sz w:val="32"/>
          <w:szCs w:val="32"/>
          <w:shd w:val="clear" w:color="auto" w:fill="FFFFFF"/>
          <w:lang w:val="zh-CN"/>
        </w:rPr>
        <w:t>月，与项目承担单位签订</w:t>
      </w:r>
      <w:r>
        <w:rPr>
          <w:rFonts w:eastAsia="仿宋_GB2312"/>
          <w:color w:val="000000"/>
          <w:kern w:val="0"/>
          <w:sz w:val="32"/>
          <w:szCs w:val="32"/>
          <w:shd w:val="clear" w:color="auto" w:fill="FFFFFF"/>
        </w:rPr>
        <w:t>项目任务书</w:t>
      </w:r>
      <w:r>
        <w:rPr>
          <w:rFonts w:eastAsia="仿宋_GB2312"/>
          <w:color w:val="000000"/>
          <w:kern w:val="0"/>
          <w:sz w:val="32"/>
          <w:szCs w:val="32"/>
          <w:shd w:val="clear" w:color="auto" w:fill="FFFFFF"/>
          <w:lang w:val="zh-CN"/>
        </w:rPr>
        <w:t>；20</w:t>
      </w:r>
      <w:r>
        <w:rPr>
          <w:rFonts w:eastAsia="仿宋_GB2312"/>
          <w:color w:val="000000"/>
          <w:kern w:val="0"/>
          <w:sz w:val="32"/>
          <w:szCs w:val="32"/>
          <w:shd w:val="clear" w:color="auto" w:fill="FFFFFF"/>
        </w:rPr>
        <w:t>20</w:t>
      </w:r>
      <w:r>
        <w:rPr>
          <w:rFonts w:eastAsia="仿宋_GB2312"/>
          <w:color w:val="000000"/>
          <w:kern w:val="0"/>
          <w:sz w:val="32"/>
          <w:szCs w:val="32"/>
          <w:shd w:val="clear" w:color="auto" w:fill="FFFFFF"/>
          <w:lang w:val="zh-CN"/>
        </w:rPr>
        <w:t>年</w:t>
      </w:r>
      <w:r>
        <w:rPr>
          <w:rFonts w:eastAsia="仿宋_GB2312"/>
          <w:color w:val="000000"/>
          <w:kern w:val="0"/>
          <w:sz w:val="32"/>
          <w:szCs w:val="32"/>
          <w:shd w:val="clear" w:color="auto" w:fill="FFFFFF"/>
        </w:rPr>
        <w:t>8</w:t>
      </w:r>
      <w:r>
        <w:rPr>
          <w:rFonts w:eastAsia="仿宋_GB2312"/>
          <w:color w:val="000000"/>
          <w:kern w:val="0"/>
          <w:sz w:val="32"/>
          <w:szCs w:val="32"/>
          <w:shd w:val="clear" w:color="auto" w:fill="FFFFFF"/>
          <w:lang w:val="zh-CN"/>
        </w:rPr>
        <w:t>—</w:t>
      </w:r>
      <w:r>
        <w:rPr>
          <w:rFonts w:eastAsia="仿宋_GB2312"/>
          <w:color w:val="000000"/>
          <w:kern w:val="0"/>
          <w:sz w:val="32"/>
          <w:szCs w:val="32"/>
          <w:shd w:val="clear" w:color="auto" w:fill="FFFFFF"/>
        </w:rPr>
        <w:t>9</w:t>
      </w:r>
      <w:r>
        <w:rPr>
          <w:rFonts w:eastAsia="仿宋_GB2312"/>
          <w:color w:val="000000"/>
          <w:kern w:val="0"/>
          <w:sz w:val="32"/>
          <w:szCs w:val="32"/>
          <w:shd w:val="clear" w:color="auto" w:fill="FFFFFF"/>
          <w:lang w:val="zh-CN"/>
        </w:rPr>
        <w:t>月，下达第一批项目立项和</w:t>
      </w:r>
      <w:r>
        <w:rPr>
          <w:rFonts w:eastAsia="仿宋_GB2312"/>
          <w:color w:val="000000"/>
          <w:kern w:val="0"/>
          <w:sz w:val="32"/>
          <w:szCs w:val="32"/>
          <w:shd w:val="clear" w:color="auto" w:fill="FFFFFF"/>
        </w:rPr>
        <w:t>资金</w:t>
      </w:r>
      <w:r>
        <w:rPr>
          <w:rFonts w:eastAsia="仿宋_GB2312"/>
          <w:color w:val="000000"/>
          <w:kern w:val="0"/>
          <w:sz w:val="32"/>
          <w:szCs w:val="32"/>
          <w:shd w:val="clear" w:color="auto" w:fill="FFFFFF"/>
          <w:lang w:val="zh-CN"/>
        </w:rPr>
        <w:t>文件；2020年</w:t>
      </w:r>
      <w:r>
        <w:rPr>
          <w:rFonts w:eastAsia="仿宋_GB2312"/>
          <w:color w:val="000000"/>
          <w:kern w:val="0"/>
          <w:sz w:val="32"/>
          <w:szCs w:val="32"/>
          <w:shd w:val="clear" w:color="auto" w:fill="FFFFFF"/>
        </w:rPr>
        <w:t>9</w:t>
      </w:r>
      <w:r>
        <w:rPr>
          <w:rFonts w:eastAsia="仿宋_GB2312"/>
          <w:color w:val="000000"/>
          <w:kern w:val="0"/>
          <w:sz w:val="32"/>
          <w:szCs w:val="32"/>
          <w:shd w:val="clear" w:color="auto" w:fill="FFFFFF"/>
          <w:lang w:val="zh-CN"/>
        </w:rPr>
        <w:t>月，下达第二批项目</w:t>
      </w:r>
      <w:r>
        <w:rPr>
          <w:rFonts w:eastAsia="仿宋_GB2312"/>
          <w:color w:val="000000"/>
          <w:kern w:val="0"/>
          <w:sz w:val="32"/>
          <w:szCs w:val="32"/>
          <w:shd w:val="clear" w:color="auto" w:fill="FFFFFF"/>
        </w:rPr>
        <w:t>资金</w:t>
      </w:r>
      <w:r>
        <w:rPr>
          <w:rFonts w:eastAsia="仿宋_GB2312"/>
          <w:color w:val="000000"/>
          <w:kern w:val="0"/>
          <w:sz w:val="32"/>
          <w:szCs w:val="32"/>
          <w:shd w:val="clear" w:color="auto" w:fill="FFFFFF"/>
          <w:lang w:val="zh-CN"/>
        </w:rPr>
        <w:t>文件；2020年</w:t>
      </w:r>
      <w:r>
        <w:rPr>
          <w:rFonts w:eastAsia="仿宋_GB2312"/>
          <w:color w:val="000000"/>
          <w:kern w:val="0"/>
          <w:sz w:val="32"/>
          <w:szCs w:val="32"/>
          <w:shd w:val="clear" w:color="auto" w:fill="FFFFFF"/>
        </w:rPr>
        <w:t>11</w:t>
      </w:r>
      <w:r>
        <w:rPr>
          <w:rFonts w:eastAsia="仿宋_GB2312"/>
          <w:color w:val="000000"/>
          <w:kern w:val="0"/>
          <w:sz w:val="32"/>
          <w:szCs w:val="32"/>
          <w:shd w:val="clear" w:color="auto" w:fill="FFFFFF"/>
          <w:lang w:val="zh-CN"/>
        </w:rPr>
        <w:t>月，下达第三批项目立项和</w:t>
      </w:r>
      <w:r>
        <w:rPr>
          <w:rFonts w:eastAsia="仿宋_GB2312"/>
          <w:color w:val="000000"/>
          <w:kern w:val="0"/>
          <w:sz w:val="32"/>
          <w:szCs w:val="32"/>
          <w:shd w:val="clear" w:color="auto" w:fill="FFFFFF"/>
        </w:rPr>
        <w:t>资金</w:t>
      </w:r>
      <w:r>
        <w:rPr>
          <w:rFonts w:eastAsia="仿宋_GB2312"/>
          <w:color w:val="000000"/>
          <w:kern w:val="0"/>
          <w:sz w:val="32"/>
          <w:szCs w:val="32"/>
          <w:shd w:val="clear" w:color="auto" w:fill="FFFFFF"/>
          <w:lang w:val="zh-CN"/>
        </w:rPr>
        <w:t>文件。</w:t>
      </w:r>
    </w:p>
    <w:p>
      <w:pPr>
        <w:widowControl/>
        <w:adjustRightInd w:val="0"/>
        <w:snapToGrid w:val="0"/>
        <w:spacing w:line="600" w:lineRule="exact"/>
        <w:ind w:firstLine="640" w:firstLineChars="200"/>
        <w:contextualSpacing/>
        <w:rPr>
          <w:rFonts w:eastAsia="仿宋_GB2312"/>
          <w:color w:val="000000"/>
          <w:kern w:val="0"/>
          <w:sz w:val="32"/>
          <w:szCs w:val="32"/>
          <w:shd w:val="clear" w:color="auto" w:fill="FFFFFF"/>
        </w:rPr>
      </w:pPr>
      <w:r>
        <w:rPr>
          <w:rFonts w:eastAsia="仿宋_GB2312"/>
          <w:color w:val="000000"/>
          <w:kern w:val="0"/>
          <w:sz w:val="32"/>
          <w:szCs w:val="32"/>
          <w:shd w:val="clear" w:color="auto" w:fill="FFFFFF"/>
        </w:rPr>
        <w:t>3.分析评价申报内容是否与实际相符，申报目标是否合理可行。</w:t>
      </w:r>
    </w:p>
    <w:p>
      <w:pPr>
        <w:widowControl/>
        <w:adjustRightInd w:val="0"/>
        <w:snapToGrid w:val="0"/>
        <w:spacing w:line="600" w:lineRule="exact"/>
        <w:ind w:firstLine="640" w:firstLineChars="200"/>
        <w:contextualSpacing/>
        <w:rPr>
          <w:rFonts w:eastAsia="仿宋_GB2312"/>
          <w:color w:val="000000"/>
          <w:kern w:val="0"/>
          <w:sz w:val="32"/>
          <w:szCs w:val="32"/>
          <w:shd w:val="clear" w:color="auto" w:fill="FFFFFF"/>
        </w:rPr>
      </w:pPr>
      <w:r>
        <w:rPr>
          <w:rFonts w:eastAsia="仿宋_GB2312"/>
          <w:color w:val="000000"/>
          <w:kern w:val="0"/>
          <w:sz w:val="32"/>
          <w:szCs w:val="32"/>
          <w:shd w:val="clear" w:color="auto" w:fill="FFFFFF"/>
          <w:lang w:val="zh-CN"/>
        </w:rPr>
        <w:t>该项目申报内容符合</w:t>
      </w:r>
      <w:r>
        <w:rPr>
          <w:rFonts w:eastAsia="仿宋_GB2312"/>
          <w:color w:val="000000"/>
          <w:kern w:val="0"/>
          <w:sz w:val="32"/>
          <w:szCs w:val="32"/>
          <w:shd w:val="clear" w:color="auto" w:fill="FFFFFF"/>
        </w:rPr>
        <w:t>市委、市政府抓项目、抓资金、抓政策工作要求，</w:t>
      </w:r>
      <w:r>
        <w:rPr>
          <w:rFonts w:eastAsia="仿宋_GB2312"/>
          <w:color w:val="000000"/>
          <w:kern w:val="0"/>
          <w:sz w:val="32"/>
          <w:szCs w:val="32"/>
          <w:shd w:val="clear" w:color="auto" w:fill="FFFFFF"/>
          <w:lang w:val="zh-CN"/>
        </w:rPr>
        <w:t>符合科技工作发展方向，并结合了当前攀枝花科技创新工作实际，申报目标合理可行。</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（三）项目自评步骤及方法。</w:t>
      </w:r>
    </w:p>
    <w:p>
      <w:pPr>
        <w:widowControl/>
        <w:adjustRightInd w:val="0"/>
        <w:snapToGrid w:val="0"/>
        <w:spacing w:line="600" w:lineRule="exact"/>
        <w:ind w:firstLine="640" w:firstLineChars="200"/>
        <w:contextualSpacing/>
        <w:rPr>
          <w:rFonts w:eastAsia="仿宋_GB2312"/>
          <w:color w:val="000000"/>
          <w:kern w:val="0"/>
          <w:sz w:val="32"/>
          <w:szCs w:val="32"/>
          <w:shd w:val="clear" w:color="auto" w:fill="FFFFFF"/>
        </w:rPr>
      </w:pPr>
      <w:r>
        <w:rPr>
          <w:rFonts w:eastAsia="仿宋_GB2312"/>
          <w:color w:val="000000"/>
          <w:kern w:val="0"/>
          <w:sz w:val="32"/>
          <w:szCs w:val="32"/>
          <w:shd w:val="clear" w:color="auto" w:fill="FFFFFF"/>
        </w:rPr>
        <w:t>项目采取自评与他评相结合方式，成立项目自评小组，结合评价内容，做到有计划，有安排，扎实开展本次自评工作。按照上级下达的项目支出绩效评价指标体系，自评小组针对申报内容、实施情况、资金兑现、财务管理、社会效益等做出自我评价，认真相关人员意见，做好自评工作。</w:t>
      </w:r>
    </w:p>
    <w:p>
      <w:pPr>
        <w:adjustRightInd w:val="0"/>
        <w:snapToGrid w:val="0"/>
        <w:spacing w:line="600" w:lineRule="exact"/>
        <w:ind w:firstLine="720"/>
        <w:rPr>
          <w:rFonts w:eastAsia="黑体"/>
          <w:sz w:val="32"/>
          <w:szCs w:val="32"/>
        </w:rPr>
      </w:pPr>
      <w:r>
        <w:rPr>
          <w:rFonts w:eastAsia="黑体"/>
          <w:sz w:val="32"/>
          <w:szCs w:val="32"/>
        </w:rPr>
        <w:t>二、项目资金申报及使用情况</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（一）项目资金申报及批复情况。</w:t>
      </w:r>
    </w:p>
    <w:p>
      <w:pPr>
        <w:widowControl/>
        <w:adjustRightInd w:val="0"/>
        <w:snapToGrid w:val="0"/>
        <w:spacing w:line="600" w:lineRule="exact"/>
        <w:ind w:firstLine="640" w:firstLineChars="200"/>
        <w:contextualSpacing/>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rPr>
        <w:t>2020年2月，市科技局报送了《关于解决近期科技计划项目管理工作经费的请示》（攀科〔2020〕2号），经市政府同意后</w:t>
      </w:r>
      <w:r>
        <w:rPr>
          <w:rFonts w:hint="eastAsia" w:eastAsia="仿宋_GB2312"/>
          <w:color w:val="000000"/>
          <w:kern w:val="0"/>
          <w:sz w:val="32"/>
          <w:szCs w:val="32"/>
          <w:shd w:val="clear" w:color="auto" w:fill="FFFFFF"/>
        </w:rPr>
        <w:t>，</w:t>
      </w:r>
      <w:r>
        <w:rPr>
          <w:rFonts w:eastAsia="仿宋_GB2312"/>
          <w:color w:val="000000"/>
          <w:kern w:val="0"/>
          <w:sz w:val="32"/>
          <w:szCs w:val="32"/>
          <w:shd w:val="clear" w:color="auto" w:fill="FFFFFF"/>
          <w:lang w:val="zh-CN"/>
        </w:rPr>
        <w:t>于20</w:t>
      </w:r>
      <w:r>
        <w:rPr>
          <w:rFonts w:eastAsia="仿宋_GB2312"/>
          <w:color w:val="000000"/>
          <w:kern w:val="0"/>
          <w:sz w:val="32"/>
          <w:szCs w:val="32"/>
          <w:shd w:val="clear" w:color="auto" w:fill="FFFFFF"/>
        </w:rPr>
        <w:t>20</w:t>
      </w:r>
      <w:r>
        <w:rPr>
          <w:rFonts w:eastAsia="仿宋_GB2312"/>
          <w:color w:val="000000"/>
          <w:kern w:val="0"/>
          <w:sz w:val="32"/>
          <w:szCs w:val="32"/>
          <w:shd w:val="clear" w:color="auto" w:fill="FFFFFF"/>
          <w:lang w:val="zh-CN"/>
        </w:rPr>
        <w:t>年</w:t>
      </w:r>
      <w:r>
        <w:rPr>
          <w:rFonts w:eastAsia="仿宋_GB2312"/>
          <w:color w:val="000000"/>
          <w:kern w:val="0"/>
          <w:sz w:val="32"/>
          <w:szCs w:val="32"/>
          <w:shd w:val="clear" w:color="auto" w:fill="FFFFFF"/>
        </w:rPr>
        <w:t>2</w:t>
      </w:r>
      <w:r>
        <w:rPr>
          <w:rFonts w:eastAsia="仿宋_GB2312"/>
          <w:color w:val="000000"/>
          <w:kern w:val="0"/>
          <w:sz w:val="32"/>
          <w:szCs w:val="32"/>
          <w:shd w:val="clear" w:color="auto" w:fill="FFFFFF"/>
          <w:lang w:val="zh-CN"/>
        </w:rPr>
        <w:t>月到单位财政专户，资金到位率100%。</w:t>
      </w:r>
    </w:p>
    <w:p>
      <w:pPr>
        <w:adjustRightInd w:val="0"/>
        <w:snapToGrid w:val="0"/>
        <w:spacing w:line="600" w:lineRule="exact"/>
        <w:ind w:firstLine="720"/>
        <w:rPr>
          <w:rFonts w:eastAsia="仿宋_GB2312"/>
          <w:sz w:val="32"/>
          <w:szCs w:val="32"/>
          <w:lang w:val="zh-CN"/>
        </w:rPr>
      </w:pPr>
      <w:r>
        <w:rPr>
          <w:rFonts w:eastAsia="楷体_GB2312"/>
          <w:b/>
          <w:sz w:val="32"/>
          <w:szCs w:val="32"/>
          <w:lang w:val="zh-CN"/>
        </w:rPr>
        <w:t>（二）资金计划、到位及使用情况（可用表格形式反映）。</w:t>
      </w:r>
    </w:p>
    <w:p>
      <w:pPr>
        <w:widowControl/>
        <w:adjustRightInd w:val="0"/>
        <w:snapToGrid w:val="0"/>
        <w:spacing w:line="600" w:lineRule="exact"/>
        <w:ind w:firstLine="640" w:firstLineChars="200"/>
        <w:contextualSpacing/>
        <w:jc w:val="left"/>
        <w:rPr>
          <w:rFonts w:eastAsia="仿宋_GB2312"/>
          <w:color w:val="000000"/>
          <w:kern w:val="0"/>
          <w:sz w:val="32"/>
          <w:szCs w:val="32"/>
          <w:shd w:val="clear" w:color="auto" w:fill="FFFFFF"/>
        </w:rPr>
      </w:pPr>
      <w:r>
        <w:rPr>
          <w:rFonts w:eastAsia="仿宋_GB2312"/>
          <w:color w:val="000000"/>
          <w:kern w:val="0"/>
          <w:sz w:val="32"/>
          <w:szCs w:val="32"/>
          <w:shd w:val="clear" w:color="auto" w:fill="FFFFFF"/>
          <w:lang w:val="zh-CN"/>
        </w:rPr>
        <w:t>1</w:t>
      </w:r>
      <w:r>
        <w:rPr>
          <w:rFonts w:eastAsia="仿宋_GB2312"/>
          <w:color w:val="000000"/>
          <w:kern w:val="0"/>
          <w:sz w:val="32"/>
          <w:szCs w:val="32"/>
          <w:shd w:val="clear" w:color="auto" w:fill="FFFFFF"/>
        </w:rPr>
        <w:t>.</w:t>
      </w:r>
      <w:r>
        <w:rPr>
          <w:rFonts w:eastAsia="仿宋_GB2312"/>
          <w:color w:val="000000"/>
          <w:kern w:val="0"/>
          <w:sz w:val="32"/>
          <w:szCs w:val="32"/>
          <w:shd w:val="clear" w:color="auto" w:fill="FFFFFF"/>
          <w:lang w:val="zh-CN"/>
        </w:rPr>
        <w:t>资金计划。根据年初财政预算安排，本项目资金属于攀枝花市市级财政科技专项资金。</w:t>
      </w:r>
    </w:p>
    <w:p>
      <w:pPr>
        <w:widowControl/>
        <w:adjustRightInd w:val="0"/>
        <w:snapToGrid w:val="0"/>
        <w:spacing w:line="600" w:lineRule="exact"/>
        <w:ind w:firstLine="640" w:firstLineChars="200"/>
        <w:contextualSpacing/>
        <w:jc w:val="left"/>
        <w:rPr>
          <w:rFonts w:eastAsia="仿宋_GB2312"/>
          <w:color w:val="000000"/>
          <w:kern w:val="0"/>
          <w:sz w:val="32"/>
          <w:szCs w:val="32"/>
          <w:shd w:val="clear" w:color="auto" w:fill="FFFFFF"/>
        </w:rPr>
      </w:pPr>
      <w:r>
        <w:rPr>
          <w:rFonts w:eastAsia="仿宋_GB2312"/>
          <w:color w:val="000000"/>
          <w:kern w:val="0"/>
          <w:sz w:val="32"/>
          <w:szCs w:val="32"/>
          <w:shd w:val="clear" w:color="auto" w:fill="FFFFFF"/>
          <w:lang w:val="zh-CN"/>
        </w:rPr>
        <w:t>2</w:t>
      </w:r>
      <w:r>
        <w:rPr>
          <w:rFonts w:eastAsia="仿宋_GB2312"/>
          <w:color w:val="000000"/>
          <w:kern w:val="0"/>
          <w:sz w:val="32"/>
          <w:szCs w:val="32"/>
          <w:shd w:val="clear" w:color="auto" w:fill="FFFFFF"/>
        </w:rPr>
        <w:t>.</w:t>
      </w:r>
      <w:r>
        <w:rPr>
          <w:rFonts w:eastAsia="仿宋_GB2312"/>
          <w:color w:val="000000"/>
          <w:kern w:val="0"/>
          <w:sz w:val="32"/>
          <w:szCs w:val="32"/>
          <w:shd w:val="clear" w:color="auto" w:fill="FFFFFF"/>
          <w:lang w:val="zh-CN"/>
        </w:rPr>
        <w:t>资金到位。</w:t>
      </w:r>
      <w:r>
        <w:rPr>
          <w:rFonts w:eastAsia="仿宋_GB2312"/>
          <w:color w:val="000000"/>
          <w:kern w:val="0"/>
          <w:sz w:val="32"/>
          <w:szCs w:val="32"/>
          <w:shd w:val="clear" w:color="auto" w:fill="FFFFFF"/>
        </w:rPr>
        <w:t>2020年2月，市科技局报送了《关于解决近期科技计划项目管理工作经费的请示》（攀科〔2020〕2 号），经市政府同意后，</w:t>
      </w:r>
      <w:r>
        <w:rPr>
          <w:rFonts w:hint="eastAsia" w:ascii="仿宋_GB2312" w:hAnsi="微软雅黑" w:eastAsia="仿宋_GB2312" w:cs="宋体"/>
          <w:color w:val="000000"/>
          <w:kern w:val="0"/>
          <w:sz w:val="32"/>
          <w:szCs w:val="32"/>
        </w:rPr>
        <w:t>计划资金全部到位，共计</w:t>
      </w:r>
      <w:r>
        <w:rPr>
          <w:rFonts w:ascii="仿宋_GB2312" w:hAnsi="微软雅黑" w:eastAsia="仿宋_GB2312" w:cs="宋体"/>
          <w:color w:val="000000"/>
          <w:kern w:val="0"/>
          <w:sz w:val="32"/>
          <w:szCs w:val="32"/>
        </w:rPr>
        <w:t>5</w:t>
      </w:r>
      <w:r>
        <w:rPr>
          <w:rFonts w:hint="eastAsia" w:ascii="仿宋_GB2312" w:hAnsi="微软雅黑" w:eastAsia="仿宋_GB2312" w:cs="宋体"/>
          <w:color w:val="000000"/>
          <w:kern w:val="0"/>
          <w:sz w:val="32"/>
          <w:szCs w:val="32"/>
        </w:rPr>
        <w:t>0万元</w:t>
      </w:r>
      <w:r>
        <w:rPr>
          <w:rFonts w:eastAsia="仿宋_GB2312"/>
          <w:color w:val="000000"/>
          <w:kern w:val="0"/>
          <w:sz w:val="32"/>
          <w:szCs w:val="32"/>
          <w:shd w:val="clear" w:color="auto" w:fill="FFFFFF"/>
          <w:lang w:val="zh-CN"/>
        </w:rPr>
        <w:t>。</w:t>
      </w:r>
    </w:p>
    <w:p>
      <w:pPr>
        <w:widowControl/>
        <w:adjustRightInd w:val="0"/>
        <w:snapToGrid w:val="0"/>
        <w:spacing w:line="600" w:lineRule="exact"/>
        <w:ind w:firstLine="640" w:firstLineChars="200"/>
        <w:contextualSpacing/>
        <w:jc w:val="left"/>
        <w:rPr>
          <w:rFonts w:eastAsia="仿宋_GB2312"/>
          <w:color w:val="000000"/>
          <w:kern w:val="0"/>
          <w:sz w:val="32"/>
          <w:szCs w:val="32"/>
          <w:shd w:val="clear" w:color="auto" w:fill="FFFFFF"/>
        </w:rPr>
      </w:pPr>
      <w:r>
        <w:rPr>
          <w:rFonts w:eastAsia="仿宋_GB2312"/>
          <w:color w:val="000000"/>
          <w:kern w:val="0"/>
          <w:sz w:val="32"/>
          <w:szCs w:val="32"/>
          <w:shd w:val="clear" w:color="auto" w:fill="FFFFFF"/>
          <w:lang w:val="zh-CN"/>
        </w:rPr>
        <w:t>3</w:t>
      </w:r>
      <w:r>
        <w:rPr>
          <w:rFonts w:eastAsia="仿宋_GB2312"/>
          <w:color w:val="000000"/>
          <w:kern w:val="0"/>
          <w:sz w:val="32"/>
          <w:szCs w:val="32"/>
          <w:shd w:val="clear" w:color="auto" w:fill="FFFFFF"/>
        </w:rPr>
        <w:t>.</w:t>
      </w:r>
      <w:r>
        <w:rPr>
          <w:rFonts w:eastAsia="仿宋_GB2312"/>
          <w:color w:val="000000"/>
          <w:kern w:val="0"/>
          <w:sz w:val="32"/>
          <w:szCs w:val="32"/>
          <w:shd w:val="clear" w:color="auto" w:fill="FFFFFF"/>
          <w:lang w:val="zh-CN"/>
        </w:rPr>
        <w:t>资金使用</w:t>
      </w:r>
      <w:r>
        <w:rPr>
          <w:rFonts w:hint="eastAsia" w:eastAsia="仿宋_GB2312"/>
          <w:color w:val="000000"/>
          <w:kern w:val="0"/>
          <w:sz w:val="32"/>
          <w:szCs w:val="32"/>
          <w:shd w:val="clear" w:color="auto" w:fill="FFFFFF"/>
          <w:lang w:val="zh-CN"/>
        </w:rPr>
        <w:t>。</w:t>
      </w:r>
      <w:r>
        <w:rPr>
          <w:rFonts w:eastAsia="仿宋_GB2312"/>
          <w:color w:val="000000"/>
          <w:kern w:val="0"/>
          <w:sz w:val="32"/>
          <w:szCs w:val="32"/>
          <w:shd w:val="clear" w:color="auto" w:fill="FFFFFF"/>
        </w:rPr>
        <w:t>本经费按照国家、省、市科技经费管理办法进行管理，合理使用资金严格预算编制，资金专款专用、独立核算，</w:t>
      </w:r>
      <w:r>
        <w:rPr>
          <w:rFonts w:eastAsia="仿宋_GB2312"/>
          <w:color w:val="000000"/>
          <w:kern w:val="0"/>
          <w:sz w:val="32"/>
          <w:szCs w:val="32"/>
          <w:shd w:val="clear" w:color="auto" w:fill="FFFFFF"/>
          <w:lang w:val="zh-CN"/>
        </w:rPr>
        <w:t>支付依据合理合法，资金使用率100%</w:t>
      </w:r>
      <w:r>
        <w:rPr>
          <w:rFonts w:eastAsia="仿宋_GB2312"/>
          <w:color w:val="000000"/>
          <w:kern w:val="0"/>
          <w:sz w:val="32"/>
          <w:szCs w:val="32"/>
          <w:shd w:val="clear" w:color="auto" w:fill="FFFFFF"/>
        </w:rPr>
        <w:t>，项目经费使用符合规定。</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（三）项目财务管理情况。</w:t>
      </w:r>
    </w:p>
    <w:p>
      <w:pPr>
        <w:widowControl/>
        <w:adjustRightInd w:val="0"/>
        <w:snapToGrid w:val="0"/>
        <w:spacing w:line="600" w:lineRule="exact"/>
        <w:ind w:firstLine="640" w:firstLineChars="200"/>
        <w:contextualSpacing/>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按照《攀枝花市科技计划项目专项资金管理暂行办法》（攀财教〔2018〕1号）要求</w:t>
      </w:r>
      <w:r>
        <w:rPr>
          <w:rFonts w:eastAsia="仿宋_GB2312"/>
          <w:color w:val="000000"/>
          <w:kern w:val="0"/>
          <w:sz w:val="32"/>
          <w:szCs w:val="32"/>
          <w:shd w:val="clear" w:color="auto" w:fill="FFFFFF"/>
        </w:rPr>
        <w:t>，</w:t>
      </w:r>
      <w:r>
        <w:rPr>
          <w:rFonts w:eastAsia="仿宋_GB2312"/>
          <w:color w:val="000000"/>
          <w:kern w:val="0"/>
          <w:sz w:val="32"/>
          <w:szCs w:val="32"/>
          <w:shd w:val="clear" w:color="auto" w:fill="FFFFFF"/>
          <w:lang w:val="zh-CN"/>
        </w:rPr>
        <w:t>项目承担单位要建立健全项目资金管理和使用制度</w:t>
      </w:r>
      <w:r>
        <w:rPr>
          <w:rFonts w:eastAsia="仿宋_GB2312"/>
          <w:color w:val="000000"/>
          <w:kern w:val="0"/>
          <w:sz w:val="32"/>
          <w:szCs w:val="32"/>
          <w:shd w:val="clear" w:color="auto" w:fill="FFFFFF"/>
        </w:rPr>
        <w:t>，</w:t>
      </w:r>
      <w:r>
        <w:rPr>
          <w:rFonts w:eastAsia="仿宋_GB2312"/>
          <w:color w:val="000000"/>
          <w:kern w:val="0"/>
          <w:sz w:val="32"/>
          <w:szCs w:val="32"/>
          <w:shd w:val="clear" w:color="auto" w:fill="FFFFFF"/>
          <w:lang w:val="zh-CN"/>
        </w:rPr>
        <w:t xml:space="preserve">严格执行财务管理制度，完善内部控制和监督制约机制，专项资金应当纳入项目承担单位财务统一管理，实行单独核算，确保专款专用，并建立公开制度对专项资金的管理和使用情况予以公开。 </w:t>
      </w:r>
    </w:p>
    <w:p>
      <w:pPr>
        <w:adjustRightInd w:val="0"/>
        <w:snapToGrid w:val="0"/>
        <w:spacing w:line="600" w:lineRule="exact"/>
        <w:ind w:firstLine="720"/>
        <w:rPr>
          <w:rFonts w:eastAsia="黑体"/>
          <w:sz w:val="32"/>
          <w:szCs w:val="32"/>
        </w:rPr>
      </w:pPr>
      <w:r>
        <w:rPr>
          <w:rFonts w:eastAsia="黑体"/>
          <w:sz w:val="32"/>
          <w:szCs w:val="32"/>
        </w:rPr>
        <w:t>三、项目实施及管理情况</w:t>
      </w:r>
    </w:p>
    <w:p>
      <w:pPr>
        <w:adjustRightInd w:val="0"/>
        <w:snapToGrid w:val="0"/>
        <w:spacing w:line="600" w:lineRule="exact"/>
        <w:ind w:firstLine="720"/>
        <w:rPr>
          <w:rFonts w:eastAsia="仿宋_GB2312"/>
          <w:sz w:val="32"/>
          <w:szCs w:val="32"/>
          <w:lang w:val="zh-CN"/>
        </w:rPr>
      </w:pPr>
      <w:r>
        <w:rPr>
          <w:rFonts w:eastAsia="仿宋_GB2312"/>
          <w:sz w:val="32"/>
          <w:szCs w:val="32"/>
          <w:lang w:val="zh-CN"/>
        </w:rPr>
        <w:t>结合项目组织实施管理办法，重点围绕以下内容进行分析评价，并对自评中发现的问题分析说明。</w:t>
      </w:r>
    </w:p>
    <w:p>
      <w:pPr>
        <w:autoSpaceDE w:val="0"/>
        <w:autoSpaceDN w:val="0"/>
        <w:adjustRightInd w:val="0"/>
        <w:spacing w:line="600" w:lineRule="exact"/>
        <w:ind w:firstLine="643" w:firstLineChars="200"/>
        <w:rPr>
          <w:rFonts w:eastAsia="仿宋_GB2312"/>
          <w:sz w:val="32"/>
          <w:szCs w:val="32"/>
        </w:rPr>
      </w:pPr>
      <w:r>
        <w:rPr>
          <w:rFonts w:eastAsia="楷体_GB2312"/>
          <w:b/>
          <w:sz w:val="32"/>
          <w:szCs w:val="32"/>
          <w:lang w:val="zh-CN"/>
        </w:rPr>
        <w:t>（一）项目组织架构及实施流程。</w:t>
      </w:r>
      <w:r>
        <w:rPr>
          <w:rFonts w:eastAsia="仿宋_GB2312"/>
          <w:sz w:val="32"/>
          <w:szCs w:val="32"/>
          <w:lang w:val="zh-CN"/>
        </w:rPr>
        <w:t>项目组织架构：</w:t>
      </w:r>
      <w:r>
        <w:rPr>
          <w:rFonts w:eastAsia="仿宋_GB2312"/>
          <w:sz w:val="32"/>
          <w:szCs w:val="32"/>
        </w:rPr>
        <w:t>编制并发布指南</w:t>
      </w:r>
      <w:r>
        <w:rPr>
          <w:rFonts w:eastAsia="仿宋_GB2312"/>
          <w:sz w:val="32"/>
          <w:szCs w:val="32"/>
          <w:lang w:val="zh-CN"/>
        </w:rPr>
        <w:t>--</w:t>
      </w:r>
      <w:r>
        <w:rPr>
          <w:rFonts w:eastAsia="仿宋_GB2312"/>
          <w:sz w:val="32"/>
          <w:szCs w:val="32"/>
        </w:rPr>
        <w:t>网上申报</w:t>
      </w:r>
      <w:r>
        <w:rPr>
          <w:rFonts w:eastAsia="仿宋_GB2312"/>
          <w:sz w:val="32"/>
          <w:szCs w:val="32"/>
          <w:lang w:val="zh-CN"/>
        </w:rPr>
        <w:t>--</w:t>
      </w:r>
      <w:r>
        <w:rPr>
          <w:rFonts w:eastAsia="仿宋_GB2312"/>
          <w:sz w:val="32"/>
          <w:szCs w:val="32"/>
        </w:rPr>
        <w:t>形式审查及分流</w:t>
      </w:r>
      <w:r>
        <w:rPr>
          <w:rFonts w:eastAsia="仿宋_GB2312"/>
          <w:sz w:val="32"/>
          <w:szCs w:val="32"/>
          <w:lang w:val="zh-CN"/>
        </w:rPr>
        <w:t>--</w:t>
      </w:r>
      <w:r>
        <w:rPr>
          <w:rFonts w:eastAsia="仿宋_GB2312"/>
          <w:sz w:val="32"/>
          <w:szCs w:val="32"/>
        </w:rPr>
        <w:t>初审</w:t>
      </w:r>
      <w:r>
        <w:rPr>
          <w:rFonts w:eastAsia="仿宋_GB2312"/>
          <w:sz w:val="32"/>
          <w:szCs w:val="32"/>
          <w:lang w:val="zh-CN"/>
        </w:rPr>
        <w:t>--专家评审--根据专家评审结果筛选符合申报条件的项目--市科技局局务会讨论提出分配建议--市科技局务会再次讨论通过--会商市财政局--报市政府审批--攀枝花市日报公示--下达项目立项文件--签订任务书--会同市财政局下达项目经费划拨文件--过程管理和监督检查--结题验收专家评审、</w:t>
      </w:r>
      <w:r>
        <w:rPr>
          <w:rFonts w:eastAsia="仿宋_GB2312"/>
          <w:sz w:val="32"/>
          <w:szCs w:val="32"/>
        </w:rPr>
        <w:t>出具验收意见</w:t>
      </w:r>
      <w:r>
        <w:rPr>
          <w:rFonts w:eastAsia="仿宋_GB2312"/>
          <w:sz w:val="32"/>
          <w:szCs w:val="32"/>
          <w:lang w:val="zh-CN"/>
        </w:rPr>
        <w:t>--结题</w:t>
      </w:r>
      <w:r>
        <w:rPr>
          <w:rFonts w:eastAsia="仿宋_GB2312"/>
          <w:sz w:val="32"/>
          <w:szCs w:val="32"/>
        </w:rPr>
        <w:t>验收材料归档。</w:t>
      </w:r>
    </w:p>
    <w:p>
      <w:pPr>
        <w:autoSpaceDE w:val="0"/>
        <w:autoSpaceDN w:val="0"/>
        <w:adjustRightInd w:val="0"/>
        <w:spacing w:line="600" w:lineRule="exact"/>
        <w:ind w:firstLine="643" w:firstLineChars="200"/>
        <w:rPr>
          <w:rFonts w:ascii="仿宋_GB2312" w:hAnsi="宋体" w:eastAsia="仿宋_GB2312"/>
          <w:sz w:val="32"/>
          <w:szCs w:val="32"/>
          <w:lang w:val="zh-CN"/>
        </w:rPr>
      </w:pPr>
      <w:r>
        <w:rPr>
          <w:rFonts w:eastAsia="楷体_GB2312"/>
          <w:b/>
          <w:sz w:val="32"/>
          <w:szCs w:val="32"/>
          <w:lang w:val="zh-CN"/>
        </w:rPr>
        <w:t>（二）项目管理情况。</w:t>
      </w:r>
      <w:r>
        <w:rPr>
          <w:rFonts w:hint="eastAsia" w:ascii="仿宋_GB2312" w:eastAsia="仿宋_GB2312"/>
          <w:color w:val="000000"/>
          <w:sz w:val="32"/>
          <w:szCs w:val="32"/>
          <w:shd w:val="clear" w:color="auto" w:fill="FFFFFF"/>
        </w:rPr>
        <w:t>本项目采取项目工作领导小组负责制，全体成员积极配合、通力合作。项目工作领导小组负责协调相关工作，项目实施及资金管理。</w:t>
      </w:r>
      <w:r>
        <w:rPr>
          <w:rFonts w:hint="eastAsia" w:ascii="仿宋_GB2312" w:hAnsi="宋体" w:eastAsia="仿宋_GB2312"/>
          <w:sz w:val="32"/>
          <w:szCs w:val="32"/>
          <w:lang w:val="zh-CN"/>
        </w:rPr>
        <w:t>在此项目实施过程中没有出现违规违法等情况出现。</w:t>
      </w:r>
    </w:p>
    <w:p>
      <w:pPr>
        <w:adjustRightInd w:val="0"/>
        <w:snapToGrid w:val="0"/>
        <w:spacing w:line="600" w:lineRule="exact"/>
        <w:ind w:firstLine="720"/>
        <w:rPr>
          <w:rFonts w:hint="eastAsia" w:ascii="仿宋_GB2312" w:eastAsia="仿宋_GB2312"/>
          <w:color w:val="000000"/>
          <w:sz w:val="32"/>
          <w:szCs w:val="32"/>
          <w:shd w:val="clear" w:color="auto" w:fill="FFFFFF"/>
        </w:rPr>
      </w:pPr>
      <w:r>
        <w:rPr>
          <w:rFonts w:eastAsia="楷体_GB2312"/>
          <w:b/>
          <w:sz w:val="32"/>
          <w:szCs w:val="32"/>
          <w:lang w:val="zh-CN"/>
        </w:rPr>
        <w:t>（三）项目监管情况。</w:t>
      </w:r>
      <w:r>
        <w:rPr>
          <w:rFonts w:hint="eastAsia" w:ascii="仿宋_GB2312" w:eastAsia="仿宋_GB2312"/>
          <w:color w:val="000000"/>
          <w:sz w:val="32"/>
          <w:szCs w:val="32"/>
          <w:shd w:val="clear" w:color="auto" w:fill="FFFFFF"/>
          <w:lang w:val="zh-CN"/>
        </w:rPr>
        <w:t>根据《攀枝花市科技计划项目专项资金管理暂行办法》（攀财教〔2018〕1号）《攀枝花市市级科技计划项目验收操作规程（试行）》（攀科发〔2019〕34号）等文件要求，</w:t>
      </w:r>
      <w:r>
        <w:rPr>
          <w:rFonts w:hint="eastAsia" w:ascii="仿宋_GB2312" w:eastAsia="仿宋_GB2312"/>
          <w:color w:val="000000"/>
          <w:sz w:val="32"/>
          <w:szCs w:val="32"/>
          <w:shd w:val="clear" w:color="auto" w:fill="FFFFFF"/>
        </w:rPr>
        <w:t>对项目资金按项目单独核算实行“专款专用、专人管理”，不挤占挪用项目资金。强化监督，安排人员长期对项目的实施定期或不定期的进行现场检查和监督，及时协调解决困难和问题。</w:t>
      </w:r>
    </w:p>
    <w:p>
      <w:pPr>
        <w:adjustRightInd w:val="0"/>
        <w:snapToGrid w:val="0"/>
        <w:spacing w:line="600" w:lineRule="exact"/>
        <w:ind w:firstLine="720"/>
        <w:rPr>
          <w:rFonts w:eastAsia="仿宋_GB2312"/>
          <w:sz w:val="32"/>
          <w:szCs w:val="32"/>
          <w:lang w:val="zh-CN"/>
        </w:rPr>
      </w:pPr>
      <w:r>
        <w:rPr>
          <w:rFonts w:eastAsia="黑体"/>
          <w:sz w:val="32"/>
          <w:szCs w:val="32"/>
        </w:rPr>
        <w:t>四、项目绩效情况</w:t>
      </w:r>
      <w:r>
        <w:rPr>
          <w:rFonts w:eastAsia="仿宋_GB2312"/>
          <w:sz w:val="32"/>
          <w:szCs w:val="32"/>
          <w:lang w:val="zh-CN"/>
        </w:rPr>
        <w:tab/>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（一）项目完成情况。</w:t>
      </w:r>
    </w:p>
    <w:p>
      <w:pPr>
        <w:autoSpaceDE w:val="0"/>
        <w:autoSpaceDN w:val="0"/>
        <w:adjustRightInd w:val="0"/>
        <w:spacing w:line="600" w:lineRule="exact"/>
        <w:ind w:firstLine="640" w:firstLineChars="200"/>
        <w:rPr>
          <w:rFonts w:eastAsia="仿宋_GB2312"/>
          <w:sz w:val="32"/>
          <w:szCs w:val="32"/>
          <w:lang w:val="zh-CN"/>
        </w:rPr>
      </w:pPr>
      <w:r>
        <w:rPr>
          <w:rFonts w:eastAsia="仿宋_GB2312"/>
          <w:sz w:val="32"/>
          <w:szCs w:val="32"/>
          <w:lang w:val="zh-CN"/>
        </w:rPr>
        <w:t>2020年向上争取项目60项</w:t>
      </w:r>
      <w:r>
        <w:rPr>
          <w:rFonts w:hint="eastAsia" w:eastAsia="仿宋_GB2312"/>
          <w:sz w:val="32"/>
          <w:szCs w:val="32"/>
          <w:lang w:val="zh-CN"/>
        </w:rPr>
        <w:t>，</w:t>
      </w:r>
      <w:r>
        <w:rPr>
          <w:rFonts w:eastAsia="仿宋_GB2312"/>
          <w:sz w:val="32"/>
          <w:szCs w:val="32"/>
          <w:lang w:val="zh-CN"/>
        </w:rPr>
        <w:t>争取经费8774.06万元。组织38家单位参加科技厅举办的2020年四川省科技计划项目申报、管理、验收培训会。完成2020年市级项目申报评审、项目立项、任务书签订、资金下达等工作，2020年安排市级项目42项，经费399万元（含四川大学—攀枝花市校市战略合作项目5项，经费120万元）。组织完成省级项目验收项；市级项目验收项。</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（二）项目效益情况。</w:t>
      </w:r>
    </w:p>
    <w:p>
      <w:pPr>
        <w:autoSpaceDE w:val="0"/>
        <w:autoSpaceDN w:val="0"/>
        <w:adjustRightInd w:val="0"/>
        <w:spacing w:line="600" w:lineRule="exact"/>
        <w:ind w:firstLine="640" w:firstLineChars="200"/>
        <w:rPr>
          <w:rFonts w:eastAsia="仿宋_GB2312"/>
          <w:sz w:val="32"/>
          <w:szCs w:val="32"/>
          <w:lang w:val="zh-CN"/>
        </w:rPr>
      </w:pPr>
      <w:r>
        <w:rPr>
          <w:rFonts w:hint="eastAsia" w:eastAsia="仿宋_GB2312"/>
          <w:sz w:val="32"/>
          <w:szCs w:val="32"/>
        </w:rPr>
        <w:t>1.经济效益指标</w:t>
      </w:r>
      <w:r>
        <w:rPr>
          <w:rFonts w:hint="eastAsia" w:eastAsia="仿宋_GB2312"/>
          <w:sz w:val="32"/>
          <w:szCs w:val="32"/>
          <w:lang w:val="zh-CN"/>
        </w:rPr>
        <w:t>：积极争取项目资金，安排市级项目经费399万元、省级经费8524.06万元、国家经费250万元。</w:t>
      </w:r>
    </w:p>
    <w:p>
      <w:pPr>
        <w:autoSpaceDE w:val="0"/>
        <w:autoSpaceDN w:val="0"/>
        <w:adjustRightInd w:val="0"/>
        <w:spacing w:line="600" w:lineRule="exact"/>
        <w:ind w:firstLine="640" w:firstLineChars="200"/>
        <w:rPr>
          <w:rFonts w:hint="eastAsia" w:eastAsia="仿宋_GB2312"/>
          <w:sz w:val="32"/>
          <w:szCs w:val="32"/>
        </w:rPr>
      </w:pPr>
      <w:r>
        <w:rPr>
          <w:rFonts w:hint="eastAsia" w:eastAsia="仿宋_GB2312"/>
          <w:sz w:val="32"/>
          <w:szCs w:val="32"/>
        </w:rPr>
        <w:t>2.社会效益指标：项目组织实施管理和省级项目申报质量进一步提高，项目结题验收率显著提升，项目结题验收率达98.4%。</w:t>
      </w:r>
    </w:p>
    <w:p>
      <w:pPr>
        <w:autoSpaceDE w:val="0"/>
        <w:autoSpaceDN w:val="0"/>
        <w:adjustRightInd w:val="0"/>
        <w:spacing w:line="600" w:lineRule="exact"/>
        <w:ind w:firstLine="640" w:firstLineChars="200"/>
        <w:rPr>
          <w:rFonts w:hint="eastAsia" w:eastAsia="仿宋_GB2312"/>
          <w:sz w:val="32"/>
          <w:szCs w:val="32"/>
        </w:rPr>
      </w:pPr>
      <w:r>
        <w:rPr>
          <w:rFonts w:hint="eastAsia" w:eastAsia="仿宋_GB2312"/>
          <w:sz w:val="32"/>
          <w:szCs w:val="32"/>
        </w:rPr>
        <w:t>3.生态效益指标：重点领域关键技术攻关及产业化取得重大突破，提升企业自主创新能力。</w:t>
      </w:r>
    </w:p>
    <w:p>
      <w:pPr>
        <w:autoSpaceDE w:val="0"/>
        <w:autoSpaceDN w:val="0"/>
        <w:adjustRightInd w:val="0"/>
        <w:spacing w:line="600" w:lineRule="exact"/>
        <w:ind w:firstLine="640" w:firstLineChars="200"/>
        <w:rPr>
          <w:rFonts w:eastAsia="仿宋_GB2312"/>
          <w:sz w:val="32"/>
          <w:szCs w:val="32"/>
        </w:rPr>
      </w:pPr>
      <w:r>
        <w:rPr>
          <w:rFonts w:hint="eastAsia" w:eastAsia="仿宋_GB2312"/>
          <w:sz w:val="32"/>
          <w:szCs w:val="32"/>
        </w:rPr>
        <w:t>4.可持续影响指标：培育出一批以现代服务业、数字经济、阳光康养等为代表的创新型业态，其中，科技型中小企业评价入库达到126家，同比增长11.5%；组织高新技术企业申报28家，同比增长75%，有效高新技术企业数量达到53家，同比增长39.4%，达到历史最高水平；高新技术产业营业601.1亿元，超额完成目标任务，推动了现代产业体系的形成，为攀枝花高质量发展提供有力支撑。</w:t>
      </w:r>
    </w:p>
    <w:p>
      <w:pPr>
        <w:adjustRightInd w:val="0"/>
        <w:snapToGrid w:val="0"/>
        <w:spacing w:line="600" w:lineRule="exact"/>
        <w:ind w:firstLine="720"/>
        <w:rPr>
          <w:rFonts w:eastAsia="黑体"/>
          <w:sz w:val="32"/>
          <w:szCs w:val="32"/>
        </w:rPr>
      </w:pPr>
      <w:r>
        <w:rPr>
          <w:rFonts w:eastAsia="黑体"/>
          <w:sz w:val="32"/>
          <w:szCs w:val="32"/>
        </w:rPr>
        <w:t>五、评价结论及建议</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（一）评价结论。</w:t>
      </w:r>
    </w:p>
    <w:p>
      <w:pPr>
        <w:autoSpaceDE w:val="0"/>
        <w:autoSpaceDN w:val="0"/>
        <w:adjustRightInd w:val="0"/>
        <w:spacing w:line="600" w:lineRule="exact"/>
        <w:ind w:firstLine="640" w:firstLineChars="200"/>
        <w:rPr>
          <w:rFonts w:eastAsia="仿宋_GB2312"/>
          <w:sz w:val="32"/>
          <w:szCs w:val="32"/>
          <w:lang w:val="zh-CN"/>
        </w:rPr>
      </w:pPr>
      <w:r>
        <w:rPr>
          <w:rFonts w:eastAsia="仿宋_GB2312"/>
          <w:sz w:val="32"/>
          <w:szCs w:val="32"/>
          <w:lang w:val="zh-CN"/>
        </w:rPr>
        <w:t>总体来看，</w:t>
      </w:r>
      <w:r>
        <w:rPr>
          <w:rFonts w:hint="eastAsia" w:eastAsia="仿宋_GB2312"/>
          <w:sz w:val="32"/>
          <w:szCs w:val="32"/>
          <w:lang w:val="zh-CN"/>
        </w:rPr>
        <w:t>科技计划项目管理费的</w:t>
      </w:r>
      <w:r>
        <w:rPr>
          <w:rFonts w:eastAsia="仿宋_GB2312"/>
          <w:sz w:val="32"/>
          <w:szCs w:val="32"/>
          <w:lang w:val="zh-CN"/>
        </w:rPr>
        <w:t>安排和使用，紧紧围绕</w:t>
      </w:r>
      <w:r>
        <w:rPr>
          <w:rFonts w:hint="eastAsia" w:eastAsia="仿宋_GB2312"/>
          <w:sz w:val="32"/>
          <w:szCs w:val="32"/>
          <w:lang w:val="zh-CN"/>
        </w:rPr>
        <w:t>了</w:t>
      </w:r>
      <w:r>
        <w:rPr>
          <w:rFonts w:eastAsia="仿宋_GB2312"/>
          <w:sz w:val="32"/>
          <w:szCs w:val="32"/>
          <w:lang w:val="zh-CN"/>
        </w:rPr>
        <w:t>市委、市政府确定的战略目标，按照加快科技发展的工作部署，主攻方向正确，方式方法可行，成果显著。在项目实施过程中，项目和经费管理符合</w:t>
      </w:r>
      <w:r>
        <w:rPr>
          <w:rFonts w:eastAsia="仿宋_GB2312"/>
          <w:sz w:val="32"/>
          <w:szCs w:val="32"/>
        </w:rPr>
        <w:t>科技计划项目及经费管理的相关要求，</w:t>
      </w:r>
      <w:r>
        <w:rPr>
          <w:rFonts w:eastAsia="仿宋_GB2312"/>
          <w:sz w:val="32"/>
          <w:szCs w:val="32"/>
          <w:lang w:val="zh-CN"/>
        </w:rPr>
        <w:t>资金安排使用情况基本达到预期绩效目标，</w:t>
      </w:r>
      <w:r>
        <w:rPr>
          <w:rFonts w:hint="eastAsia" w:eastAsia="仿宋_GB2312"/>
          <w:sz w:val="32"/>
          <w:szCs w:val="32"/>
          <w:lang w:val="zh-CN"/>
        </w:rPr>
        <w:t>使年度</w:t>
      </w:r>
      <w:r>
        <w:rPr>
          <w:rFonts w:hint="eastAsia" w:eastAsia="仿宋_GB2312"/>
          <w:kern w:val="0"/>
          <w:sz w:val="32"/>
          <w:szCs w:val="32"/>
        </w:rPr>
        <w:t>项目结题验收率得到提升，在重点领域关键技术攻关和产业化方面取得重大突破</w:t>
      </w:r>
      <w:r>
        <w:rPr>
          <w:rFonts w:eastAsia="仿宋_GB2312"/>
          <w:sz w:val="32"/>
          <w:szCs w:val="32"/>
          <w:lang w:val="zh-CN"/>
        </w:rPr>
        <w:t>，为攀枝花高质量发展提供有力支撑。</w:t>
      </w:r>
    </w:p>
    <w:p>
      <w:pPr>
        <w:adjustRightInd w:val="0"/>
        <w:snapToGrid w:val="0"/>
        <w:spacing w:line="600" w:lineRule="exact"/>
        <w:ind w:firstLine="643" w:firstLineChars="200"/>
        <w:rPr>
          <w:rFonts w:eastAsia="楷体_GB2312"/>
          <w:b/>
          <w:sz w:val="32"/>
          <w:szCs w:val="32"/>
          <w:lang w:val="zh-CN"/>
        </w:rPr>
      </w:pPr>
      <w:r>
        <w:rPr>
          <w:rFonts w:eastAsia="楷体_GB2312"/>
          <w:b/>
          <w:sz w:val="32"/>
          <w:szCs w:val="32"/>
          <w:lang w:val="zh-CN"/>
        </w:rPr>
        <w:t>（二）存在的问题。</w:t>
      </w:r>
    </w:p>
    <w:p>
      <w:pPr>
        <w:adjustRightInd w:val="0"/>
        <w:snapToGrid w:val="0"/>
        <w:spacing w:line="600" w:lineRule="exact"/>
        <w:ind w:firstLine="640" w:firstLineChars="200"/>
        <w:rPr>
          <w:rFonts w:eastAsia="仿宋_GB2312"/>
          <w:sz w:val="32"/>
          <w:szCs w:val="32"/>
          <w:lang w:val="zh-CN"/>
        </w:rPr>
      </w:pPr>
      <w:r>
        <w:rPr>
          <w:rFonts w:eastAsia="仿宋_GB2312"/>
          <w:sz w:val="32"/>
          <w:szCs w:val="32"/>
          <w:lang w:val="zh-CN"/>
        </w:rPr>
        <w:t>无</w:t>
      </w:r>
      <w:r>
        <w:rPr>
          <w:rFonts w:eastAsia="仿宋_GB2312"/>
          <w:sz w:val="32"/>
          <w:szCs w:val="32"/>
          <w:lang w:val="zh-CN"/>
        </w:rPr>
        <w:tab/>
      </w:r>
    </w:p>
    <w:p>
      <w:pPr>
        <w:adjustRightInd w:val="0"/>
        <w:snapToGrid w:val="0"/>
        <w:spacing w:line="600" w:lineRule="exact"/>
        <w:ind w:firstLine="643" w:firstLineChars="200"/>
        <w:rPr>
          <w:rFonts w:eastAsia="楷体_GB2312"/>
          <w:b/>
          <w:sz w:val="32"/>
          <w:szCs w:val="32"/>
          <w:lang w:val="zh-CN"/>
        </w:rPr>
      </w:pPr>
      <w:r>
        <w:rPr>
          <w:rFonts w:eastAsia="楷体_GB2312"/>
          <w:b/>
          <w:sz w:val="32"/>
          <w:szCs w:val="32"/>
          <w:lang w:val="zh-CN"/>
        </w:rPr>
        <w:t>（三）相关建议。</w:t>
      </w:r>
    </w:p>
    <w:p>
      <w:pPr>
        <w:adjustRightInd w:val="0"/>
        <w:snapToGrid w:val="0"/>
        <w:spacing w:line="600" w:lineRule="exact"/>
        <w:ind w:firstLine="640" w:firstLineChars="200"/>
        <w:rPr>
          <w:rFonts w:eastAsia="仿宋_GB2312"/>
          <w:sz w:val="32"/>
          <w:szCs w:val="32"/>
          <w:lang w:val="zh-CN"/>
        </w:rPr>
      </w:pPr>
      <w:r>
        <w:rPr>
          <w:rFonts w:eastAsia="仿宋_GB2312"/>
          <w:sz w:val="32"/>
          <w:szCs w:val="32"/>
          <w:lang w:val="zh-CN"/>
        </w:rPr>
        <w:t>无</w:t>
      </w:r>
      <w:r>
        <w:rPr>
          <w:rFonts w:eastAsia="仿宋_GB2312"/>
          <w:sz w:val="32"/>
          <w:szCs w:val="32"/>
          <w:lang w:val="zh-CN"/>
        </w:rPr>
        <w:tab/>
      </w:r>
    </w:p>
    <w:p>
      <w:pPr>
        <w:spacing w:line="580" w:lineRule="exact"/>
        <w:ind w:firstLine="640" w:firstLineChars="200"/>
        <w:rPr>
          <w:rFonts w:eastAsia="仿宋_GB2312"/>
          <w:sz w:val="32"/>
          <w:szCs w:val="32"/>
        </w:rPr>
      </w:pPr>
    </w:p>
    <w:p>
      <w:pPr>
        <w:spacing w:line="580" w:lineRule="exact"/>
        <w:ind w:firstLine="640"/>
        <w:rPr>
          <w:rFonts w:eastAsia="仿宋_GB2312"/>
          <w:sz w:val="32"/>
          <w:szCs w:val="32"/>
        </w:rPr>
      </w:pPr>
    </w:p>
    <w:p>
      <w:pPr>
        <w:widowControl/>
        <w:jc w:val="left"/>
        <w:rPr>
          <w:rStyle w:val="12"/>
          <w:rFonts w:eastAsia="黑体"/>
          <w:b w:val="0"/>
        </w:rPr>
      </w:pPr>
      <w:r>
        <w:rPr>
          <w:rStyle w:val="12"/>
          <w:rFonts w:eastAsia="黑体"/>
          <w:b w:val="0"/>
        </w:rPr>
        <w:br w:type="page"/>
      </w:r>
    </w:p>
    <w:p>
      <w:pPr>
        <w:spacing w:line="600" w:lineRule="exact"/>
        <w:jc w:val="center"/>
        <w:outlineLvl w:val="0"/>
        <w:rPr>
          <w:rStyle w:val="12"/>
          <w:rFonts w:eastAsia="黑体"/>
          <w:b w:val="0"/>
        </w:rPr>
      </w:pPr>
    </w:p>
    <w:p>
      <w:pPr>
        <w:spacing w:line="600" w:lineRule="exact"/>
        <w:jc w:val="center"/>
        <w:outlineLvl w:val="0"/>
        <w:rPr>
          <w:rStyle w:val="12"/>
          <w:rFonts w:eastAsia="黑体"/>
          <w:b w:val="0"/>
        </w:rPr>
      </w:pPr>
      <w:bookmarkStart w:id="63" w:name="_Toc15396618"/>
      <w:r>
        <w:rPr>
          <w:rFonts w:eastAsia="黑体"/>
          <w:color w:val="000000"/>
          <w:sz w:val="44"/>
          <w:szCs w:val="44"/>
        </w:rPr>
        <w:t>第</w:t>
      </w:r>
      <w:r>
        <w:rPr>
          <w:rStyle w:val="12"/>
          <w:rFonts w:eastAsia="黑体"/>
          <w:b w:val="0"/>
        </w:rPr>
        <w:t>五部分 附表</w:t>
      </w:r>
      <w:bookmarkEnd w:id="61"/>
      <w:bookmarkEnd w:id="63"/>
    </w:p>
    <w:p>
      <w:pPr>
        <w:pStyle w:val="3"/>
        <w:spacing w:before="0" w:after="0" w:line="552" w:lineRule="auto"/>
        <w:rPr>
          <w:rFonts w:ascii="Times New Roman" w:hAnsi="Times New Roman" w:eastAsia="仿宋_GB2312"/>
          <w:b w:val="0"/>
          <w:bCs w:val="0"/>
          <w:lang w:val="zh-CN"/>
        </w:rPr>
      </w:pPr>
      <w:bookmarkStart w:id="64" w:name="_Toc15396619"/>
      <w:r>
        <w:rPr>
          <w:rFonts w:ascii="Times New Roman" w:hAnsi="Times New Roman" w:eastAsia="仿宋_GB2312"/>
          <w:b w:val="0"/>
          <w:bCs w:val="0"/>
          <w:lang w:val="zh-CN"/>
        </w:rPr>
        <w:t>一、收入支出决算总表</w:t>
      </w:r>
      <w:bookmarkEnd w:id="64"/>
    </w:p>
    <w:p>
      <w:pPr>
        <w:pStyle w:val="3"/>
        <w:spacing w:before="0" w:after="0" w:line="552" w:lineRule="auto"/>
        <w:rPr>
          <w:rFonts w:ascii="Times New Roman" w:hAnsi="Times New Roman" w:eastAsia="仿宋_GB2312"/>
          <w:b w:val="0"/>
          <w:bCs w:val="0"/>
          <w:lang w:val="zh-CN"/>
        </w:rPr>
      </w:pPr>
      <w:bookmarkStart w:id="65" w:name="_Toc15396620"/>
      <w:r>
        <w:rPr>
          <w:rFonts w:ascii="Times New Roman" w:hAnsi="Times New Roman" w:eastAsia="仿宋_GB2312"/>
          <w:b w:val="0"/>
          <w:bCs w:val="0"/>
          <w:lang w:val="zh-CN"/>
        </w:rPr>
        <w:t>二、收入决算表</w:t>
      </w:r>
      <w:bookmarkEnd w:id="65"/>
    </w:p>
    <w:p>
      <w:pPr>
        <w:pStyle w:val="3"/>
        <w:spacing w:before="0" w:after="0" w:line="552" w:lineRule="auto"/>
        <w:rPr>
          <w:rFonts w:ascii="Times New Roman" w:hAnsi="Times New Roman" w:eastAsia="仿宋_GB2312"/>
          <w:b w:val="0"/>
          <w:bCs w:val="0"/>
          <w:lang w:val="zh-CN"/>
        </w:rPr>
      </w:pPr>
      <w:bookmarkStart w:id="66" w:name="_Toc15396621"/>
      <w:r>
        <w:rPr>
          <w:rFonts w:ascii="Times New Roman" w:hAnsi="Times New Roman" w:eastAsia="仿宋_GB2312"/>
          <w:b w:val="0"/>
          <w:bCs w:val="0"/>
          <w:lang w:val="zh-CN"/>
        </w:rPr>
        <w:t>三、支出决算表</w:t>
      </w:r>
      <w:bookmarkEnd w:id="66"/>
    </w:p>
    <w:p>
      <w:pPr>
        <w:pStyle w:val="3"/>
        <w:spacing w:before="0" w:after="0" w:line="552" w:lineRule="auto"/>
        <w:rPr>
          <w:rFonts w:ascii="Times New Roman" w:hAnsi="Times New Roman" w:eastAsia="仿宋_GB2312"/>
          <w:b w:val="0"/>
          <w:bCs w:val="0"/>
          <w:lang w:val="zh-CN"/>
        </w:rPr>
      </w:pPr>
      <w:bookmarkStart w:id="67" w:name="_Toc15396622"/>
      <w:r>
        <w:rPr>
          <w:rFonts w:ascii="Times New Roman" w:hAnsi="Times New Roman" w:eastAsia="仿宋_GB2312"/>
          <w:b w:val="0"/>
          <w:bCs w:val="0"/>
          <w:lang w:val="zh-CN"/>
        </w:rPr>
        <w:t>四、财政拨款收入支出决算总表</w:t>
      </w:r>
      <w:bookmarkEnd w:id="67"/>
    </w:p>
    <w:p>
      <w:pPr>
        <w:pStyle w:val="3"/>
        <w:spacing w:before="0" w:after="0" w:line="552" w:lineRule="auto"/>
        <w:rPr>
          <w:rFonts w:ascii="Times New Roman" w:hAnsi="Times New Roman" w:eastAsia="仿宋_GB2312"/>
          <w:b w:val="0"/>
          <w:bCs w:val="0"/>
          <w:lang w:val="zh-CN"/>
        </w:rPr>
      </w:pPr>
      <w:bookmarkStart w:id="68" w:name="_Toc15396623"/>
      <w:r>
        <w:rPr>
          <w:rFonts w:ascii="Times New Roman" w:hAnsi="Times New Roman" w:eastAsia="仿宋_GB2312"/>
          <w:b w:val="0"/>
          <w:bCs w:val="0"/>
          <w:lang w:val="zh-CN"/>
        </w:rPr>
        <w:t>五、财政拨款支出决算明细表</w:t>
      </w:r>
      <w:bookmarkEnd w:id="68"/>
      <w:bookmarkStart w:id="69" w:name="_Toc15396624"/>
    </w:p>
    <w:p>
      <w:pPr>
        <w:pStyle w:val="3"/>
        <w:spacing w:before="0" w:after="0" w:line="552" w:lineRule="auto"/>
        <w:rPr>
          <w:rFonts w:ascii="Times New Roman" w:hAnsi="Times New Roman" w:eastAsia="仿宋_GB2312"/>
          <w:b w:val="0"/>
          <w:bCs w:val="0"/>
          <w:lang w:val="zh-CN"/>
        </w:rPr>
      </w:pPr>
      <w:r>
        <w:rPr>
          <w:rFonts w:ascii="Times New Roman" w:hAnsi="Times New Roman" w:eastAsia="仿宋_GB2312"/>
          <w:b w:val="0"/>
          <w:bCs w:val="0"/>
          <w:lang w:val="zh-CN"/>
        </w:rPr>
        <w:t>六、一般公共预算财政拨款支出决算表</w:t>
      </w:r>
      <w:bookmarkEnd w:id="69"/>
    </w:p>
    <w:p>
      <w:pPr>
        <w:pStyle w:val="3"/>
        <w:spacing w:before="0" w:after="0" w:line="552" w:lineRule="auto"/>
        <w:rPr>
          <w:rFonts w:ascii="Times New Roman" w:hAnsi="Times New Roman" w:eastAsia="仿宋_GB2312"/>
          <w:b w:val="0"/>
          <w:bCs w:val="0"/>
          <w:lang w:val="zh-CN"/>
        </w:rPr>
      </w:pPr>
      <w:bookmarkStart w:id="70" w:name="_Toc15396625"/>
      <w:r>
        <w:rPr>
          <w:rFonts w:ascii="Times New Roman" w:hAnsi="Times New Roman" w:eastAsia="仿宋_GB2312"/>
          <w:b w:val="0"/>
          <w:bCs w:val="0"/>
          <w:lang w:val="zh-CN"/>
        </w:rPr>
        <w:t>七、一般公共预算财政拨款支出决算明细表</w:t>
      </w:r>
      <w:bookmarkEnd w:id="70"/>
    </w:p>
    <w:p>
      <w:pPr>
        <w:pStyle w:val="3"/>
        <w:spacing w:before="0" w:after="0" w:line="552" w:lineRule="auto"/>
        <w:rPr>
          <w:rFonts w:ascii="Times New Roman" w:hAnsi="Times New Roman" w:eastAsia="仿宋_GB2312"/>
          <w:b w:val="0"/>
          <w:bCs w:val="0"/>
          <w:lang w:val="zh-CN"/>
        </w:rPr>
      </w:pPr>
      <w:bookmarkStart w:id="71" w:name="_Toc15396626"/>
      <w:r>
        <w:rPr>
          <w:rFonts w:ascii="Times New Roman" w:hAnsi="Times New Roman" w:eastAsia="仿宋_GB2312"/>
          <w:b w:val="0"/>
          <w:bCs w:val="0"/>
          <w:lang w:val="zh-CN"/>
        </w:rPr>
        <w:t>八、一般公共预算财政拨款基本支出决算表</w:t>
      </w:r>
      <w:bookmarkEnd w:id="71"/>
    </w:p>
    <w:p>
      <w:pPr>
        <w:pStyle w:val="3"/>
        <w:spacing w:before="0" w:after="0" w:line="552" w:lineRule="auto"/>
        <w:rPr>
          <w:rFonts w:ascii="Times New Roman" w:hAnsi="Times New Roman" w:eastAsia="仿宋_GB2312"/>
          <w:b w:val="0"/>
          <w:bCs w:val="0"/>
          <w:lang w:val="zh-CN"/>
        </w:rPr>
      </w:pPr>
      <w:bookmarkStart w:id="72" w:name="_Toc15396627"/>
      <w:r>
        <w:rPr>
          <w:rFonts w:ascii="Times New Roman" w:hAnsi="Times New Roman" w:eastAsia="仿宋_GB2312"/>
          <w:b w:val="0"/>
          <w:bCs w:val="0"/>
          <w:lang w:val="zh-CN"/>
        </w:rPr>
        <w:t>九、一般公共预算财政拨款项目支出决算表</w:t>
      </w:r>
      <w:bookmarkEnd w:id="72"/>
    </w:p>
    <w:p>
      <w:pPr>
        <w:pStyle w:val="3"/>
        <w:spacing w:before="0" w:after="0" w:line="552" w:lineRule="auto"/>
        <w:rPr>
          <w:rFonts w:ascii="Times New Roman" w:hAnsi="Times New Roman" w:eastAsia="仿宋_GB2312"/>
          <w:b w:val="0"/>
          <w:bCs w:val="0"/>
          <w:lang w:val="zh-CN"/>
        </w:rPr>
      </w:pPr>
      <w:bookmarkStart w:id="73" w:name="_Toc15396628"/>
      <w:r>
        <w:rPr>
          <w:rFonts w:ascii="Times New Roman" w:hAnsi="Times New Roman" w:eastAsia="仿宋_GB2312"/>
          <w:b w:val="0"/>
          <w:bCs w:val="0"/>
          <w:lang w:val="zh-CN"/>
        </w:rPr>
        <w:t>十、一般公共预算财政拨款“三公”经费支出决算表</w:t>
      </w:r>
      <w:bookmarkEnd w:id="73"/>
    </w:p>
    <w:p>
      <w:pPr>
        <w:pStyle w:val="3"/>
        <w:spacing w:before="0" w:after="0" w:line="552" w:lineRule="auto"/>
        <w:rPr>
          <w:rFonts w:ascii="Times New Roman" w:hAnsi="Times New Roman" w:eastAsia="仿宋_GB2312"/>
          <w:b w:val="0"/>
          <w:bCs w:val="0"/>
          <w:lang w:val="zh-CN"/>
        </w:rPr>
      </w:pPr>
      <w:bookmarkStart w:id="74" w:name="_Toc15396629"/>
      <w:r>
        <w:rPr>
          <w:rFonts w:ascii="Times New Roman" w:hAnsi="Times New Roman" w:eastAsia="仿宋_GB2312"/>
          <w:b w:val="0"/>
          <w:bCs w:val="0"/>
          <w:lang w:val="zh-CN"/>
        </w:rPr>
        <w:t>十一、政府性基金预算财政拨款收入支出决算表</w:t>
      </w:r>
      <w:bookmarkEnd w:id="74"/>
    </w:p>
    <w:p>
      <w:pPr>
        <w:pStyle w:val="3"/>
        <w:spacing w:before="0" w:after="0" w:line="552" w:lineRule="auto"/>
        <w:rPr>
          <w:rFonts w:ascii="Times New Roman" w:hAnsi="Times New Roman" w:eastAsia="仿宋_GB2312"/>
          <w:b w:val="0"/>
          <w:bCs w:val="0"/>
          <w:lang w:val="zh-CN"/>
        </w:rPr>
      </w:pPr>
      <w:bookmarkStart w:id="75" w:name="_Toc15396630"/>
      <w:r>
        <w:rPr>
          <w:rFonts w:ascii="Times New Roman" w:hAnsi="Times New Roman" w:eastAsia="仿宋_GB2312"/>
          <w:b w:val="0"/>
          <w:bCs w:val="0"/>
          <w:lang w:val="zh-CN"/>
        </w:rPr>
        <w:t>十二、政府性基金预算财政拨款“三公”经费支出决算表</w:t>
      </w:r>
      <w:bookmarkEnd w:id="75"/>
    </w:p>
    <w:p>
      <w:pPr>
        <w:pStyle w:val="3"/>
        <w:spacing w:before="0" w:after="0" w:line="552" w:lineRule="auto"/>
        <w:rPr>
          <w:rFonts w:ascii="Times New Roman" w:hAnsi="Times New Roman" w:eastAsia="仿宋_GB2312"/>
          <w:b w:val="0"/>
          <w:bCs w:val="0"/>
          <w:lang w:val="zh-CN"/>
        </w:rPr>
      </w:pPr>
      <w:bookmarkStart w:id="76" w:name="_Toc15396631"/>
      <w:r>
        <w:rPr>
          <w:rFonts w:ascii="Times New Roman" w:hAnsi="Times New Roman" w:eastAsia="仿宋_GB2312"/>
          <w:b w:val="0"/>
          <w:bCs w:val="0"/>
          <w:lang w:val="zh-CN"/>
        </w:rPr>
        <w:t>十三、</w:t>
      </w:r>
      <w:bookmarkEnd w:id="76"/>
      <w:r>
        <w:rPr>
          <w:rFonts w:hint="eastAsia" w:ascii="Times New Roman" w:hAnsi="Times New Roman" w:eastAsia="仿宋_GB2312"/>
          <w:b w:val="0"/>
          <w:bCs w:val="0"/>
          <w:lang w:val="zh-CN"/>
        </w:rPr>
        <w:t>国有资本经营预算财政拨款收入支出决算表（此表无数据）</w:t>
      </w:r>
    </w:p>
    <w:p>
      <w:pPr>
        <w:pStyle w:val="3"/>
        <w:spacing w:before="0" w:after="0" w:line="552" w:lineRule="auto"/>
        <w:rPr>
          <w:rFonts w:hint="eastAsia" w:ascii="Times New Roman" w:hAnsi="Times New Roman" w:eastAsia="仿宋_GB2312"/>
          <w:b w:val="0"/>
          <w:bCs w:val="0"/>
          <w:lang w:val="zh-CN"/>
        </w:rPr>
      </w:pPr>
      <w:r>
        <w:rPr>
          <w:rFonts w:ascii="Times New Roman" w:hAnsi="Times New Roman" w:eastAsia="仿宋_GB2312"/>
          <w:b w:val="0"/>
          <w:bCs w:val="0"/>
          <w:lang w:val="zh-CN"/>
        </w:rPr>
        <w:t>十</w:t>
      </w:r>
      <w:r>
        <w:rPr>
          <w:rFonts w:hint="eastAsia" w:ascii="Times New Roman" w:hAnsi="Times New Roman" w:eastAsia="仿宋_GB2312"/>
          <w:b w:val="0"/>
          <w:bCs w:val="0"/>
          <w:lang w:val="zh-CN"/>
        </w:rPr>
        <w:t>四</w:t>
      </w:r>
      <w:r>
        <w:rPr>
          <w:rFonts w:ascii="Times New Roman" w:hAnsi="Times New Roman" w:eastAsia="仿宋_GB2312"/>
          <w:b w:val="0"/>
          <w:bCs w:val="0"/>
          <w:lang w:val="zh-CN"/>
        </w:rPr>
        <w:t>、国有资本经</w:t>
      </w:r>
      <w:r>
        <w:rPr>
          <w:rFonts w:hint="eastAsia" w:ascii="Times New Roman" w:hAnsi="Times New Roman" w:eastAsia="仿宋_GB2312"/>
          <w:b w:val="0"/>
          <w:bCs w:val="0"/>
          <w:lang w:val="zh-CN"/>
        </w:rPr>
        <w:t>营预算财政拨款支出决算表（此表无数据）</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635"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5"/>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i91E0AAAAAIBAAAPAAAAAAAAAAEAIAAAACIAAABkcnMvZG93&#10;bnJldi54bWxQSwECFAAUAAAACACHTuJAAu2O5ggCAAABBAAADgAAAAAAAAABACAAAAAfAQAAZHJz&#10;L2Uyb0RvYy54bWxQSwUGAAAAAAYABgBZAQAAmQ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85"/>
    <w:rsid w:val="00170E9E"/>
    <w:rsid w:val="002540D9"/>
    <w:rsid w:val="00730956"/>
    <w:rsid w:val="00C53A85"/>
    <w:rsid w:val="383E664B"/>
    <w:rsid w:val="3EEB70D5"/>
    <w:rsid w:val="40DA2163"/>
    <w:rsid w:val="43914916"/>
    <w:rsid w:val="463C6D30"/>
    <w:rsid w:val="51543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3"/>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99"/>
    <w:pPr>
      <w:spacing w:beforeLines="30"/>
    </w:pPr>
    <w:rPr>
      <w:rFonts w:ascii="仿宋_GB2312" w:eastAsia="仿宋_GB2312"/>
      <w:kern w:val="0"/>
      <w:sz w:val="24"/>
      <w:szCs w:val="20"/>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8">
    <w:name w:val="toc 2"/>
    <w:basedOn w:val="1"/>
    <w:next w:val="1"/>
    <w:unhideWhenUsed/>
    <w:qFormat/>
    <w:uiPriority w:val="39"/>
    <w:pPr>
      <w:tabs>
        <w:tab w:val="right" w:leader="dot" w:pos="8296"/>
      </w:tabs>
      <w:ind w:left="420" w:leftChars="200"/>
    </w:pPr>
  </w:style>
  <w:style w:type="character" w:styleId="11">
    <w:name w:val="Strong"/>
    <w:qFormat/>
    <w:uiPriority w:val="99"/>
    <w:rPr>
      <w:rFonts w:cs="Times New Roman"/>
      <w:b/>
    </w:rPr>
  </w:style>
  <w:style w:type="character" w:customStyle="1" w:styleId="12">
    <w:name w:val="标题 1 Char"/>
    <w:link w:val="2"/>
    <w:qFormat/>
    <w:locked/>
    <w:uiPriority w:val="9"/>
    <w:rPr>
      <w:b/>
      <w:bCs/>
      <w:kern w:val="44"/>
      <w:sz w:val="44"/>
      <w:szCs w:val="44"/>
    </w:rPr>
  </w:style>
  <w:style w:type="character" w:customStyle="1" w:styleId="13">
    <w:name w:val="标题 2 Char"/>
    <w:link w:val="3"/>
    <w:qFormat/>
    <w:locked/>
    <w:uiPriority w:val="9"/>
    <w:rPr>
      <w:rFonts w:ascii="Cambria" w:hAnsi="Cambria"/>
      <w:b/>
      <w:bCs/>
      <w:sz w:val="32"/>
      <w:szCs w:val="32"/>
    </w:rPr>
  </w:style>
  <w:style w:type="paragraph" w:customStyle="1" w:styleId="14">
    <w:name w:val="List Paragraph"/>
    <w:basedOn w:val="1"/>
    <w:qFormat/>
    <w:uiPriority w:val="34"/>
    <w:pPr>
      <w:ind w:firstLine="420" w:firstLineChars="200"/>
    </w:pPr>
  </w:style>
  <w:style w:type="paragraph" w:customStyle="1" w:styleId="1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43</Pages>
  <Words>3181</Words>
  <Characters>18134</Characters>
  <Lines>151</Lines>
  <Paragraphs>42</Paragraphs>
  <TotalTime>0</TotalTime>
  <ScaleCrop>false</ScaleCrop>
  <LinksUpToDate>false</LinksUpToDate>
  <CharactersWithSpaces>21273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2021-09-09T03:22:00Z</dcterms:created>
  <dc:creator>lenovo</dc:creator>
  <cp:lastModifiedBy>TUT闲人</cp:lastModifiedBy>
  <dcterms:modified xsi:type="dcterms:W3CDTF">2021-09-13T03:44:32Z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CE8309B4482E435F8AF92C731FCD856F</vt:lpwstr>
  </property>
</Properties>
</file>